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D7126">
      <w:pPr>
        <w:adjustRightInd w:val="0"/>
        <w:snapToGrid w:val="0"/>
        <w:spacing w:line="57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桃江县202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年度中央和省市级彩票公益金绩效评价报告</w:t>
      </w:r>
    </w:p>
    <w:p w14:paraId="0AC514C4">
      <w:pPr>
        <w:adjustRightInd w:val="0"/>
        <w:snapToGrid w:val="0"/>
        <w:spacing w:line="57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桃江县民政局</w:t>
      </w:r>
    </w:p>
    <w:p w14:paraId="32009843">
      <w:pPr>
        <w:adjustRightInd w:val="0"/>
        <w:snapToGrid w:val="0"/>
        <w:spacing w:line="54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</w:p>
    <w:p w14:paraId="3CA8B759">
      <w:pPr>
        <w:adjustRightInd w:val="0"/>
        <w:snapToGrid w:val="0"/>
        <w:spacing w:line="54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62F9700">
      <w:pPr>
        <w:widowControl/>
        <w:numPr>
          <w:ilvl w:val="0"/>
          <w:numId w:val="0"/>
        </w:numPr>
        <w:spacing w:line="480" w:lineRule="auto"/>
        <w:ind w:firstLine="640" w:firstLineChars="200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为扎实开展彩票公益金管理工作，切实发挥民政助老、济困、扶贫功能，根据《桃江县财政局关于开展202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年度财政资金绩效自评工作的通知》（桃财监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〔2026〕81号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）文件精神，我局组织实施了202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年度彩票公益金绩效评价工作，形成自评报告如下：</w:t>
      </w:r>
    </w:p>
    <w:p w14:paraId="3F5E0466">
      <w:pPr>
        <w:widowControl/>
        <w:spacing w:line="480" w:lineRule="auto"/>
        <w:ind w:firstLine="643" w:firstLineChars="200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eastAsia="zh-CN"/>
        </w:rPr>
        <w:t>一、项目情况</w:t>
      </w:r>
    </w:p>
    <w:p w14:paraId="13337FFC">
      <w:pPr>
        <w:widowControl/>
        <w:numPr>
          <w:ilvl w:val="0"/>
          <w:numId w:val="0"/>
        </w:numPr>
        <w:spacing w:line="480" w:lineRule="auto"/>
        <w:ind w:firstLine="640" w:firstLineChars="200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年，桃江县民政局使用彩票公益金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1383.35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万元支持民政等公益事业发展，其中：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政府性基金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901.35万元，一般公共预算资金482万元，又分为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中央集中彩票公益金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482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万元、省级福利彩票公益金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233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万元、市县分成福利彩票公益金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668.35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。桃江县民政局严格遵循福利彩票“扶老、助残、救孤、济困”的发行宗旨，按照“统筹中央和省级资金，一个盘子总体平衡”的基本思路，依据“统筹规划、突出重点，权责明确、分级负责，依法管理、规范使用，公开透明、监督问效”的原则，重点支持养老服务体系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、殡葬基础设施建设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以及儿童福利等社会公益类项目，资金安排适度向贫困地区倾斜。</w:t>
      </w:r>
    </w:p>
    <w:p w14:paraId="02229FA5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、中央集中彩票公益金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  <w:t>482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万元</w:t>
      </w:r>
    </w:p>
    <w:p w14:paraId="4BFA27C9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　　（一）中央集中彩票公益金支持社会福利事业资金使用管理情况</w:t>
      </w:r>
    </w:p>
    <w:p w14:paraId="45EED6A3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1.总体情况</w:t>
      </w:r>
    </w:p>
    <w:p w14:paraId="3DA5C784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年，中央集中彩票公益金支持社会福利事业资金总额为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482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万元，全部分解下达至各项目单位。</w:t>
      </w:r>
    </w:p>
    <w:p w14:paraId="4B6A1459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2.支持方向</w:t>
      </w:r>
    </w:p>
    <w:p w14:paraId="75D55358">
      <w:pPr>
        <w:widowControl/>
        <w:spacing w:line="480" w:lineRule="auto"/>
        <w:ind w:firstLine="652"/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①老年人福利类项目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151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灰山港镇敬老院维修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改造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安排21万元资助老年助餐，共资助4家老年助餐点；安排100万元资助公办养老机构进行消防改造，共改造14家公办特困供养机构。</w:t>
      </w:r>
    </w:p>
    <w:p w14:paraId="70767697">
      <w:pPr>
        <w:widowControl/>
        <w:spacing w:line="480" w:lineRule="auto"/>
        <w:ind w:firstLine="652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②儿童福利类项目1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万元资助“福彩圆梦·孤儿助学”工程，共资助1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名孤儿。</w:t>
      </w:r>
    </w:p>
    <w:p w14:paraId="0DEA57D0">
      <w:pPr>
        <w:widowControl/>
        <w:spacing w:line="480" w:lineRule="auto"/>
        <w:ind w:firstLine="652"/>
        <w:rPr>
          <w:rFonts w:hint="default" w:ascii="Calibri" w:hAnsi="Calibri" w:eastAsia="仿宋" w:cs="Calibri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③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其他公益类项目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320万元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280万元资助各乡镇农村公益性公墓建设；安排40万元资助桃花江镇桃谷山社区精康社区建设。</w:t>
      </w:r>
    </w:p>
    <w:p w14:paraId="04AC6EB7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3.执行情况</w:t>
      </w:r>
    </w:p>
    <w:p w14:paraId="7044B70B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资金已于202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月底全部下达。截至202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日，实现支付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467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%，与202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年持平。其中：老年福利类实现支出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151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万元，预算执行率为100%；儿童福利类实现支出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万元，预算执行率为100%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，其他公益类实现支出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305万元，预算执行率为95%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3E0F0656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4.主要绩效目标及完成情况</w:t>
      </w:r>
    </w:p>
    <w:p w14:paraId="6D744EEC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数量指标：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特困供养机构维修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改造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数≥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公办养老机构消防改造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14个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14个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；“福彩圆梦·孤儿助学工程”资助孤儿人数指标≥1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人，当年实际完成1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老年助餐点服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务能力提升个数指标≥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；精康社区建设个数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农村公益性公墓建设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12个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12个；</w:t>
      </w:r>
    </w:p>
    <w:p w14:paraId="6428618E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满意度指标：“接受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助餐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老年人服务满意度”完成9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.8%、“接受孤儿助学项目资助的孤儿满意度”完成9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%。</w:t>
      </w:r>
    </w:p>
    <w:p w14:paraId="5B19A5AC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、省级福利彩票公益金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  <w:t>233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万元</w:t>
      </w:r>
    </w:p>
    <w:p w14:paraId="50F116B0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1.总体情况</w:t>
      </w:r>
    </w:p>
    <w:p w14:paraId="06EB8E1A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年，省级福彩公益金资金总额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233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万元，全部分解下达至各项目单位。</w:t>
      </w:r>
    </w:p>
    <w:p w14:paraId="77F1DAA9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2.支持方向</w:t>
      </w:r>
    </w:p>
    <w:p w14:paraId="1A57DF0C">
      <w:pPr>
        <w:widowControl/>
        <w:spacing w:line="480" w:lineRule="auto"/>
        <w:rPr>
          <w:rFonts w:hint="default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①老年人福利类项目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万元资助特殊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养老服务，共资助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2家养老机构开展养老服务；安排10万元资助老年助餐，共资助4家老年助餐点运营；安排9万元资助民办养老机构运营补贴，共资助5家民办养老机构；</w:t>
      </w:r>
    </w:p>
    <w:p w14:paraId="41356F41">
      <w:pPr>
        <w:widowControl/>
        <w:spacing w:line="480" w:lineRule="auto"/>
        <w:ind w:firstLine="640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②儿童福利类项目1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安排18万元资助未成年人保护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，共资助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7个村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566AC206">
      <w:pPr>
        <w:widowControl/>
        <w:spacing w:line="480" w:lineRule="auto"/>
        <w:ind w:firstLine="640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default" w:ascii="仿宋" w:hAnsi="仿宋" w:eastAsia="仿宋" w:cs="仿宋"/>
          <w:color w:val="333333"/>
          <w:kern w:val="0"/>
          <w:sz w:val="32"/>
          <w:szCs w:val="32"/>
        </w:rPr>
        <w:t>③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救助管理机构改扩建项目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50万元：安排50万元资助救助站维修改造。</w:t>
      </w:r>
    </w:p>
    <w:p w14:paraId="3D9DF34C">
      <w:pPr>
        <w:widowControl/>
        <w:spacing w:line="480" w:lineRule="auto"/>
        <w:ind w:firstLine="640"/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</w:p>
    <w:p w14:paraId="6155836D">
      <w:pPr>
        <w:widowControl/>
        <w:spacing w:line="480" w:lineRule="auto"/>
        <w:ind w:firstLine="640"/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④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殡葬类项目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72万元：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60万元资助桃花江镇开展农村公益性公墓建设；安排12万元资助节地生态安葬试点，共资助4个村。</w:t>
      </w:r>
    </w:p>
    <w:p w14:paraId="11A15BBE">
      <w:pPr>
        <w:widowControl/>
        <w:spacing w:line="480" w:lineRule="auto"/>
        <w:ind w:firstLine="640"/>
        <w:rPr>
          <w:rFonts w:hint="default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⑤其他公益类15万元：安排15万元资助社工站项目补助，共资助1家社会组织。</w:t>
      </w:r>
    </w:p>
    <w:p w14:paraId="5BC54026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3.执行情况</w:t>
      </w:r>
    </w:p>
    <w:p w14:paraId="5044F6EE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资金已于202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月底全部下达。截至202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日，实现支付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168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%。其中：老年福利类实现支出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万元，预算执行率为100%；儿童福利类实现支出1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万元，预算执行率为100%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；殡葬类项目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万元，预算执行率为100%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；救助管理机构改扩建和社工站项目正在实施中，资金暂未拨付。</w:t>
      </w:r>
    </w:p>
    <w:p w14:paraId="15DAA5CC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4.主要绩效目标及完成情况</w:t>
      </w:r>
    </w:p>
    <w:p w14:paraId="1C1A969C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数量指标：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支持机构开展养老服务个数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支持救助管理机构改扩建个数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，当年实际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乡镇农村公益性公墓建设个数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乡村节地生态安葬点创建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民办养老机构运营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个。支持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未成年人保护和儿童福利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服务能力提升个数指标≥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老年助餐点建设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；支持社工站项目补助金额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15万元，当年实际完成15万元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757F2F95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可持续影响指标：通过各级人民政府多形式、多层级、多媒介宣传，福彩公益金社会影响力持续提升。</w:t>
      </w:r>
    </w:p>
    <w:p w14:paraId="4316BD88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（二）市县分成福利彩票公益金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  <w:t>668.35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万元</w:t>
      </w:r>
    </w:p>
    <w:p w14:paraId="45E34407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1.总体情况</w:t>
      </w:r>
    </w:p>
    <w:p w14:paraId="50775135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年，市县分成福利彩票公益金总额为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668.35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万元，全部分解下达至各乡镇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及项目单位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5EADFD1B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2.支持方向</w:t>
      </w:r>
    </w:p>
    <w:p w14:paraId="09BC6F9D">
      <w:pPr>
        <w:widowControl/>
        <w:spacing w:line="480" w:lineRule="auto"/>
        <w:rPr>
          <w:rFonts w:hint="default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①老年人福利类项目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573.2265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370.3924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万元资助敬老院建设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共资助13家敬老院建设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147.131万元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民办养老机构、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特困供养机构和村级进行养老服务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，共资助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13家民办养老机构、特困供养机构和村级提升养老服务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万元资助民办养老机构运营补贴，共资助5个民办养老机构；安排18.9526万元资助特困人员家庭无线感火灾探测报警器项目，共资助5072户；安排1.95万元资助65周岁以上失能老年人综合评估，共评估195人；安排10万元养老机构院长职业管理培训与护理职业技能及消防培训，共资助1家机构；安排13.7万元购买养老机构责任险，共资助17家养老机构；安排6.1005万元资助老龄保险，共资助2905人。</w:t>
      </w:r>
    </w:p>
    <w:p w14:paraId="3B53AB5C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②儿童福利类项目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66.1235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进行提升儿童福利服务，共资助16个村进行提升；安排22万元用于未成年人保护，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共资助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9个村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开展未成年人保护工作；安排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6.1235万元购买孤儿、事实无人抚养儿童保险，共购买328人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7640E55A">
      <w:pPr>
        <w:widowControl/>
        <w:spacing w:line="480" w:lineRule="auto"/>
        <w:ind w:firstLine="652"/>
        <w:rPr>
          <w:rFonts w:hint="default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③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扶贫济困项目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13万元：安排13万元资助困难家庭。</w:t>
      </w:r>
    </w:p>
    <w:p w14:paraId="235233B2">
      <w:pPr>
        <w:widowControl/>
        <w:spacing w:line="480" w:lineRule="auto"/>
        <w:ind w:firstLine="652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④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其他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公益类项目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万元：安排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社会组织支持社会公益类项目开展；安排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8万元支持2个村、社区开展其他公益类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。</w:t>
      </w:r>
    </w:p>
    <w:p w14:paraId="0D4CEFBD">
      <w:pPr>
        <w:widowControl/>
        <w:spacing w:line="480" w:lineRule="auto"/>
        <w:ind w:firstLine="652"/>
        <w:rPr>
          <w:rFonts w:hint="default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⑤乡村振兴示范创建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7万元：安排7万元支持1个村开展养老服务。</w:t>
      </w:r>
    </w:p>
    <w:p w14:paraId="7CB31F30">
      <w:pPr>
        <w:widowControl/>
        <w:spacing w:line="480" w:lineRule="auto"/>
        <w:ind w:firstLine="652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3.执行情况</w:t>
      </w:r>
    </w:p>
    <w:p w14:paraId="49C99648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资金已于202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月底全部下达。截至202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日，实现支付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657.2145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98.33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%。其中：老年福利类实现支出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563.1465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98.24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%；儿童福利类实现支出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66.068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99.92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%；社会公益类实现支出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万元，预算执行率为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96.55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%。</w:t>
      </w:r>
    </w:p>
    <w:p w14:paraId="6001DB9A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4.主要绩效目标及完成情况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安排</w:t>
      </w:r>
    </w:p>
    <w:p w14:paraId="291C5F80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数量指标：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敬老院建设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所，当年实际完成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所；支持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养老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服务能力提升个数指标≥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民办养老机构运营补贴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特困人员家庭防火灾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5072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5072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特困供养机构抗意外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支持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未成年人保护和儿童福利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服务能力提升个数指标≥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；支付村级乡村振兴示范创建个数指村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≥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个，当年实际完成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个。</w:t>
      </w:r>
    </w:p>
    <w:p w14:paraId="45F0816D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满意度指标：“接受服务的特殊困难老年人对特困供养机构服务满意度”完成9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%、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“接受消防改造服务的特困供养对象服务满意度”完成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96.88%、“未成年人满意度”完成97.23%、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“村民满意度”完成9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.7%。</w:t>
      </w:r>
    </w:p>
    <w:p w14:paraId="45F9CCD6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、监督管理情况</w:t>
      </w:r>
    </w:p>
    <w:p w14:paraId="7C20A714">
      <w:pPr>
        <w:widowControl/>
        <w:spacing w:line="480" w:lineRule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　　（一）做好验收监督</w:t>
      </w:r>
    </w:p>
    <w:p w14:paraId="1860BFE6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严格按照《民政部办公厅进一步加强彩票公益金使用管理的通知》（民办函〔2021〕79号）要求，对全县所有项目实行全覆盖验收。并接受省市重点民生实事验收和各项专项审计，一旦发现问题，迅速研究制定整改计划、落实整改责任、确保整改实效，目前立行立改类问题已全面完成整改。</w:t>
      </w:r>
    </w:p>
    <w:p w14:paraId="5AE2378E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（二）持续完善制度建设</w:t>
      </w:r>
    </w:p>
    <w:p w14:paraId="07A0FFFF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与财政联合制定出台《桃江县福彩公益金支持福利事业专项资金管理办法》（桃财行综〔2023〕56号），对资金使用范围、资金分配和使用管理、信息公开、绩效管理、监督检查等做了明确的规定，确保福彩公益金 “花得好</w:t>
      </w:r>
      <w:bookmarkStart w:id="0" w:name="_GoBack"/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”“</w:t>
      </w:r>
      <w:bookmarkEnd w:id="0"/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能见效”，为建立科学、规范、高效的资金管理体制和运行机制，提高资金使用效益提供了制度保障。</w:t>
      </w:r>
    </w:p>
    <w:p w14:paraId="7A343F6F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（三）信息公开和标识使用管理</w:t>
      </w:r>
    </w:p>
    <w:p w14:paraId="690DFC93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一是通过修订福彩公益金信息公开公示管理制度，不断完善福彩公益金信息公开内容，每年度在桃江县人民政府官网中公开所有项目资金使用与管理情况，信息公开不仅有完整的文字内容，还附有公示表格，分别反映了福彩公益金资助项目类型、项目名称、项目实施单位、资金额度、联系方式等内容，让社会各界一目了然。三是督促各项目单位，基建项目在显著位置悬挂“彩票公益金资助—中国福利彩票”永久标识、设备项目在采购的设备上粘贴“彩票公益金资助—中国福利彩票”纸质标识、培训项目中印制“彩票公益金资助—中国福利彩票”宣传资料等，把标识应用也作为公示信息内容管理，主动接受人民群众、社会各界和新闻媒体的监督，有效保障福彩公益金使用规范安全，不断提升福彩公益金项目的公信度。</w:t>
      </w:r>
    </w:p>
    <w:p w14:paraId="739957DF">
      <w:pPr>
        <w:widowControl/>
        <w:spacing w:line="480" w:lineRule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（四）做好福彩公益金宣传</w:t>
      </w:r>
    </w:p>
    <w:p w14:paraId="037B14D3">
      <w:pPr>
        <w:widowControl/>
        <w:spacing w:line="480" w:lineRule="auto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　　把福彩公益金宣传作为福彩公益金管理的重要内容之一，向社会宣传福彩的公益理念以及“扶老、助残、救孤、济困”的宗旨，让老百姓切实感受到福利彩票“取之于民、用之于民”的公益属性。通过印发宣传资料、设置宣传专栏等形式对福彩公益金助力老年人教育、绿色殡葬、儿童关爱等项目情况开展了宣传，取得了较好的社会反响，群众认可度、支持度不断提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49FE"/>
    <w:rsid w:val="00001144"/>
    <w:rsid w:val="000013C2"/>
    <w:rsid w:val="00035106"/>
    <w:rsid w:val="00056479"/>
    <w:rsid w:val="00086B86"/>
    <w:rsid w:val="00092A23"/>
    <w:rsid w:val="000D0F22"/>
    <w:rsid w:val="000E1259"/>
    <w:rsid w:val="000F6A18"/>
    <w:rsid w:val="00126624"/>
    <w:rsid w:val="00152C92"/>
    <w:rsid w:val="00165089"/>
    <w:rsid w:val="001C3654"/>
    <w:rsid w:val="001C42CB"/>
    <w:rsid w:val="001E0FFC"/>
    <w:rsid w:val="00230927"/>
    <w:rsid w:val="00235814"/>
    <w:rsid w:val="00252AC0"/>
    <w:rsid w:val="00254B0B"/>
    <w:rsid w:val="00277FBA"/>
    <w:rsid w:val="00306405"/>
    <w:rsid w:val="0032264C"/>
    <w:rsid w:val="00337F4B"/>
    <w:rsid w:val="00353452"/>
    <w:rsid w:val="003704A7"/>
    <w:rsid w:val="003922B1"/>
    <w:rsid w:val="003F7968"/>
    <w:rsid w:val="00407E44"/>
    <w:rsid w:val="00436204"/>
    <w:rsid w:val="00491672"/>
    <w:rsid w:val="004A6A3D"/>
    <w:rsid w:val="005122C1"/>
    <w:rsid w:val="00551C5F"/>
    <w:rsid w:val="00575F4E"/>
    <w:rsid w:val="00582B37"/>
    <w:rsid w:val="00597EA7"/>
    <w:rsid w:val="005A1C9D"/>
    <w:rsid w:val="005B490F"/>
    <w:rsid w:val="005D0C1B"/>
    <w:rsid w:val="005E19C5"/>
    <w:rsid w:val="00614908"/>
    <w:rsid w:val="00623D6C"/>
    <w:rsid w:val="00627018"/>
    <w:rsid w:val="00642BC0"/>
    <w:rsid w:val="006914A0"/>
    <w:rsid w:val="006933EF"/>
    <w:rsid w:val="006C6029"/>
    <w:rsid w:val="006F568A"/>
    <w:rsid w:val="0077171F"/>
    <w:rsid w:val="007751E9"/>
    <w:rsid w:val="007C2F43"/>
    <w:rsid w:val="007E6750"/>
    <w:rsid w:val="00804A55"/>
    <w:rsid w:val="008165EF"/>
    <w:rsid w:val="00834B05"/>
    <w:rsid w:val="008470A1"/>
    <w:rsid w:val="00876267"/>
    <w:rsid w:val="00894F6C"/>
    <w:rsid w:val="008C61B8"/>
    <w:rsid w:val="008D12B4"/>
    <w:rsid w:val="009074B5"/>
    <w:rsid w:val="009556B8"/>
    <w:rsid w:val="00960A79"/>
    <w:rsid w:val="009667D1"/>
    <w:rsid w:val="0098064B"/>
    <w:rsid w:val="00987A75"/>
    <w:rsid w:val="009972E6"/>
    <w:rsid w:val="009D45C0"/>
    <w:rsid w:val="009F1387"/>
    <w:rsid w:val="00A10935"/>
    <w:rsid w:val="00AC2005"/>
    <w:rsid w:val="00AE169B"/>
    <w:rsid w:val="00AE5978"/>
    <w:rsid w:val="00B01C3D"/>
    <w:rsid w:val="00B357E0"/>
    <w:rsid w:val="00B65E68"/>
    <w:rsid w:val="00B66BF1"/>
    <w:rsid w:val="00BD49FE"/>
    <w:rsid w:val="00BE0E6F"/>
    <w:rsid w:val="00C24A6C"/>
    <w:rsid w:val="00C434D9"/>
    <w:rsid w:val="00C852E7"/>
    <w:rsid w:val="00C915F9"/>
    <w:rsid w:val="00D427F8"/>
    <w:rsid w:val="00D66DA0"/>
    <w:rsid w:val="00DA2B1B"/>
    <w:rsid w:val="00DB5446"/>
    <w:rsid w:val="00DF7667"/>
    <w:rsid w:val="00E1299C"/>
    <w:rsid w:val="00E45A20"/>
    <w:rsid w:val="00E507A8"/>
    <w:rsid w:val="00E55DB8"/>
    <w:rsid w:val="00E608D2"/>
    <w:rsid w:val="00E74C5A"/>
    <w:rsid w:val="00E80EC3"/>
    <w:rsid w:val="00E94257"/>
    <w:rsid w:val="00EA2366"/>
    <w:rsid w:val="00EB21B7"/>
    <w:rsid w:val="00EC2CF5"/>
    <w:rsid w:val="00EC4EED"/>
    <w:rsid w:val="00F13468"/>
    <w:rsid w:val="00F1503E"/>
    <w:rsid w:val="00F351C8"/>
    <w:rsid w:val="00F61665"/>
    <w:rsid w:val="00F67287"/>
    <w:rsid w:val="00FA3031"/>
    <w:rsid w:val="00FB40ED"/>
    <w:rsid w:val="00FF0C6A"/>
    <w:rsid w:val="0CD9574D"/>
    <w:rsid w:val="0ED13AF6"/>
    <w:rsid w:val="127B278A"/>
    <w:rsid w:val="20174376"/>
    <w:rsid w:val="352107F8"/>
    <w:rsid w:val="352C30AA"/>
    <w:rsid w:val="3E2B3E7E"/>
    <w:rsid w:val="4B820A64"/>
    <w:rsid w:val="5B8A5421"/>
    <w:rsid w:val="64F41B5D"/>
    <w:rsid w:val="70442AB0"/>
    <w:rsid w:val="76D2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8</Pages>
  <Words>3506</Words>
  <Characters>3834</Characters>
  <Lines>25</Lines>
  <Paragraphs>7</Paragraphs>
  <TotalTime>18</TotalTime>
  <ScaleCrop>false</ScaleCrop>
  <LinksUpToDate>false</LinksUpToDate>
  <CharactersWithSpaces>3913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2022-03-08T09:15:00Z</dcterms:created>
  <dc:creator>China</dc:creator>
  <cp:lastModifiedBy>郭莹</cp:lastModifiedBy>
  <dcterms:modified xsi:type="dcterms:W3CDTF">2026-10-23T02:41:41Z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eyJoZGlkIjoiNTRkNTE0ZjU3OGUyODIzMjA3MTI5OTk4MmRkNjRiN2QiLCJ1c2VySWQiOiI2MDkxMTM4OTQifQ==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D6A9B902AB9F481390625EE5E68EF952_12</vt:lpwstr>
  </property>
</Properties>
</file>