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9F8B10">
      <w:pPr>
        <w:adjustRightInd w:val="0"/>
        <w:snapToGrid w:val="0"/>
        <w:spacing w:line="57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桃江县2023年度中央和省市级彩票公益金绩效评价报告</w:t>
      </w:r>
    </w:p>
    <w:p w14:paraId="404EC08C">
      <w:pPr>
        <w:adjustRightInd w:val="0"/>
        <w:snapToGrid w:val="0"/>
        <w:spacing w:line="57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桃江县民政局</w:t>
      </w:r>
    </w:p>
    <w:p w14:paraId="1A4D255E">
      <w:pPr>
        <w:adjustRightInd w:val="0"/>
        <w:snapToGrid w:val="0"/>
        <w:spacing w:line="54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（2024年3月30日）</w:t>
      </w:r>
    </w:p>
    <w:p w14:paraId="7A16A32A">
      <w:pPr>
        <w:adjustRightInd w:val="0"/>
        <w:snapToGrid w:val="0"/>
        <w:spacing w:line="540" w:lineRule="exact"/>
        <w:jc w:val="center"/>
        <w:rPr>
          <w:rFonts w:ascii="仿宋_GB2312" w:hAnsi="仿宋_GB2312" w:eastAsia="仿宋_GB2312" w:cs="仿宋_GB2312"/>
          <w:sz w:val="32"/>
          <w:szCs w:val="32"/>
        </w:rPr>
      </w:pPr>
    </w:p>
    <w:p w14:paraId="499DEE0C">
      <w:pPr>
        <w:adjustRightInd w:val="0"/>
        <w:snapToGrid w:val="0"/>
        <w:spacing w:line="55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为扎实开展彩票公益金管理工作，切实发挥民政助老、济困、扶贫功能，根据《桃江县财政局关于开展2023年度财政资金绩效自评工作的通知》（桃财监[2024]51号）文件精神，我局组织实施了2023年度彩票公益金绩效评价工作，形成自评报告如下：</w:t>
      </w:r>
    </w:p>
    <w:p w14:paraId="543A1F3A">
      <w:pPr>
        <w:pStyle w:val="4"/>
        <w:shd w:val="clear" w:color="auto" w:fill="FFFFFF"/>
        <w:spacing w:line="560" w:lineRule="exact"/>
        <w:ind w:firstLine="643" w:firstLineChars="200"/>
        <w:rPr>
          <w:rFonts w:ascii="仿宋" w:hAnsi="仿宋" w:eastAsia="仿宋"/>
          <w:b/>
          <w:color w:val="333333"/>
          <w:sz w:val="32"/>
          <w:szCs w:val="32"/>
        </w:rPr>
      </w:pPr>
      <w:r>
        <w:rPr>
          <w:rFonts w:hint="eastAsia" w:ascii="仿宋" w:hAnsi="仿宋" w:eastAsia="仿宋"/>
          <w:b/>
          <w:color w:val="333333"/>
          <w:sz w:val="32"/>
          <w:szCs w:val="32"/>
        </w:rPr>
        <w:t>一、资金分解下达情况</w:t>
      </w:r>
    </w:p>
    <w:p w14:paraId="6E97E697">
      <w:pPr>
        <w:pStyle w:val="4"/>
        <w:shd w:val="clear" w:color="auto" w:fill="FFFFFF"/>
        <w:spacing w:line="580" w:lineRule="exact"/>
        <w:ind w:firstLine="640" w:firstLineChars="200"/>
        <w:rPr>
          <w:rFonts w:ascii="仿宋" w:hAnsi="仿宋" w:eastAsia="仿宋"/>
          <w:sz w:val="32"/>
          <w:szCs w:val="32"/>
        </w:rPr>
      </w:pPr>
      <w:r>
        <w:rPr>
          <w:rFonts w:hint="eastAsia" w:ascii="仿宋" w:hAnsi="仿宋" w:eastAsia="仿宋"/>
          <w:sz w:val="32"/>
          <w:szCs w:val="32"/>
        </w:rPr>
        <w:t>2023年中央下达孤儿助学金12万元,下达支持社会福利事业专项资金（养老机构建设）240万元，下达特殊困难老年人家庭适老化改造49.8万元，下达共计资金301.8万元。</w:t>
      </w:r>
    </w:p>
    <w:p w14:paraId="586C1A3F">
      <w:pPr>
        <w:pStyle w:val="4"/>
        <w:shd w:val="clear" w:color="auto" w:fill="FFFFFF"/>
        <w:spacing w:line="560" w:lineRule="exact"/>
        <w:ind w:firstLine="640" w:firstLineChars="200"/>
        <w:rPr>
          <w:rFonts w:ascii="仿宋" w:hAnsi="仿宋" w:eastAsia="仿宋"/>
          <w:sz w:val="32"/>
          <w:szCs w:val="32"/>
        </w:rPr>
      </w:pPr>
      <w:r>
        <w:rPr>
          <w:rFonts w:hint="eastAsia" w:ascii="仿宋" w:hAnsi="仿宋" w:eastAsia="仿宋"/>
          <w:sz w:val="32"/>
          <w:szCs w:val="32"/>
        </w:rPr>
        <w:t>2023年省级下达市县分成福彩公益金187.16万元，下达民办养老机构运营补贴13万元，下达福彩公益金超收分成25万元，下达适老化改造99.6万元，下达共计资金324.76万元。</w:t>
      </w:r>
    </w:p>
    <w:p w14:paraId="4E307F6E">
      <w:pPr>
        <w:pStyle w:val="4"/>
        <w:shd w:val="clear" w:color="auto" w:fill="FFFFFF"/>
        <w:spacing w:line="560" w:lineRule="exact"/>
        <w:ind w:firstLine="640" w:firstLineChars="200"/>
        <w:rPr>
          <w:rFonts w:ascii="仿宋" w:hAnsi="仿宋" w:eastAsia="仿宋"/>
          <w:sz w:val="32"/>
          <w:szCs w:val="32"/>
        </w:rPr>
      </w:pPr>
      <w:r>
        <w:rPr>
          <w:rFonts w:hint="eastAsia" w:ascii="仿宋" w:hAnsi="仿宋" w:eastAsia="仿宋"/>
          <w:sz w:val="32"/>
          <w:szCs w:val="32"/>
        </w:rPr>
        <w:t>2023年市级下达省级福利彩票公益金12万元，下达分成福利彩票公益金43万元，下达共计资金55万元。</w:t>
      </w:r>
    </w:p>
    <w:p w14:paraId="6AE6663E">
      <w:pPr>
        <w:widowControl/>
        <w:spacing w:line="560" w:lineRule="exact"/>
        <w:ind w:firstLine="640"/>
        <w:jc w:val="left"/>
        <w:rPr>
          <w:rFonts w:ascii="仿宋" w:hAnsi="仿宋" w:eastAsia="仿宋" w:cs="宋体"/>
          <w:color w:val="000000"/>
          <w:kern w:val="0"/>
          <w:sz w:val="32"/>
          <w:szCs w:val="32"/>
        </w:rPr>
      </w:pPr>
      <w:r>
        <w:rPr>
          <w:rFonts w:hint="eastAsia" w:ascii="仿宋" w:hAnsi="仿宋" w:eastAsia="仿宋" w:cs="宋体"/>
          <w:b/>
          <w:bCs/>
          <w:color w:val="000000"/>
          <w:kern w:val="0"/>
          <w:sz w:val="32"/>
          <w:szCs w:val="32"/>
        </w:rPr>
        <w:t>二、资金分配管理情况</w:t>
      </w:r>
    </w:p>
    <w:p w14:paraId="66E26FA0">
      <w:pPr>
        <w:widowControl/>
        <w:spacing w:line="560" w:lineRule="exact"/>
        <w:ind w:firstLine="627"/>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根据相关文件要求，结合本县项目申报情况，我们将资金进行了分解下达，用于养老服务、殡葬基础设施建设、孤儿助学、幸福社区、儿童之家等项目。同时，要求各项目单位严格按照彩票公益金和绩效管理相关规定，加强资金的使用管理，加快预算执行进度，建立绩效运行监控机制、项目资金绩效评价指标体系和绩效考核问责机制。</w:t>
      </w:r>
    </w:p>
    <w:p w14:paraId="7DF63342">
      <w:pPr>
        <w:widowControl/>
        <w:spacing w:line="560" w:lineRule="exact"/>
        <w:ind w:firstLine="627"/>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三.</w:t>
      </w:r>
      <w:r>
        <w:rPr>
          <w:rFonts w:hint="eastAsia" w:ascii="仿宋" w:hAnsi="仿宋" w:eastAsia="仿宋" w:cs="宋体"/>
          <w:b/>
          <w:bCs/>
          <w:color w:val="000000"/>
          <w:kern w:val="0"/>
          <w:sz w:val="32"/>
          <w:szCs w:val="32"/>
        </w:rPr>
        <w:t>资金到位和执行情况</w:t>
      </w:r>
    </w:p>
    <w:p w14:paraId="085CA9B1">
      <w:pPr>
        <w:widowControl/>
        <w:spacing w:line="560" w:lineRule="exact"/>
        <w:ind w:firstLine="627"/>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至2024年3月止，已</w:t>
      </w:r>
      <w:r>
        <w:rPr>
          <w:rFonts w:hint="eastAsia" w:ascii="仿宋" w:hAnsi="仿宋" w:eastAsia="仿宋" w:cs="宋体"/>
          <w:color w:val="000000"/>
          <w:kern w:val="0"/>
          <w:sz w:val="32"/>
          <w:szCs w:val="32"/>
          <w:lang w:eastAsia="zh-CN"/>
        </w:rPr>
        <w:t>拨付</w:t>
      </w:r>
      <w:r>
        <w:rPr>
          <w:rFonts w:hint="eastAsia" w:ascii="仿宋" w:hAnsi="仿宋" w:eastAsia="仿宋" w:cs="宋体"/>
          <w:color w:val="000000"/>
          <w:kern w:val="0"/>
          <w:sz w:val="32"/>
          <w:szCs w:val="32"/>
        </w:rPr>
        <w:t>到位资金681.56万元，全部</w:t>
      </w:r>
      <w:bookmarkStart w:id="0" w:name="_GoBack"/>
      <w:bookmarkEnd w:id="0"/>
      <w:r>
        <w:rPr>
          <w:rFonts w:hint="eastAsia" w:ascii="仿宋" w:hAnsi="仿宋" w:eastAsia="仿宋" w:cs="宋体"/>
          <w:color w:val="000000"/>
          <w:kern w:val="0"/>
          <w:sz w:val="32"/>
          <w:szCs w:val="32"/>
          <w:lang w:eastAsia="zh-CN"/>
        </w:rPr>
        <w:t>拨付</w:t>
      </w:r>
      <w:r>
        <w:rPr>
          <w:rFonts w:hint="eastAsia" w:ascii="仿宋" w:hAnsi="仿宋" w:eastAsia="仿宋" w:cs="宋体"/>
          <w:color w:val="000000"/>
          <w:kern w:val="0"/>
          <w:sz w:val="32"/>
          <w:szCs w:val="32"/>
        </w:rPr>
        <w:t>到位，已</w:t>
      </w:r>
      <w:r>
        <w:rPr>
          <w:rFonts w:hint="eastAsia" w:ascii="仿宋" w:hAnsi="仿宋" w:eastAsia="仿宋" w:cs="宋体"/>
          <w:color w:val="000000"/>
          <w:kern w:val="0"/>
          <w:sz w:val="32"/>
          <w:szCs w:val="32"/>
          <w:lang w:eastAsia="zh-CN"/>
        </w:rPr>
        <w:t>拨付</w:t>
      </w:r>
      <w:r>
        <w:rPr>
          <w:rFonts w:hint="eastAsia" w:ascii="仿宋" w:hAnsi="仿宋" w:eastAsia="仿宋" w:cs="宋体"/>
          <w:color w:val="000000"/>
          <w:kern w:val="0"/>
          <w:sz w:val="32"/>
          <w:szCs w:val="32"/>
        </w:rPr>
        <w:t>到位的资金严格按照专项资金管理规定，确保专款专用，并坚持在项目验收合格后</w:t>
      </w:r>
      <w:r>
        <w:rPr>
          <w:rFonts w:hint="eastAsia" w:ascii="仿宋" w:hAnsi="仿宋" w:eastAsia="仿宋" w:cs="宋体"/>
          <w:color w:val="000000"/>
          <w:kern w:val="0"/>
          <w:sz w:val="32"/>
          <w:szCs w:val="32"/>
          <w:lang w:eastAsia="zh-CN"/>
        </w:rPr>
        <w:t>拨付</w:t>
      </w:r>
      <w:r>
        <w:rPr>
          <w:rFonts w:hint="eastAsia" w:ascii="仿宋" w:hAnsi="仿宋" w:eastAsia="仿宋" w:cs="宋体"/>
          <w:color w:val="000000"/>
          <w:kern w:val="0"/>
          <w:sz w:val="32"/>
          <w:szCs w:val="32"/>
        </w:rPr>
        <w:t>资金。</w:t>
      </w:r>
    </w:p>
    <w:p w14:paraId="420C48BD">
      <w:pPr>
        <w:pStyle w:val="4"/>
        <w:shd w:val="clear" w:color="auto" w:fill="FFFFFF"/>
        <w:spacing w:line="560" w:lineRule="exact"/>
        <w:ind w:firstLine="639" w:firstLineChars="199"/>
        <w:rPr>
          <w:rFonts w:ascii="仿宋" w:hAnsi="仿宋" w:eastAsia="仿宋"/>
          <w:b/>
          <w:sz w:val="32"/>
          <w:szCs w:val="32"/>
        </w:rPr>
      </w:pPr>
      <w:r>
        <w:rPr>
          <w:rFonts w:hint="eastAsia" w:ascii="仿宋" w:hAnsi="仿宋" w:eastAsia="仿宋"/>
          <w:b/>
          <w:sz w:val="32"/>
          <w:szCs w:val="32"/>
        </w:rPr>
        <w:t>四、项目实施情况</w:t>
      </w:r>
    </w:p>
    <w:p w14:paraId="345674F3">
      <w:pPr>
        <w:ind w:firstLine="640" w:firstLineChars="200"/>
        <w:jc w:val="left"/>
        <w:rPr>
          <w:rFonts w:ascii="仿宋" w:hAnsi="仿宋" w:eastAsia="仿宋"/>
          <w:color w:val="000000"/>
          <w:sz w:val="32"/>
          <w:szCs w:val="32"/>
        </w:rPr>
      </w:pPr>
      <w:r>
        <w:rPr>
          <w:rFonts w:hint="eastAsia" w:ascii="仿宋" w:hAnsi="仿宋" w:eastAsia="仿宋"/>
          <w:sz w:val="32"/>
          <w:szCs w:val="32"/>
        </w:rPr>
        <w:t>中央福彩公益金主要用于孤儿助学、敬老院建设、适老化改造等社会公益性资助。中央下达孤儿助学金12万元，该项目主要对已被认定为孤儿身份、年满18周岁后在普通全日制本科学校、普通全日制专科学校、高等职业学校等高等院校及中等职业学校就读中专、大专、本科学生和硕士研究生进行资助；中央下达支持社会福利事业专项资金（养老机构建设）240万元，用于新建灰山港敬老院，</w:t>
      </w:r>
      <w:r>
        <w:rPr>
          <w:rFonts w:hint="eastAsia" w:ascii="仿宋" w:hAnsi="仿宋" w:eastAsia="仿宋" w:cs="仿宋"/>
          <w:sz w:val="30"/>
          <w:szCs w:val="30"/>
        </w:rPr>
        <w:t>项目新建生活楼1栋(3层)，建筑面积1492.31㎡；改造旧房一栋3层面积为1765.58㎡，拆除原有危房建筑1栋；配套建设室外道路黑化、亮化绿化等附属工程3800㎡；规划购置100张床、其中护理型床位80张，项目总投资约680万元。养老护理床位建设项目已经市、县专班的验收合格</w:t>
      </w:r>
      <w:r>
        <w:rPr>
          <w:rFonts w:hint="eastAsia" w:ascii="仿宋" w:hAnsi="仿宋" w:eastAsia="仿宋"/>
          <w:sz w:val="32"/>
          <w:szCs w:val="32"/>
        </w:rPr>
        <w:t>；中央下达特殊困难老年人家庭适老化改造49.8万元，</w:t>
      </w:r>
      <w:r>
        <w:rPr>
          <w:rFonts w:hint="eastAsia" w:ascii="仿宋" w:hAnsi="仿宋" w:eastAsia="仿宋"/>
          <w:color w:val="000000"/>
          <w:sz w:val="32"/>
          <w:szCs w:val="32"/>
        </w:rPr>
        <w:t>2023年对全县498户困难老年人家庭进行适老化改造，采取施工改造、设施配备等方式，改善老年人家庭居住条件，从而缓解老年人因生理机能变化导致的生活不便，降低在家庭发生意外的风险，提升居家养老品质。</w:t>
      </w:r>
    </w:p>
    <w:p w14:paraId="54657084">
      <w:pPr>
        <w:pStyle w:val="4"/>
        <w:shd w:val="clear" w:color="auto" w:fill="FFFFFF"/>
        <w:spacing w:line="580" w:lineRule="exact"/>
        <w:ind w:firstLine="640" w:firstLineChars="200"/>
        <w:rPr>
          <w:rFonts w:ascii="仿宋" w:hAnsi="仿宋" w:eastAsia="仿宋"/>
          <w:sz w:val="32"/>
          <w:szCs w:val="32"/>
        </w:rPr>
      </w:pPr>
      <w:r>
        <w:rPr>
          <w:rFonts w:hint="eastAsia" w:ascii="仿宋" w:hAnsi="仿宋" w:eastAsia="仿宋"/>
          <w:sz w:val="32"/>
          <w:szCs w:val="32"/>
        </w:rPr>
        <w:t>省级福彩公益金主要用于养老服务、幸福社区、儿童之家等社会公益性资助。省级下达民办养老机构运营补贴13万元，对考核合格的养老机构，根据实际入住人数按每人每月100元左右的标准发放运营补贴。省级下达福彩公益金超收分成25万元，用于养老服务，资助了桃花江镇敬老院、灰山港镇敬老院等4家养老机构，资助了温塘村、莲花坪村等6个村进行幸福社区建设。</w:t>
      </w:r>
    </w:p>
    <w:p w14:paraId="3A301AC9">
      <w:pPr>
        <w:widowControl/>
        <w:spacing w:line="560" w:lineRule="exact"/>
        <w:ind w:firstLine="627"/>
        <w:jc w:val="left"/>
        <w:rPr>
          <w:rFonts w:ascii="仿宋" w:hAnsi="仿宋" w:eastAsia="仿宋" w:cs="宋体"/>
          <w:b/>
          <w:bCs/>
          <w:color w:val="000000"/>
          <w:kern w:val="0"/>
          <w:sz w:val="32"/>
          <w:szCs w:val="32"/>
        </w:rPr>
      </w:pPr>
      <w:r>
        <w:rPr>
          <w:rFonts w:hint="eastAsia" w:ascii="仿宋" w:hAnsi="仿宋" w:eastAsia="仿宋" w:cs="宋体"/>
          <w:b/>
          <w:bCs/>
          <w:color w:val="000000"/>
          <w:kern w:val="0"/>
          <w:sz w:val="32"/>
          <w:szCs w:val="32"/>
        </w:rPr>
        <w:t>五、项目社会效益和经济效益</w:t>
      </w:r>
    </w:p>
    <w:p w14:paraId="3D74EB86">
      <w:pPr>
        <w:pStyle w:val="4"/>
        <w:shd w:val="clear" w:color="auto" w:fill="FFFFFF"/>
        <w:spacing w:line="580" w:lineRule="exact"/>
        <w:ind w:firstLine="640" w:firstLineChars="200"/>
        <w:rPr>
          <w:rFonts w:ascii="仿宋" w:hAnsi="仿宋" w:eastAsia="仿宋"/>
          <w:sz w:val="32"/>
          <w:szCs w:val="32"/>
        </w:rPr>
      </w:pPr>
      <w:r>
        <w:rPr>
          <w:rFonts w:ascii="仿宋" w:hAnsi="仿宋" w:eastAsia="仿宋"/>
          <w:sz w:val="32"/>
          <w:szCs w:val="32"/>
        </w:rPr>
        <w:t>福彩公益金的绩效目标为开展社</w:t>
      </w:r>
      <w:r>
        <w:rPr>
          <w:rFonts w:hint="eastAsia" w:ascii="仿宋" w:hAnsi="仿宋" w:eastAsia="仿宋"/>
          <w:sz w:val="32"/>
          <w:szCs w:val="32"/>
        </w:rPr>
        <w:t>会</w:t>
      </w:r>
      <w:r>
        <w:rPr>
          <w:rFonts w:ascii="仿宋" w:hAnsi="仿宋" w:eastAsia="仿宋"/>
          <w:sz w:val="32"/>
          <w:szCs w:val="32"/>
        </w:rPr>
        <w:t>公益事业项目，弘扬福彩“扶老、助残、救孤、济困”发行宗旨，推进我</w:t>
      </w:r>
      <w:r>
        <w:rPr>
          <w:rFonts w:hint="eastAsia" w:ascii="仿宋" w:hAnsi="仿宋" w:eastAsia="仿宋"/>
          <w:sz w:val="32"/>
          <w:szCs w:val="32"/>
        </w:rPr>
        <w:t>县</w:t>
      </w:r>
      <w:r>
        <w:rPr>
          <w:rFonts w:ascii="仿宋" w:hAnsi="仿宋" w:eastAsia="仿宋"/>
          <w:sz w:val="32"/>
          <w:szCs w:val="32"/>
        </w:rPr>
        <w:t>社会福利体系、</w:t>
      </w:r>
      <w:r>
        <w:rPr>
          <w:rFonts w:hint="eastAsia" w:ascii="仿宋" w:hAnsi="仿宋" w:eastAsia="仿宋"/>
          <w:sz w:val="32"/>
          <w:szCs w:val="32"/>
        </w:rPr>
        <w:t>养老服务、社会工作服务能力建设</w:t>
      </w:r>
      <w:r>
        <w:rPr>
          <w:rFonts w:ascii="仿宋" w:hAnsi="仿宋" w:eastAsia="仿宋"/>
          <w:sz w:val="32"/>
          <w:szCs w:val="32"/>
        </w:rPr>
        <w:t>，增强</w:t>
      </w:r>
      <w:r>
        <w:rPr>
          <w:rFonts w:hint="eastAsia" w:ascii="仿宋" w:hAnsi="仿宋" w:eastAsia="仿宋"/>
          <w:sz w:val="32"/>
          <w:szCs w:val="32"/>
        </w:rPr>
        <w:t>服务对象</w:t>
      </w:r>
      <w:r>
        <w:rPr>
          <w:rFonts w:ascii="仿宋" w:hAnsi="仿宋" w:eastAsia="仿宋"/>
          <w:sz w:val="32"/>
          <w:szCs w:val="32"/>
        </w:rPr>
        <w:t>的获得感和幸福感。</w:t>
      </w:r>
    </w:p>
    <w:p w14:paraId="115539E3">
      <w:pPr>
        <w:widowControl/>
        <w:spacing w:line="560" w:lineRule="exact"/>
        <w:ind w:firstLine="627"/>
        <w:jc w:val="left"/>
        <w:rPr>
          <w:rFonts w:ascii="仿宋" w:hAnsi="仿宋" w:eastAsia="仿宋" w:cs="宋体"/>
          <w:b/>
          <w:bCs/>
          <w:color w:val="000000"/>
          <w:kern w:val="0"/>
          <w:sz w:val="32"/>
          <w:szCs w:val="32"/>
        </w:rPr>
      </w:pPr>
      <w:r>
        <w:rPr>
          <w:rFonts w:hint="eastAsia" w:ascii="仿宋" w:hAnsi="仿宋" w:eastAsia="仿宋" w:cs="宋体"/>
          <w:b/>
          <w:bCs/>
          <w:color w:val="000000"/>
          <w:kern w:val="0"/>
          <w:sz w:val="32"/>
          <w:szCs w:val="32"/>
        </w:rPr>
        <w:t xml:space="preserve"> 六、项目绩效完成情况</w:t>
      </w:r>
    </w:p>
    <w:p w14:paraId="1F7A7A1E">
      <w:pPr>
        <w:widowControl/>
        <w:spacing w:line="560" w:lineRule="exact"/>
        <w:ind w:firstLine="627"/>
        <w:jc w:val="left"/>
        <w:rPr>
          <w:rFonts w:ascii="仿宋" w:hAnsi="仿宋" w:eastAsia="仿宋" w:cs="仿宋"/>
          <w:b/>
          <w:bCs/>
          <w:sz w:val="32"/>
          <w:szCs w:val="32"/>
        </w:rPr>
      </w:pPr>
      <w:r>
        <w:rPr>
          <w:rFonts w:hint="eastAsia" w:ascii="仿宋" w:hAnsi="仿宋" w:eastAsia="仿宋" w:cs="仿宋"/>
          <w:b/>
          <w:bCs/>
          <w:sz w:val="32"/>
          <w:szCs w:val="32"/>
        </w:rPr>
        <w:t>1、老年人福利类项目</w:t>
      </w:r>
    </w:p>
    <w:p w14:paraId="62D5EBD7">
      <w:pPr>
        <w:spacing w:line="56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使用省级福彩公益金13万元，用于发放民办养老机构运营补贴，共为桃江县仁辉养老服务中心、桃江县富元养老服务中心等7家民办养老机构发放运营补贴，按实际入住人数，动态管理，共发放108张床位，每张床位发放补贴每人每月100元。</w:t>
      </w:r>
    </w:p>
    <w:p w14:paraId="0A0280AF">
      <w:pPr>
        <w:pStyle w:val="4"/>
        <w:shd w:val="clear" w:color="auto" w:fill="FFFFFF"/>
        <w:spacing w:line="590" w:lineRule="exact"/>
        <w:ind w:firstLine="640" w:firstLineChars="200"/>
        <w:rPr>
          <w:rFonts w:ascii="仿宋" w:hAnsi="仿宋" w:eastAsia="仿宋"/>
          <w:color w:val="000000"/>
          <w:sz w:val="32"/>
          <w:szCs w:val="32"/>
        </w:rPr>
      </w:pPr>
      <w:r>
        <w:rPr>
          <w:rFonts w:hint="eastAsia" w:ascii="仿宋" w:hAnsi="仿宋" w:eastAsia="仿宋"/>
          <w:sz w:val="32"/>
          <w:szCs w:val="32"/>
        </w:rPr>
        <w:t>使用福彩公益金超收分成13万元，用于资助灰山港镇敬老院、桃花江镇敬老院等4家进行养老服务。</w:t>
      </w:r>
      <w:r>
        <w:rPr>
          <w:rFonts w:hint="eastAsia" w:ascii="仿宋" w:hAnsi="仿宋" w:eastAsia="仿宋"/>
          <w:color w:val="000000"/>
          <w:sz w:val="32"/>
          <w:szCs w:val="32"/>
        </w:rPr>
        <w:t>主要用于养老机构、老年社会福利机构、城乡社区的养老服务设施新建和改扩建；对社会力量举办的养老机构给予床位建设补贴和运营补贴、设施升级改造补贴；公办养老机构和城乡社区养老服务补贴；为养老机构内的老年人、留守、困难等特殊家庭的老年人提供生活照料、康复护理、精神慰藉等养老服务支出和购买服务支出；经济困难的高龄、失能老年人养老服务补贴等。</w:t>
      </w:r>
    </w:p>
    <w:p w14:paraId="54401059">
      <w:pPr>
        <w:pStyle w:val="4"/>
        <w:shd w:val="clear" w:color="auto" w:fill="FFFFFF"/>
        <w:spacing w:line="590" w:lineRule="exact"/>
        <w:ind w:firstLine="640" w:firstLineChars="200"/>
        <w:rPr>
          <w:rFonts w:ascii="仿宋" w:hAnsi="仿宋" w:eastAsia="仿宋"/>
          <w:sz w:val="32"/>
          <w:szCs w:val="32"/>
        </w:rPr>
      </w:pPr>
      <w:r>
        <w:rPr>
          <w:rFonts w:hint="eastAsia" w:ascii="仿宋" w:hAnsi="仿宋" w:eastAsia="仿宋"/>
          <w:sz w:val="32"/>
          <w:szCs w:val="32"/>
        </w:rPr>
        <w:t>使用市县分成福利彩票92.56万元，用于资助牛田镇敬老院、三堂街镇敬老院等18家养老机构进行养老服务。主要用于养老机构、老年社会福利机构、城乡社区的养老服务设施新建和改扩建；对社会力量举办的养老机构给予床位建设补贴和运营补贴、设施升级改造补贴；公办养老机构和城乡社区养老服务补贴；为养老机构内的老年人、留守、困难等特殊家庭的老年人提供生活照料、康复护理、精神慰藉等养老服务支出和购买服务支出；经济困难的高龄、失能老年人养老服务补贴等。对桃江县桃花江重阳养生养老有限公司进行运营补贴12.6万元，共发放105张床位，每张床位补贴100元/人/月。</w:t>
      </w:r>
    </w:p>
    <w:p w14:paraId="48ED810E">
      <w:pPr>
        <w:pStyle w:val="4"/>
        <w:shd w:val="clear" w:color="auto" w:fill="FFFFFF"/>
        <w:spacing w:line="590" w:lineRule="exact"/>
        <w:ind w:firstLine="640" w:firstLineChars="200"/>
        <w:rPr>
          <w:rFonts w:ascii="仿宋" w:hAnsi="仿宋" w:eastAsia="仿宋"/>
          <w:color w:val="000000"/>
          <w:sz w:val="32"/>
          <w:szCs w:val="32"/>
        </w:rPr>
      </w:pPr>
      <w:r>
        <w:rPr>
          <w:rFonts w:hint="eastAsia" w:ascii="仿宋" w:hAnsi="仿宋" w:eastAsia="仿宋"/>
          <w:sz w:val="32"/>
          <w:szCs w:val="32"/>
        </w:rPr>
        <w:t>使用中央彩票公益金49.8万元,省级福彩公益金99.6万元,市县分成福利彩票5万元,用于资助适老化改造建设,用于对全县498户困难老年人家庭进行适</w:t>
      </w:r>
      <w:r>
        <w:rPr>
          <w:rFonts w:hint="eastAsia" w:ascii="仿宋" w:hAnsi="仿宋" w:eastAsia="仿宋"/>
          <w:color w:val="000000"/>
          <w:sz w:val="32"/>
          <w:szCs w:val="32"/>
        </w:rPr>
        <w:t>老化改造，采取施工改造、设施配备等方式，改善老年人家庭居住条件，从而缓解老年人因生理机能变化导致的生活不便，降低在家庭发生意外的风险，提升居家养老品质。</w:t>
      </w:r>
    </w:p>
    <w:p w14:paraId="494ADD30">
      <w:pPr>
        <w:pStyle w:val="4"/>
        <w:shd w:val="clear" w:color="auto" w:fill="FFFFFF"/>
        <w:spacing w:line="590" w:lineRule="exact"/>
        <w:ind w:firstLine="640" w:firstLineChars="200"/>
        <w:rPr>
          <w:rFonts w:ascii="仿宋" w:hAnsi="仿宋" w:eastAsia="仿宋"/>
          <w:color w:val="000000"/>
          <w:sz w:val="32"/>
          <w:szCs w:val="32"/>
        </w:rPr>
      </w:pPr>
      <w:r>
        <w:rPr>
          <w:rFonts w:hint="eastAsia" w:ascii="仿宋" w:hAnsi="仿宋" w:eastAsia="仿宋"/>
          <w:sz w:val="32"/>
          <w:szCs w:val="32"/>
        </w:rPr>
        <w:t>使用中央福利彩票公益金240万元，用于新建灰山港敬老院，</w:t>
      </w:r>
      <w:r>
        <w:rPr>
          <w:rFonts w:hint="eastAsia" w:ascii="仿宋" w:hAnsi="仿宋" w:eastAsia="仿宋" w:cs="仿宋"/>
          <w:sz w:val="30"/>
          <w:szCs w:val="30"/>
        </w:rPr>
        <w:t>项目新建生活楼1栋(3层)，建筑面积1492.31㎡；改造旧房一栋3层面积为1765.58㎡，拆除原有危房建筑1栋；配套建设室外道路黑化、亮化绿化等附属工程3800㎡；规划购置100张床、其中护理型床位80张，项目总投资约680万元。养老护理床位建设项目已经市、县专班的验收合格</w:t>
      </w:r>
      <w:r>
        <w:rPr>
          <w:rFonts w:hint="eastAsia" w:ascii="仿宋" w:hAnsi="仿宋" w:eastAsia="仿宋"/>
          <w:sz w:val="32"/>
          <w:szCs w:val="32"/>
        </w:rPr>
        <w:t>；</w:t>
      </w:r>
    </w:p>
    <w:p w14:paraId="3EC963CC">
      <w:pPr>
        <w:spacing w:line="560" w:lineRule="exact"/>
        <w:ind w:firstLine="643" w:firstLineChars="200"/>
        <w:rPr>
          <w:rFonts w:ascii="仿宋" w:hAnsi="仿宋" w:eastAsia="仿宋" w:cs="仿宋"/>
          <w:b/>
          <w:bCs/>
          <w:sz w:val="32"/>
          <w:szCs w:val="32"/>
        </w:rPr>
      </w:pPr>
      <w:r>
        <w:rPr>
          <w:rFonts w:hint="eastAsia" w:ascii="仿宋" w:hAnsi="仿宋" w:eastAsia="仿宋" w:cs="仿宋"/>
          <w:b/>
          <w:bCs/>
          <w:sz w:val="32"/>
          <w:szCs w:val="32"/>
        </w:rPr>
        <w:t>2、儿童福利类项目</w:t>
      </w:r>
    </w:p>
    <w:p w14:paraId="7B192717">
      <w:pPr>
        <w:spacing w:line="560" w:lineRule="exact"/>
        <w:ind w:firstLine="640" w:firstLineChars="200"/>
        <w:rPr>
          <w:rFonts w:ascii="仿宋" w:hAnsi="仿宋" w:eastAsia="仿宋" w:cs="宋体"/>
          <w:color w:val="000000"/>
          <w:kern w:val="0"/>
          <w:sz w:val="32"/>
          <w:szCs w:val="32"/>
        </w:rPr>
      </w:pPr>
      <w:r>
        <w:rPr>
          <w:rFonts w:hint="eastAsia" w:ascii="仿宋" w:hAnsi="仿宋" w:eastAsia="仿宋" w:cs="宋体"/>
          <w:color w:val="000000"/>
          <w:kern w:val="0"/>
          <w:sz w:val="32"/>
          <w:szCs w:val="32"/>
        </w:rPr>
        <w:t>“福彩圆梦·孤儿助学工程”为年满18周岁考入普通全日制本科院校、普通全日制专科学校、高等职业学校等高等院校及在中等职业学校等就读的中专、大专、本科和硕士孤儿每年提供1万元助学金，直至毕业。 “福彩圆梦·</w:t>
      </w:r>
    </w:p>
    <w:p w14:paraId="3E536E27">
      <w:pPr>
        <w:spacing w:line="560" w:lineRule="exact"/>
        <w:rPr>
          <w:rFonts w:ascii="仿宋" w:hAnsi="仿宋" w:eastAsia="仿宋" w:cs="宋体"/>
          <w:color w:val="000000"/>
          <w:kern w:val="0"/>
          <w:sz w:val="32"/>
          <w:szCs w:val="32"/>
        </w:rPr>
      </w:pPr>
      <w:r>
        <w:rPr>
          <w:rFonts w:hint="eastAsia" w:ascii="仿宋" w:hAnsi="仿宋" w:eastAsia="仿宋" w:cs="宋体"/>
          <w:color w:val="000000"/>
          <w:kern w:val="0"/>
          <w:sz w:val="32"/>
          <w:szCs w:val="32"/>
        </w:rPr>
        <w:t>孤儿助学工程”共使用中央彩票公益金支持社会福利资金12万元，资金在孤儿入学取得学籍后申请当月开始发放，按季度发放资金，共资助12名孤儿，资金发放率100%，进一步健全了孤儿保障制度，维护了孤儿受教育的权利，经调查，接受孤儿助学项目资助的孤儿满意度100%。</w:t>
      </w:r>
    </w:p>
    <w:p w14:paraId="6F092AB0">
      <w:pPr>
        <w:spacing w:line="560" w:lineRule="exact"/>
        <w:ind w:firstLine="630"/>
        <w:rPr>
          <w:rFonts w:ascii="仿宋" w:hAnsi="仿宋" w:eastAsia="仿宋" w:cs="宋体"/>
          <w:b/>
          <w:bCs/>
          <w:color w:val="000000"/>
          <w:kern w:val="0"/>
          <w:sz w:val="32"/>
          <w:szCs w:val="32"/>
        </w:rPr>
      </w:pPr>
      <w:r>
        <w:rPr>
          <w:rFonts w:hint="eastAsia" w:ascii="仿宋" w:hAnsi="仿宋" w:eastAsia="仿宋" w:cs="仿宋"/>
          <w:b/>
          <w:bCs/>
          <w:sz w:val="32"/>
          <w:szCs w:val="32"/>
        </w:rPr>
        <w:t>3、社会公益类</w:t>
      </w:r>
      <w:r>
        <w:rPr>
          <w:rFonts w:hint="eastAsia" w:ascii="仿宋" w:hAnsi="仿宋" w:eastAsia="仿宋" w:cs="宋体"/>
          <w:b/>
          <w:bCs/>
          <w:color w:val="000000"/>
          <w:kern w:val="0"/>
          <w:sz w:val="32"/>
          <w:szCs w:val="32"/>
        </w:rPr>
        <w:t>（殡葬基础设施建设）</w:t>
      </w:r>
    </w:p>
    <w:p w14:paraId="1A0D07A4">
      <w:pPr>
        <w:widowControl/>
        <w:spacing w:line="560" w:lineRule="exact"/>
        <w:ind w:firstLine="627"/>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使用市县分成彩票公益金8万元，用于桃江县武潭镇人民政府和马迹塘镇人民政府农村公益性公墓建设项目，该项目是为人民提供公益性墓地为宗旨，不仅可以有限缓解殡葬难题，更可以满足社会需求，提供高质量的殡葬服务。并能解决农村骨灰安葬和处置问题,推动殡葬改革，加快推进乡村振兴和人居环境整治。</w:t>
      </w:r>
    </w:p>
    <w:p w14:paraId="098B3416">
      <w:pPr>
        <w:spacing w:line="560" w:lineRule="exact"/>
        <w:ind w:firstLine="630"/>
        <w:rPr>
          <w:rFonts w:ascii="仿宋" w:hAnsi="仿宋" w:eastAsia="仿宋" w:cs="宋体"/>
          <w:b/>
          <w:bCs/>
          <w:color w:val="000000"/>
          <w:kern w:val="0"/>
          <w:sz w:val="32"/>
          <w:szCs w:val="32"/>
        </w:rPr>
      </w:pPr>
      <w:r>
        <w:rPr>
          <w:rFonts w:hint="eastAsia" w:ascii="仿宋" w:hAnsi="仿宋" w:eastAsia="仿宋" w:cs="仿宋"/>
          <w:b/>
          <w:bCs/>
          <w:sz w:val="32"/>
          <w:szCs w:val="32"/>
        </w:rPr>
        <w:t>4、社会公益类</w:t>
      </w:r>
      <w:r>
        <w:rPr>
          <w:rFonts w:hint="eastAsia" w:ascii="仿宋" w:hAnsi="仿宋" w:eastAsia="仿宋" w:cs="宋体"/>
          <w:b/>
          <w:bCs/>
          <w:color w:val="000000"/>
          <w:kern w:val="0"/>
          <w:sz w:val="32"/>
          <w:szCs w:val="32"/>
        </w:rPr>
        <w:t>（儿童之家）</w:t>
      </w:r>
    </w:p>
    <w:p w14:paraId="4D86496D">
      <w:pPr>
        <w:spacing w:line="590" w:lineRule="exact"/>
        <w:ind w:firstLine="640" w:firstLineChars="200"/>
        <w:rPr>
          <w:rFonts w:ascii="仿宋" w:hAnsi="仿宋" w:eastAsia="仿宋" w:cs="宋体"/>
          <w:b/>
          <w:bCs/>
          <w:color w:val="000000"/>
          <w:kern w:val="0"/>
          <w:sz w:val="32"/>
          <w:szCs w:val="32"/>
        </w:rPr>
      </w:pPr>
      <w:r>
        <w:rPr>
          <w:rFonts w:hint="eastAsia" w:ascii="仿宋" w:hAnsi="仿宋" w:eastAsia="仿宋"/>
          <w:sz w:val="32"/>
          <w:szCs w:val="32"/>
        </w:rPr>
        <w:t>资助了12万元用于高桥镇荷叶塘村等5个村级创建儿童之家，主要用于</w:t>
      </w:r>
      <w:r>
        <w:rPr>
          <w:rFonts w:ascii="仿宋" w:hAnsi="仿宋" w:eastAsia="仿宋" w:cs="宋体"/>
          <w:sz w:val="32"/>
          <w:szCs w:val="32"/>
        </w:rPr>
        <w:t>提供各种培训、文化、娱乐及社交活动,以及社工、医务人员等的服务和支持</w:t>
      </w:r>
      <w:r>
        <w:rPr>
          <w:rFonts w:hint="eastAsia" w:ascii="仿宋" w:hAnsi="仿宋" w:eastAsia="仿宋"/>
          <w:sz w:val="32"/>
          <w:szCs w:val="32"/>
        </w:rPr>
        <w:t>，</w:t>
      </w:r>
      <w:r>
        <w:rPr>
          <w:rFonts w:ascii="仿宋" w:hAnsi="仿宋" w:eastAsia="仿宋" w:cs="宋体"/>
          <w:sz w:val="32"/>
          <w:szCs w:val="32"/>
        </w:rPr>
        <w:t>为儿童和家庭提供一个安全、有益温馨的环境,促进儿童全面发展,提高他们的福祉和生活质量。</w:t>
      </w:r>
    </w:p>
    <w:p w14:paraId="0B6A0EF1">
      <w:pPr>
        <w:spacing w:line="560" w:lineRule="exact"/>
        <w:ind w:firstLine="630"/>
        <w:rPr>
          <w:rFonts w:ascii="仿宋" w:hAnsi="仿宋" w:eastAsia="仿宋" w:cs="宋体"/>
          <w:b/>
          <w:bCs/>
          <w:color w:val="000000"/>
          <w:kern w:val="0"/>
          <w:sz w:val="32"/>
          <w:szCs w:val="32"/>
        </w:rPr>
      </w:pPr>
      <w:r>
        <w:rPr>
          <w:rFonts w:hint="eastAsia" w:ascii="仿宋" w:hAnsi="仿宋" w:eastAsia="仿宋" w:cs="宋体"/>
          <w:b/>
          <w:bCs/>
          <w:color w:val="000000"/>
          <w:kern w:val="0"/>
          <w:sz w:val="32"/>
          <w:szCs w:val="32"/>
        </w:rPr>
        <w:t>5</w:t>
      </w:r>
      <w:r>
        <w:rPr>
          <w:rFonts w:hint="eastAsia" w:ascii="仿宋" w:hAnsi="仿宋" w:eastAsia="仿宋" w:cs="仿宋"/>
          <w:b/>
          <w:bCs/>
          <w:sz w:val="32"/>
          <w:szCs w:val="32"/>
        </w:rPr>
        <w:t>、社会公益类</w:t>
      </w:r>
      <w:r>
        <w:rPr>
          <w:rFonts w:hint="eastAsia" w:ascii="仿宋" w:hAnsi="仿宋" w:eastAsia="仿宋" w:cs="宋体"/>
          <w:b/>
          <w:bCs/>
          <w:color w:val="000000"/>
          <w:kern w:val="0"/>
          <w:sz w:val="32"/>
          <w:szCs w:val="32"/>
        </w:rPr>
        <w:t>（幸福社区）</w:t>
      </w:r>
    </w:p>
    <w:p w14:paraId="4A949E58">
      <w:pPr>
        <w:pStyle w:val="4"/>
        <w:shd w:val="clear" w:color="auto" w:fill="FFFFFF"/>
        <w:spacing w:line="590" w:lineRule="exact"/>
        <w:ind w:firstLine="640" w:firstLineChars="200"/>
        <w:rPr>
          <w:rFonts w:ascii="仿宋" w:hAnsi="仿宋" w:eastAsia="仿宋"/>
          <w:sz w:val="32"/>
          <w:szCs w:val="32"/>
        </w:rPr>
      </w:pPr>
      <w:r>
        <w:rPr>
          <w:rFonts w:hint="eastAsia" w:ascii="仿宋" w:hAnsi="仿宋" w:eastAsia="仿宋"/>
          <w:sz w:val="32"/>
          <w:szCs w:val="32"/>
        </w:rPr>
        <w:t>资助69万元用于松木塘镇温塘村等28个村（社区）幸福社区创建，</w:t>
      </w:r>
      <w:r>
        <w:rPr>
          <w:rFonts w:ascii="仿宋" w:hAnsi="仿宋" w:eastAsia="仿宋"/>
          <w:sz w:val="32"/>
          <w:szCs w:val="32"/>
        </w:rPr>
        <w:t>幸福社区牢牢把握先进文化的前进方向，以社区为阵地，以文化活动为载体，以家庭为主体，以建设平安和谐社区为目标，积极开展创建“学习型家庭”</w:t>
      </w:r>
      <w:r>
        <w:rPr>
          <w:rFonts w:hint="eastAsia" w:ascii="仿宋" w:hAnsi="仿宋" w:eastAsia="仿宋"/>
          <w:sz w:val="32"/>
          <w:szCs w:val="32"/>
        </w:rPr>
        <w:t>等各种</w:t>
      </w:r>
      <w:r>
        <w:rPr>
          <w:rFonts w:ascii="仿宋" w:hAnsi="仿宋" w:eastAsia="仿宋"/>
          <w:sz w:val="32"/>
          <w:szCs w:val="32"/>
        </w:rPr>
        <w:t>活动，丰富广大群众的精神文化生活，有力地推动了社区各项工作的顺利开展，取得了丰硕成果。</w:t>
      </w:r>
    </w:p>
    <w:p w14:paraId="751A31E2">
      <w:pPr>
        <w:widowControl/>
        <w:spacing w:line="560" w:lineRule="exact"/>
        <w:ind w:firstLine="627"/>
        <w:jc w:val="left"/>
        <w:rPr>
          <w:rFonts w:ascii="仿宋" w:hAnsi="仿宋" w:eastAsia="仿宋" w:cs="宋体"/>
          <w:b/>
          <w:bCs/>
          <w:color w:val="000000"/>
          <w:kern w:val="0"/>
          <w:sz w:val="32"/>
          <w:szCs w:val="32"/>
        </w:rPr>
      </w:pPr>
      <w:r>
        <w:rPr>
          <w:rFonts w:hint="eastAsia" w:ascii="仿宋" w:hAnsi="仿宋" w:eastAsia="仿宋" w:cs="宋体"/>
          <w:b/>
          <w:bCs/>
          <w:color w:val="000000"/>
          <w:kern w:val="0"/>
          <w:sz w:val="32"/>
          <w:szCs w:val="32"/>
        </w:rPr>
        <w:t>6.满意度指标完成情况</w:t>
      </w:r>
    </w:p>
    <w:p w14:paraId="78AACE8B">
      <w:pPr>
        <w:spacing w:line="560" w:lineRule="exact"/>
        <w:ind w:firstLine="707" w:firstLineChars="221"/>
        <w:rPr>
          <w:rFonts w:ascii="仿宋" w:hAnsi="仿宋" w:eastAsia="仿宋" w:cs="宋体"/>
          <w:color w:val="000000"/>
          <w:kern w:val="0"/>
          <w:sz w:val="32"/>
          <w:szCs w:val="32"/>
        </w:rPr>
      </w:pPr>
      <w:r>
        <w:rPr>
          <w:rFonts w:hint="eastAsia" w:ascii="仿宋" w:hAnsi="仿宋" w:eastAsia="仿宋" w:cs="宋体"/>
          <w:color w:val="000000"/>
          <w:kern w:val="0"/>
          <w:sz w:val="32"/>
          <w:szCs w:val="32"/>
        </w:rPr>
        <w:t>社会公益和社会福利事业项目建设，促进了养老、儿童福利、社会工作和殡葬基础设施建设等事业的全面发展，满足了人民对美好生活向往的追求，达到了受益人群非常满意的良好效果，人民群众满意度及受助对象满意度均达到95%以上。</w:t>
      </w:r>
    </w:p>
    <w:p w14:paraId="7B58FF9C">
      <w:pPr>
        <w:widowControl/>
        <w:spacing w:line="560" w:lineRule="exact"/>
        <w:ind w:firstLine="640"/>
        <w:jc w:val="left"/>
        <w:rPr>
          <w:rFonts w:ascii="仿宋" w:hAnsi="仿宋" w:eastAsia="仿宋" w:cs="宋体"/>
          <w:b/>
          <w:color w:val="000000"/>
          <w:kern w:val="0"/>
          <w:sz w:val="32"/>
          <w:szCs w:val="32"/>
        </w:rPr>
      </w:pPr>
      <w:r>
        <w:rPr>
          <w:rFonts w:hint="eastAsia" w:ascii="仿宋" w:hAnsi="仿宋" w:eastAsia="仿宋" w:cs="宋体"/>
          <w:b/>
          <w:color w:val="000000"/>
          <w:kern w:val="0"/>
          <w:sz w:val="32"/>
          <w:szCs w:val="32"/>
        </w:rPr>
        <w:t>七、偏离绩效指标的原因和下一步改进措施</w:t>
      </w:r>
    </w:p>
    <w:p w14:paraId="501C1DBD">
      <w:pPr>
        <w:widowControl/>
        <w:spacing w:line="560" w:lineRule="exact"/>
        <w:ind w:firstLine="64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2023年度我县在支持地方社会公益事业项目过程中，未出现偏离绩效目标的情况，均完成了年初设定的预期目标。</w:t>
      </w:r>
    </w:p>
    <w:p w14:paraId="58FAB0EC">
      <w:pPr>
        <w:widowControl/>
        <w:spacing w:line="560" w:lineRule="exact"/>
        <w:ind w:firstLine="640"/>
        <w:jc w:val="left"/>
        <w:rPr>
          <w:rFonts w:ascii="仿宋" w:hAnsi="仿宋" w:eastAsia="仿宋" w:cs="宋体"/>
          <w:b/>
          <w:color w:val="000000"/>
          <w:kern w:val="0"/>
          <w:sz w:val="32"/>
          <w:szCs w:val="32"/>
        </w:rPr>
      </w:pPr>
      <w:r>
        <w:rPr>
          <w:rFonts w:hint="eastAsia" w:ascii="仿宋" w:hAnsi="仿宋" w:eastAsia="仿宋" w:cs="宋体"/>
          <w:b/>
          <w:color w:val="000000"/>
          <w:kern w:val="0"/>
          <w:sz w:val="32"/>
          <w:szCs w:val="32"/>
        </w:rPr>
        <w:t>八、绩效自评结果拟应用和公开情况</w:t>
      </w:r>
    </w:p>
    <w:p w14:paraId="62C8FC53">
      <w:pPr>
        <w:pStyle w:val="4"/>
        <w:shd w:val="clear" w:color="auto" w:fill="FFFFFF"/>
        <w:spacing w:line="560" w:lineRule="exact"/>
        <w:ind w:firstLine="640" w:firstLineChars="200"/>
        <w:rPr>
          <w:rFonts w:ascii="仿宋" w:hAnsi="仿宋" w:eastAsia="仿宋"/>
          <w:color w:val="333333"/>
          <w:sz w:val="32"/>
          <w:szCs w:val="32"/>
        </w:rPr>
      </w:pPr>
      <w:r>
        <w:rPr>
          <w:rFonts w:hint="eastAsia" w:ascii="仿宋" w:hAnsi="仿宋" w:eastAsia="仿宋"/>
          <w:color w:val="333333"/>
          <w:sz w:val="32"/>
          <w:szCs w:val="32"/>
        </w:rPr>
        <w:t>我县绩效评价结果通过政府网站公开，接受社会监督。同时，积极运用绩效评价结果，完善资金的使用管理，提高绩效意识和财政资金的使用效益。</w:t>
      </w:r>
    </w:p>
    <w:p w14:paraId="0FC94424">
      <w:pPr>
        <w:widowControl/>
        <w:spacing w:line="560" w:lineRule="exact"/>
        <w:ind w:firstLine="640"/>
        <w:jc w:val="left"/>
        <w:rPr>
          <w:rFonts w:ascii="仿宋" w:hAnsi="仿宋" w:eastAsia="仿宋" w:cs="宋体"/>
          <w:b/>
          <w:color w:val="000000"/>
          <w:kern w:val="0"/>
          <w:sz w:val="32"/>
          <w:szCs w:val="32"/>
        </w:rPr>
      </w:pPr>
      <w:r>
        <w:rPr>
          <w:rFonts w:hint="eastAsia" w:ascii="仿宋" w:hAnsi="仿宋" w:eastAsia="仿宋" w:cs="宋体"/>
          <w:b/>
          <w:color w:val="000000"/>
          <w:kern w:val="0"/>
          <w:sz w:val="32"/>
          <w:szCs w:val="32"/>
        </w:rPr>
        <w:t>九、自查中发现存在的问题</w:t>
      </w:r>
    </w:p>
    <w:p w14:paraId="55964A06">
      <w:pPr>
        <w:shd w:val="clear" w:color="auto" w:fill="FFFFFF"/>
        <w:spacing w:line="560" w:lineRule="exact"/>
        <w:ind w:left="160" w:leftChars="76" w:firstLine="480" w:firstLineChars="150"/>
        <w:jc w:val="left"/>
        <w:rPr>
          <w:rFonts w:ascii="仿宋" w:hAnsi="仿宋" w:eastAsia="仿宋" w:cs="宋体"/>
          <w:color w:val="333333"/>
          <w:kern w:val="0"/>
          <w:sz w:val="32"/>
          <w:szCs w:val="32"/>
        </w:rPr>
      </w:pPr>
      <w:r>
        <w:rPr>
          <w:rFonts w:hint="eastAsia" w:ascii="仿宋" w:hAnsi="仿宋" w:eastAsia="仿宋" w:cs="宋体"/>
          <w:color w:val="333333"/>
          <w:kern w:val="0"/>
          <w:sz w:val="32"/>
          <w:szCs w:val="32"/>
        </w:rPr>
        <w:t>1、公益事业建设投资量过大，欠债多，影响规范化发展。地方财政非常紧张，有限经费仅只能发放固定经费，用于敬老院建设和乡镇社工站建设资金严重短缺，阻碍了公益事业基础设施配套，制约了公益事业规范化发展。</w:t>
      </w:r>
    </w:p>
    <w:p w14:paraId="5C8EBAB2">
      <w:pPr>
        <w:shd w:val="clear" w:color="auto" w:fill="FFFFFF"/>
        <w:spacing w:line="560" w:lineRule="exact"/>
        <w:ind w:left="160" w:leftChars="76" w:firstLine="480" w:firstLineChars="150"/>
        <w:jc w:val="left"/>
        <w:rPr>
          <w:rFonts w:ascii="仿宋" w:hAnsi="仿宋" w:eastAsia="仿宋" w:cs="宋体"/>
          <w:color w:val="333333"/>
          <w:kern w:val="0"/>
          <w:sz w:val="32"/>
          <w:szCs w:val="32"/>
        </w:rPr>
      </w:pPr>
      <w:r>
        <w:rPr>
          <w:rFonts w:hint="eastAsia" w:ascii="仿宋" w:hAnsi="仿宋" w:eastAsia="仿宋" w:cs="宋体"/>
          <w:color w:val="333333"/>
          <w:kern w:val="0"/>
          <w:sz w:val="32"/>
          <w:szCs w:val="32"/>
        </w:rPr>
        <w:t>2、养老机构运营补贴因上级资金量小，本级无配套，因此无法保障所有养老机构的运营补贴。</w:t>
      </w:r>
    </w:p>
    <w:p w14:paraId="4C45B92C">
      <w:pPr>
        <w:widowControl/>
        <w:spacing w:line="560" w:lineRule="exact"/>
        <w:ind w:firstLine="640"/>
        <w:jc w:val="left"/>
        <w:rPr>
          <w:rFonts w:ascii="仿宋" w:hAnsi="仿宋" w:eastAsia="仿宋" w:cs="宋体"/>
          <w:b/>
          <w:color w:val="000000"/>
          <w:kern w:val="0"/>
          <w:sz w:val="32"/>
          <w:szCs w:val="32"/>
        </w:rPr>
      </w:pPr>
      <w:r>
        <w:rPr>
          <w:rFonts w:hint="eastAsia" w:ascii="仿宋" w:hAnsi="仿宋" w:eastAsia="仿宋" w:cs="宋体"/>
          <w:b/>
          <w:color w:val="000000"/>
          <w:kern w:val="0"/>
          <w:sz w:val="32"/>
          <w:szCs w:val="32"/>
        </w:rPr>
        <w:t>十、下一步整改措施</w:t>
      </w:r>
    </w:p>
    <w:p w14:paraId="2362AFCA">
      <w:pPr>
        <w:shd w:val="clear" w:color="auto" w:fill="FFFFFF"/>
        <w:spacing w:line="560" w:lineRule="exact"/>
        <w:ind w:left="160" w:leftChars="76" w:firstLine="480" w:firstLineChars="150"/>
        <w:jc w:val="left"/>
        <w:rPr>
          <w:rFonts w:ascii="仿宋" w:hAnsi="仿宋" w:eastAsia="仿宋" w:cs="宋体"/>
          <w:color w:val="333333"/>
          <w:kern w:val="0"/>
          <w:sz w:val="32"/>
          <w:szCs w:val="32"/>
        </w:rPr>
      </w:pPr>
      <w:r>
        <w:rPr>
          <w:rFonts w:hint="eastAsia" w:ascii="仿宋" w:hAnsi="仿宋" w:eastAsia="仿宋" w:cs="宋体"/>
          <w:color w:val="333333"/>
          <w:kern w:val="0"/>
          <w:sz w:val="32"/>
          <w:szCs w:val="32"/>
        </w:rPr>
        <w:t>为落实民生政策，促进各项公益事业更好地普惠广大群众，多向上级主管部门汇报，争取追加扶持资金，并把资金重点倾斜重点项目，使公益事业功能更齐全、作用更完善、效果更明显。</w:t>
      </w:r>
    </w:p>
    <w:p w14:paraId="01FC1846">
      <w:pPr>
        <w:shd w:val="clear" w:color="auto" w:fill="FFFFFF"/>
        <w:spacing w:line="560" w:lineRule="exact"/>
        <w:ind w:left="160" w:leftChars="76" w:firstLine="480" w:firstLineChars="150"/>
        <w:jc w:val="left"/>
        <w:rPr>
          <w:rFonts w:ascii="仿宋" w:hAnsi="仿宋" w:eastAsia="仿宋" w:cs="宋体"/>
          <w:color w:val="333333"/>
          <w:kern w:val="0"/>
          <w:sz w:val="32"/>
          <w:szCs w:val="32"/>
        </w:rPr>
      </w:pPr>
    </w:p>
    <w:p w14:paraId="0E164A32">
      <w:pPr>
        <w:shd w:val="clear" w:color="auto" w:fill="FFFFFF"/>
        <w:spacing w:line="560" w:lineRule="exact"/>
        <w:ind w:left="160" w:leftChars="76" w:firstLine="480" w:firstLineChars="150"/>
        <w:jc w:val="left"/>
        <w:rPr>
          <w:rFonts w:ascii="仿宋" w:hAnsi="仿宋" w:eastAsia="仿宋" w:cs="宋体"/>
          <w:color w:val="333333"/>
          <w:kern w:val="0"/>
          <w:sz w:val="32"/>
          <w:szCs w:val="32"/>
        </w:rPr>
      </w:pPr>
    </w:p>
    <w:p w14:paraId="33A103F1">
      <w:pPr>
        <w:shd w:val="clear" w:color="auto" w:fill="FFFFFF"/>
        <w:spacing w:line="580" w:lineRule="exact"/>
        <w:ind w:left="160" w:leftChars="76" w:right="160" w:firstLine="480" w:firstLineChars="150"/>
        <w:jc w:val="right"/>
        <w:rPr>
          <w:rFonts w:ascii="仿宋" w:hAnsi="仿宋" w:eastAsia="仿宋" w:cs="宋体"/>
          <w:color w:val="333333"/>
          <w:kern w:val="0"/>
          <w:sz w:val="32"/>
          <w:szCs w:val="32"/>
        </w:rPr>
      </w:pPr>
      <w:r>
        <w:rPr>
          <w:rFonts w:hint="eastAsia" w:ascii="仿宋" w:hAnsi="仿宋" w:eastAsia="仿宋" w:cs="宋体"/>
          <w:color w:val="333333"/>
          <w:kern w:val="0"/>
          <w:sz w:val="32"/>
          <w:szCs w:val="32"/>
        </w:rPr>
        <w:t>桃江县民政局</w:t>
      </w:r>
    </w:p>
    <w:p w14:paraId="1E0EB133">
      <w:pPr>
        <w:shd w:val="clear" w:color="auto" w:fill="FFFFFF"/>
        <w:spacing w:line="580" w:lineRule="exact"/>
        <w:ind w:left="160" w:leftChars="76" w:right="320" w:firstLine="480" w:firstLineChars="150"/>
        <w:jc w:val="right"/>
        <w:rPr>
          <w:rFonts w:ascii="仿宋" w:hAnsi="仿宋" w:eastAsia="仿宋" w:cs="宋体"/>
          <w:color w:val="333333"/>
          <w:kern w:val="0"/>
          <w:sz w:val="32"/>
          <w:szCs w:val="32"/>
        </w:rPr>
      </w:pPr>
      <w:r>
        <w:rPr>
          <w:rFonts w:hint="eastAsia" w:ascii="仿宋" w:hAnsi="仿宋" w:eastAsia="仿宋" w:cs="宋体"/>
          <w:color w:val="333333"/>
          <w:kern w:val="0"/>
          <w:sz w:val="32"/>
          <w:szCs w:val="32"/>
        </w:rPr>
        <w:t>2024.3.30</w:t>
      </w:r>
    </w:p>
    <w:p w14:paraId="627247B4">
      <w:pPr>
        <w:shd w:val="clear" w:color="auto" w:fill="FFFFFF"/>
        <w:spacing w:line="560" w:lineRule="exact"/>
        <w:ind w:left="160" w:leftChars="76" w:firstLine="480" w:firstLineChars="150"/>
        <w:jc w:val="left"/>
        <w:rPr>
          <w:rFonts w:ascii="仿宋" w:hAnsi="仿宋" w:eastAsia="仿宋" w:cs="宋体"/>
          <w:color w:val="333333"/>
          <w:kern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D49FE"/>
    <w:rsid w:val="00001144"/>
    <w:rsid w:val="000013C2"/>
    <w:rsid w:val="00035106"/>
    <w:rsid w:val="00056479"/>
    <w:rsid w:val="00086B86"/>
    <w:rsid w:val="00092A23"/>
    <w:rsid w:val="000D0F22"/>
    <w:rsid w:val="000E1259"/>
    <w:rsid w:val="000F6A18"/>
    <w:rsid w:val="00126624"/>
    <w:rsid w:val="00152C92"/>
    <w:rsid w:val="00165089"/>
    <w:rsid w:val="001C3654"/>
    <w:rsid w:val="001C42CB"/>
    <w:rsid w:val="001E0FFC"/>
    <w:rsid w:val="00230927"/>
    <w:rsid w:val="00235814"/>
    <w:rsid w:val="00252AC0"/>
    <w:rsid w:val="00254B0B"/>
    <w:rsid w:val="00277FBA"/>
    <w:rsid w:val="00306405"/>
    <w:rsid w:val="0032264C"/>
    <w:rsid w:val="00337F4B"/>
    <w:rsid w:val="00353452"/>
    <w:rsid w:val="003704A7"/>
    <w:rsid w:val="003922B1"/>
    <w:rsid w:val="003F7968"/>
    <w:rsid w:val="00407E44"/>
    <w:rsid w:val="00436204"/>
    <w:rsid w:val="00491672"/>
    <w:rsid w:val="004A6A3D"/>
    <w:rsid w:val="005122C1"/>
    <w:rsid w:val="00551C5F"/>
    <w:rsid w:val="00575F4E"/>
    <w:rsid w:val="00582B37"/>
    <w:rsid w:val="00597EA7"/>
    <w:rsid w:val="005A1C9D"/>
    <w:rsid w:val="005B490F"/>
    <w:rsid w:val="005D0C1B"/>
    <w:rsid w:val="005E19C5"/>
    <w:rsid w:val="00614908"/>
    <w:rsid w:val="00623D6C"/>
    <w:rsid w:val="00627018"/>
    <w:rsid w:val="00642BC0"/>
    <w:rsid w:val="006914A0"/>
    <w:rsid w:val="006933EF"/>
    <w:rsid w:val="006C6029"/>
    <w:rsid w:val="006F568A"/>
    <w:rsid w:val="0077171F"/>
    <w:rsid w:val="007751E9"/>
    <w:rsid w:val="007C2F43"/>
    <w:rsid w:val="007E6750"/>
    <w:rsid w:val="00804A55"/>
    <w:rsid w:val="008165EF"/>
    <w:rsid w:val="00834B05"/>
    <w:rsid w:val="008470A1"/>
    <w:rsid w:val="00876267"/>
    <w:rsid w:val="00894F6C"/>
    <w:rsid w:val="008C61B8"/>
    <w:rsid w:val="008D12B4"/>
    <w:rsid w:val="009074B5"/>
    <w:rsid w:val="009556B8"/>
    <w:rsid w:val="00960A79"/>
    <w:rsid w:val="009667D1"/>
    <w:rsid w:val="0098064B"/>
    <w:rsid w:val="00987A75"/>
    <w:rsid w:val="009972E6"/>
    <w:rsid w:val="009D45C0"/>
    <w:rsid w:val="009F1387"/>
    <w:rsid w:val="00A10935"/>
    <w:rsid w:val="00AC2005"/>
    <w:rsid w:val="00AE169B"/>
    <w:rsid w:val="00AE5978"/>
    <w:rsid w:val="00B01C3D"/>
    <w:rsid w:val="00B357E0"/>
    <w:rsid w:val="00B65E68"/>
    <w:rsid w:val="00B66BF1"/>
    <w:rsid w:val="00BD49FE"/>
    <w:rsid w:val="00BE0E6F"/>
    <w:rsid w:val="00C24A6C"/>
    <w:rsid w:val="00C434D9"/>
    <w:rsid w:val="00C852E7"/>
    <w:rsid w:val="00C915F9"/>
    <w:rsid w:val="00D427F8"/>
    <w:rsid w:val="00D66DA0"/>
    <w:rsid w:val="00DA2B1B"/>
    <w:rsid w:val="00DB5446"/>
    <w:rsid w:val="00DF7667"/>
    <w:rsid w:val="00E1299C"/>
    <w:rsid w:val="00E45A20"/>
    <w:rsid w:val="00E507A8"/>
    <w:rsid w:val="00E55DB8"/>
    <w:rsid w:val="00E608D2"/>
    <w:rsid w:val="00E74C5A"/>
    <w:rsid w:val="00E80EC3"/>
    <w:rsid w:val="00E94257"/>
    <w:rsid w:val="00EA2366"/>
    <w:rsid w:val="00EB21B7"/>
    <w:rsid w:val="00EC2CF5"/>
    <w:rsid w:val="00EC4EED"/>
    <w:rsid w:val="00F13468"/>
    <w:rsid w:val="00F1503E"/>
    <w:rsid w:val="00F351C8"/>
    <w:rsid w:val="00F61665"/>
    <w:rsid w:val="00F67287"/>
    <w:rsid w:val="00FA3031"/>
    <w:rsid w:val="00FB40ED"/>
    <w:rsid w:val="00FF0C6A"/>
    <w:rsid w:val="347E3D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jc w:val="left"/>
    </w:pPr>
    <w:rPr>
      <w:rFonts w:ascii="宋体" w:hAnsi="宋体" w:eastAsia="宋体" w:cs="宋体"/>
      <w:kern w:val="0"/>
      <w:sz w:val="24"/>
      <w:szCs w:val="24"/>
    </w:rPr>
  </w:style>
  <w:style w:type="character" w:customStyle="1" w:styleId="7">
    <w:name w:val="页眉 Char"/>
    <w:basedOn w:val="6"/>
    <w:link w:val="3"/>
    <w:semiHidden/>
    <w:uiPriority w:val="99"/>
    <w:rPr>
      <w:sz w:val="18"/>
      <w:szCs w:val="18"/>
    </w:rPr>
  </w:style>
  <w:style w:type="character" w:customStyle="1" w:styleId="8">
    <w:name w:val="页脚 Char"/>
    <w:basedOn w:val="6"/>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7</Pages>
  <Words>3308</Words>
  <Characters>3485</Characters>
  <Lines>25</Lines>
  <Paragraphs>7</Paragraphs>
  <TotalTime>469</TotalTime>
  <ScaleCrop>false</ScaleCrop>
  <LinksUpToDate>false</LinksUpToDate>
  <CharactersWithSpaces>3487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2022-03-08T09:15:00Z</dcterms:created>
  <dc:creator>China</dc:creator>
  <cp:lastModifiedBy>郭莹</cp:lastModifiedBy>
  <dcterms:modified xsi:type="dcterms:W3CDTF">2026-09-16T03:01:46Z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eyJoZGlkIjoiMDk1ODRmMWJkNmUzMjIyZWMwMzI1NTZkNTZkMDE4YTMiLCJ1c2VySWQiOiI2MDkxMTM4OTQifQ==</vt:lpwstr>
  </property>
  <property fmtid="{D5CDD505-2E9C-101B-9397-08002B2CF9AE}" pid="3" name="KSOProductBuildVer">
    <vt:lpwstr>2052-12.1.0.28505</vt:lpwstr>
  </property>
  <property fmtid="{D5CDD505-2E9C-101B-9397-08002B2CF9AE}" pid="4" name="ICV">
    <vt:lpwstr>2E262C621FA84E6E8E5096B01F3C83C1_12</vt:lpwstr>
  </property>
</Properties>
</file>