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2051A">
      <w:pPr>
        <w:ind w:firstLine="880"/>
        <w:jc w:val="center"/>
        <w:rPr>
          <w:rFonts w:eastAsia="微软雅黑" w:cs="Times New Roman"/>
          <w:b/>
          <w:bCs/>
          <w:sz w:val="44"/>
          <w:szCs w:val="44"/>
        </w:rPr>
      </w:pPr>
      <w:bookmarkStart w:id="0" w:name="_Toc36148497"/>
    </w:p>
    <w:p w14:paraId="50A5D3C2">
      <w:pPr>
        <w:ind w:firstLine="0" w:firstLineChars="0"/>
        <w:jc w:val="center"/>
        <w:rPr>
          <w:rFonts w:hint="eastAsia" w:eastAsia="微软雅黑" w:cs="Times New Roman"/>
          <w:b/>
          <w:bCs/>
          <w:sz w:val="44"/>
          <w:szCs w:val="44"/>
        </w:rPr>
      </w:pPr>
      <w:r>
        <w:rPr>
          <w:rFonts w:hint="eastAsia" w:eastAsia="微软雅黑" w:cs="Times New Roman"/>
          <w:b/>
          <w:bCs/>
          <w:sz w:val="44"/>
          <w:szCs w:val="44"/>
        </w:rPr>
        <w:t xml:space="preserve"> </w:t>
      </w:r>
      <w:r>
        <w:rPr>
          <w:rFonts w:eastAsia="微软雅黑" w:cs="Times New Roman"/>
          <w:b/>
          <w:bCs/>
          <w:sz w:val="44"/>
          <w:szCs w:val="44"/>
        </w:rPr>
        <w:t xml:space="preserve"> </w:t>
      </w:r>
    </w:p>
    <w:p w14:paraId="777ECF36">
      <w:pPr>
        <w:ind w:firstLine="880"/>
        <w:jc w:val="center"/>
        <w:rPr>
          <w:rFonts w:eastAsia="微软雅黑" w:cs="Times New Roman"/>
          <w:b/>
          <w:bCs/>
          <w:sz w:val="44"/>
          <w:szCs w:val="44"/>
        </w:rPr>
      </w:pPr>
    </w:p>
    <w:p w14:paraId="328A15D6">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outlineLvl w:val="0"/>
        <w:rPr>
          <w:rFonts w:hint="eastAsia" w:ascii="方正楷体_GB2312" w:hAnsi="方正楷体_GB2312" w:eastAsia="方正楷体_GB2312" w:cs="方正楷体_GB2312"/>
          <w:b/>
          <w:bCs/>
          <w:color w:val="auto"/>
          <w:spacing w:val="-6"/>
          <w:sz w:val="48"/>
          <w:szCs w:val="48"/>
          <w:lang w:val="en-US" w:eastAsia="zh-CN"/>
        </w:rPr>
      </w:pPr>
      <w:bookmarkStart w:id="1" w:name="_Toc14516"/>
      <w:bookmarkStart w:id="2" w:name="_Toc27202"/>
      <w:bookmarkStart w:id="3" w:name="_Toc10683"/>
      <w:bookmarkStart w:id="4" w:name="_Toc15060"/>
      <w:r>
        <w:rPr>
          <w:rFonts w:hint="eastAsia" w:ascii="方正楷体_GB2312" w:hAnsi="方正楷体_GB2312" w:eastAsia="方正楷体_GB2312" w:cs="方正楷体_GB2312"/>
          <w:b/>
          <w:bCs/>
          <w:color w:val="auto"/>
          <w:spacing w:val="-6"/>
          <w:sz w:val="48"/>
          <w:szCs w:val="48"/>
          <w:lang w:val="en-US" w:eastAsia="zh-CN"/>
        </w:rPr>
        <w:t>桃江县建筑垃圾污染环境防治</w:t>
      </w:r>
      <w:bookmarkEnd w:id="1"/>
      <w:bookmarkEnd w:id="2"/>
      <w:bookmarkEnd w:id="3"/>
      <w:bookmarkEnd w:id="4"/>
    </w:p>
    <w:p w14:paraId="750DAED0">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outlineLvl w:val="0"/>
        <w:rPr>
          <w:rFonts w:hint="eastAsia" w:ascii="方正楷体_GB2312" w:hAnsi="方正楷体_GB2312" w:eastAsia="方正楷体_GB2312" w:cs="方正楷体_GB2312"/>
          <w:b/>
          <w:bCs/>
          <w:color w:val="auto"/>
          <w:spacing w:val="-6"/>
          <w:sz w:val="48"/>
          <w:szCs w:val="48"/>
          <w:lang w:val="en-US" w:eastAsia="zh-CN"/>
        </w:rPr>
      </w:pPr>
      <w:bookmarkStart w:id="5" w:name="_Toc18187"/>
      <w:bookmarkStart w:id="6" w:name="_Toc9887"/>
      <w:bookmarkStart w:id="7" w:name="_Toc25539"/>
      <w:bookmarkStart w:id="8" w:name="_Toc32078"/>
      <w:r>
        <w:rPr>
          <w:rFonts w:hint="eastAsia" w:ascii="方正楷体_GB2312" w:hAnsi="方正楷体_GB2312" w:eastAsia="方正楷体_GB2312" w:cs="方正楷体_GB2312"/>
          <w:b/>
          <w:bCs/>
          <w:color w:val="auto"/>
          <w:spacing w:val="-6"/>
          <w:sz w:val="48"/>
          <w:szCs w:val="48"/>
          <w:lang w:val="en-US" w:eastAsia="zh-CN"/>
        </w:rPr>
        <w:t>工作规划（2025—2035年）</w:t>
      </w:r>
      <w:bookmarkEnd w:id="5"/>
      <w:bookmarkEnd w:id="6"/>
      <w:bookmarkEnd w:id="7"/>
      <w:bookmarkEnd w:id="8"/>
    </w:p>
    <w:p w14:paraId="638DE56C">
      <w:pPr>
        <w:ind w:firstLine="880"/>
        <w:jc w:val="center"/>
        <w:rPr>
          <w:rFonts w:eastAsia="微软雅黑" w:cs="Times New Roman"/>
          <w:b/>
          <w:bCs/>
          <w:sz w:val="44"/>
          <w:szCs w:val="44"/>
        </w:rPr>
      </w:pPr>
    </w:p>
    <w:p w14:paraId="0B8C9D5A">
      <w:pPr>
        <w:ind w:firstLine="880"/>
        <w:jc w:val="center"/>
        <w:rPr>
          <w:rFonts w:eastAsia="微软雅黑" w:cs="Times New Roman"/>
          <w:b/>
          <w:bCs/>
          <w:sz w:val="44"/>
          <w:szCs w:val="44"/>
        </w:rPr>
      </w:pPr>
    </w:p>
    <w:p w14:paraId="2D01343B">
      <w:pPr>
        <w:ind w:firstLine="880"/>
        <w:rPr>
          <w:rFonts w:eastAsia="微软雅黑" w:cs="Times New Roman"/>
          <w:b/>
          <w:bCs/>
          <w:sz w:val="44"/>
          <w:szCs w:val="44"/>
        </w:rPr>
      </w:pPr>
    </w:p>
    <w:p w14:paraId="744A7C74">
      <w:pPr>
        <w:ind w:firstLine="880"/>
        <w:rPr>
          <w:rFonts w:eastAsia="微软雅黑" w:cs="Times New Roman"/>
          <w:b/>
          <w:bCs/>
          <w:sz w:val="44"/>
          <w:szCs w:val="44"/>
        </w:rPr>
      </w:pPr>
    </w:p>
    <w:p w14:paraId="77EF2C23">
      <w:pPr>
        <w:ind w:firstLine="880"/>
        <w:rPr>
          <w:rFonts w:eastAsia="微软雅黑" w:cs="Times New Roman"/>
          <w:b/>
          <w:bCs/>
          <w:sz w:val="44"/>
          <w:szCs w:val="44"/>
        </w:rPr>
      </w:pPr>
    </w:p>
    <w:p w14:paraId="7E3646ED">
      <w:pPr>
        <w:ind w:firstLine="560"/>
        <w:rPr>
          <w:rFonts w:cs="Times New Roman"/>
          <w:szCs w:val="28"/>
        </w:rPr>
      </w:pPr>
    </w:p>
    <w:p w14:paraId="28904D3F">
      <w:pPr>
        <w:ind w:firstLine="560"/>
        <w:rPr>
          <w:rFonts w:cs="Times New Roman"/>
          <w:szCs w:val="28"/>
        </w:rPr>
      </w:pPr>
    </w:p>
    <w:p w14:paraId="3221DA58">
      <w:pPr>
        <w:ind w:firstLine="560"/>
        <w:rPr>
          <w:rFonts w:cs="Times New Roman"/>
          <w:szCs w:val="28"/>
        </w:rPr>
      </w:pPr>
    </w:p>
    <w:p w14:paraId="621A413E">
      <w:pPr>
        <w:keepNext w:val="0"/>
        <w:keepLines w:val="0"/>
        <w:pageBreakBefore w:val="0"/>
        <w:kinsoku/>
        <w:wordWrap/>
        <w:overflowPunct/>
        <w:topLinePunct w:val="0"/>
        <w:autoSpaceDE/>
        <w:autoSpaceDN/>
        <w:bidi w:val="0"/>
        <w:spacing w:line="360" w:lineRule="auto"/>
        <w:ind w:firstLine="0" w:firstLineChars="0"/>
        <w:jc w:val="center"/>
        <w:outlineLvl w:val="0"/>
        <w:rPr>
          <w:rFonts w:hint="default" w:ascii="Times New Roman" w:hAnsi="Times New Roman" w:cs="Times New Roman"/>
          <w:b/>
          <w:bCs/>
          <w:color w:val="auto"/>
          <w:kern w:val="2"/>
          <w:sz w:val="32"/>
          <w:szCs w:val="32"/>
          <w:lang w:val="en-US" w:eastAsia="zh-CN" w:bidi="ar-SA"/>
        </w:rPr>
      </w:pPr>
      <w:r>
        <w:rPr>
          <w:rFonts w:hint="default" w:ascii="Times New Roman" w:hAnsi="Times New Roman" w:cs="Times New Roman"/>
          <w:b/>
          <w:bCs/>
          <w:snapToGrid/>
          <w:kern w:val="2"/>
          <w:sz w:val="32"/>
          <w:szCs w:val="32"/>
          <w:highlight w:val="none"/>
          <w:lang w:val="en-US" w:eastAsia="zh-CN"/>
        </w:rPr>
        <w:t xml:space="preserve"> </w:t>
      </w:r>
      <w:r>
        <w:rPr>
          <w:rFonts w:hint="eastAsia" w:ascii="Times New Roman" w:hAnsi="Times New Roman" w:cs="Times New Roman"/>
          <w:b/>
          <w:bCs/>
          <w:snapToGrid/>
          <w:kern w:val="2"/>
          <w:sz w:val="32"/>
          <w:szCs w:val="32"/>
          <w:highlight w:val="none"/>
          <w:lang w:val="en-US" w:eastAsia="zh-CN"/>
        </w:rPr>
        <w:t xml:space="preserve">  </w:t>
      </w:r>
      <w:r>
        <w:rPr>
          <w:rFonts w:hint="eastAsia" w:cs="Times New Roman"/>
          <w:b/>
          <w:bCs/>
          <w:snapToGrid/>
          <w:kern w:val="2"/>
          <w:sz w:val="32"/>
          <w:szCs w:val="32"/>
          <w:highlight w:val="none"/>
          <w:lang w:val="en-US" w:eastAsia="zh-CN"/>
        </w:rPr>
        <w:t xml:space="preserve"> </w:t>
      </w:r>
      <w:bookmarkStart w:id="9" w:name="_Toc22355"/>
      <w:bookmarkStart w:id="10" w:name="_Toc18858"/>
      <w:bookmarkStart w:id="11" w:name="_Toc12994"/>
      <w:bookmarkStart w:id="12" w:name="_Toc7648"/>
      <w:r>
        <w:rPr>
          <w:rFonts w:hint="eastAsia" w:cs="Times New Roman"/>
          <w:b/>
          <w:bCs/>
          <w:snapToGrid/>
          <w:kern w:val="2"/>
          <w:sz w:val="32"/>
          <w:szCs w:val="32"/>
          <w:highlight w:val="none"/>
          <w:lang w:val="en-US" w:eastAsia="zh-CN"/>
        </w:rPr>
        <w:t>委托</w:t>
      </w:r>
      <w:r>
        <w:rPr>
          <w:rFonts w:hint="eastAsia" w:ascii="Times New Roman" w:hAnsi="Times New Roman" w:cs="Times New Roman"/>
          <w:b/>
          <w:bCs/>
          <w:color w:val="auto"/>
          <w:kern w:val="2"/>
          <w:sz w:val="32"/>
          <w:szCs w:val="32"/>
          <w:lang w:val="en-US" w:eastAsia="zh-CN" w:bidi="ar-SA"/>
        </w:rPr>
        <w:t>单位：</w:t>
      </w:r>
      <w:r>
        <w:rPr>
          <w:rFonts w:hint="default" w:ascii="Times New Roman" w:hAnsi="Times New Roman" w:cs="Times New Roman"/>
          <w:b/>
          <w:bCs/>
          <w:color w:val="auto"/>
          <w:kern w:val="2"/>
          <w:sz w:val="32"/>
          <w:szCs w:val="32"/>
          <w:lang w:val="en-US" w:eastAsia="zh-CN" w:bidi="ar-SA"/>
        </w:rPr>
        <w:t>桃江县住房和城乡建设局</w:t>
      </w:r>
      <w:bookmarkEnd w:id="9"/>
      <w:bookmarkEnd w:id="10"/>
      <w:bookmarkEnd w:id="11"/>
      <w:bookmarkEnd w:id="12"/>
    </w:p>
    <w:p w14:paraId="50AEA066">
      <w:pPr>
        <w:ind w:firstLine="560"/>
        <w:jc w:val="center"/>
        <w:rPr>
          <w:rFonts w:cs="Times New Roman"/>
          <w:szCs w:val="28"/>
        </w:rPr>
      </w:pPr>
      <w:r>
        <w:rPr>
          <w:rFonts w:hint="default" w:ascii="Times New Roman" w:hAnsi="Times New Roman" w:cs="Times New Roman"/>
          <w:b/>
          <w:bCs/>
          <w:snapToGrid/>
          <w:kern w:val="2"/>
          <w:sz w:val="32"/>
          <w:szCs w:val="32"/>
          <w:highlight w:val="none"/>
          <w:lang w:eastAsia="zh-CN"/>
        </w:rPr>
        <w:t>编制单</w:t>
      </w:r>
      <w:r>
        <w:rPr>
          <w:rFonts w:hint="default" w:ascii="Times New Roman" w:hAnsi="Times New Roman" w:cs="Times New Roman"/>
          <w:b/>
          <w:bCs/>
          <w:snapToGrid/>
          <w:color w:val="auto"/>
          <w:kern w:val="2"/>
          <w:sz w:val="32"/>
          <w:szCs w:val="32"/>
          <w:lang w:val="en-US" w:eastAsia="zh-CN" w:bidi="ar-SA"/>
        </w:rPr>
        <w:t>位：</w:t>
      </w:r>
      <w:r>
        <w:rPr>
          <w:rFonts w:hint="default" w:ascii="Times New Roman" w:hAnsi="Times New Roman" w:cs="Times New Roman"/>
          <w:b/>
          <w:bCs/>
          <w:color w:val="auto"/>
          <w:kern w:val="2"/>
          <w:sz w:val="32"/>
          <w:szCs w:val="32"/>
          <w:lang w:val="en-US" w:eastAsia="zh-CN" w:bidi="ar-SA"/>
        </w:rPr>
        <w:t>中元天纬集团有限公司</w:t>
      </w:r>
    </w:p>
    <w:p w14:paraId="4F381A67">
      <w:pPr>
        <w:ind w:left="0" w:leftChars="0" w:firstLine="0" w:firstLineChars="0"/>
        <w:rPr>
          <w:rFonts w:cs="Times New Roman"/>
          <w:szCs w:val="28"/>
        </w:rPr>
      </w:pPr>
    </w:p>
    <w:p w14:paraId="3A2F905B">
      <w:pPr>
        <w:jc w:val="center"/>
        <w:rPr>
          <w:rFonts w:hint="eastAsia" w:ascii="仿宋" w:hAnsi="仿宋" w:eastAsia="仿宋" w:cs="仿宋"/>
          <w:b/>
          <w:bCs/>
          <w:sz w:val="32"/>
          <w:szCs w:val="32"/>
        </w:rPr>
      </w:pPr>
      <w:r>
        <w:rPr>
          <w:rFonts w:hint="eastAsia" w:ascii="仿宋" w:hAnsi="仿宋" w:eastAsia="仿宋" w:cs="仿宋"/>
          <w:b/>
          <w:bCs/>
          <w:sz w:val="32"/>
          <w:szCs w:val="32"/>
        </w:rPr>
        <w:t>202</w:t>
      </w:r>
      <w:r>
        <w:rPr>
          <w:rFonts w:hint="eastAsia" w:ascii="仿宋" w:hAnsi="仿宋" w:eastAsia="仿宋" w:cs="仿宋"/>
          <w:b/>
          <w:bCs/>
          <w:sz w:val="32"/>
          <w:szCs w:val="32"/>
          <w:lang w:val="en-US" w:eastAsia="zh-CN"/>
        </w:rPr>
        <w:t>5</w:t>
      </w:r>
      <w:r>
        <w:rPr>
          <w:rFonts w:hint="eastAsia" w:ascii="仿宋" w:hAnsi="仿宋" w:eastAsia="仿宋" w:cs="仿宋"/>
          <w:b/>
          <w:bCs/>
          <w:sz w:val="32"/>
          <w:szCs w:val="32"/>
        </w:rPr>
        <w:t>年</w:t>
      </w:r>
      <w:r>
        <w:rPr>
          <w:rFonts w:hint="eastAsia" w:ascii="仿宋" w:hAnsi="仿宋" w:eastAsia="仿宋" w:cs="仿宋"/>
          <w:b/>
          <w:bCs/>
          <w:sz w:val="32"/>
          <w:szCs w:val="32"/>
          <w:lang w:val="en-US" w:eastAsia="zh-CN"/>
        </w:rPr>
        <w:t>12</w:t>
      </w:r>
      <w:r>
        <w:rPr>
          <w:rFonts w:hint="eastAsia" w:ascii="仿宋" w:hAnsi="仿宋" w:eastAsia="仿宋" w:cs="仿宋"/>
          <w:b/>
          <w:bCs/>
          <w:sz w:val="32"/>
          <w:szCs w:val="32"/>
        </w:rPr>
        <w:t>月</w:t>
      </w:r>
      <w:bookmarkStart w:id="13" w:name="OLE_LINK1"/>
      <w:bookmarkEnd w:id="13"/>
    </w:p>
    <w:p w14:paraId="14B20ED6">
      <w:pPr>
        <w:ind w:firstLine="560"/>
        <w:rPr>
          <w:rFonts w:cs="Times New Roman"/>
          <w:szCs w:val="28"/>
        </w:rPr>
      </w:pPr>
    </w:p>
    <w:p w14:paraId="42CE5A08">
      <w:pPr>
        <w:ind w:firstLine="560"/>
        <w:rPr>
          <w:rFonts w:cs="Times New Roman"/>
          <w:szCs w:val="28"/>
        </w:rPr>
      </w:pPr>
    </w:p>
    <w:p w14:paraId="45BDDDCA">
      <w:pPr>
        <w:keepNext w:val="0"/>
        <w:keepLines w:val="0"/>
        <w:pageBreakBefore w:val="0"/>
        <w:widowControl/>
        <w:kinsoku w:val="0"/>
        <w:wordWrap w:val="0"/>
        <w:overflowPunct/>
        <w:topLinePunct w:val="0"/>
        <w:autoSpaceDE w:val="0"/>
        <w:autoSpaceDN w:val="0"/>
        <w:bidi w:val="0"/>
        <w:adjustRightInd w:val="0"/>
        <w:snapToGrid w:val="0"/>
        <w:spacing w:before="115" w:after="120" w:line="600" w:lineRule="exact"/>
        <w:ind w:firstLine="0" w:firstLineChars="0"/>
        <w:jc w:val="center"/>
        <w:textAlignment w:val="baseline"/>
        <w:outlineLvl w:val="0"/>
        <w:rPr>
          <w:rFonts w:hint="eastAsia" w:ascii="Times New Roman" w:hAnsi="Times New Roman" w:eastAsia="楷体" w:cs="Times New Roman"/>
          <w:snapToGrid/>
          <w:color w:val="000000"/>
          <w:kern w:val="2"/>
          <w:sz w:val="35"/>
          <w:szCs w:val="35"/>
          <w:highlight w:val="none"/>
          <w:lang w:val="en-US" w:eastAsia="zh-CN" w:bidi="ar-SA"/>
        </w:rPr>
      </w:pPr>
      <w:bookmarkStart w:id="14" w:name="_Toc31000"/>
      <w:bookmarkStart w:id="15" w:name="_Toc28778"/>
      <w:bookmarkStart w:id="16" w:name="_Toc17708"/>
    </w:p>
    <w:p w14:paraId="21CF3DA1">
      <w:pPr>
        <w:keepNext w:val="0"/>
        <w:keepLines w:val="0"/>
        <w:pageBreakBefore w:val="0"/>
        <w:widowControl/>
        <w:kinsoku w:val="0"/>
        <w:wordWrap w:val="0"/>
        <w:overflowPunct/>
        <w:topLinePunct w:val="0"/>
        <w:autoSpaceDE w:val="0"/>
        <w:autoSpaceDN w:val="0"/>
        <w:bidi w:val="0"/>
        <w:adjustRightInd w:val="0"/>
        <w:snapToGrid w:val="0"/>
        <w:spacing w:before="115" w:after="120" w:line="600" w:lineRule="exact"/>
        <w:ind w:firstLine="0" w:firstLineChars="0"/>
        <w:jc w:val="center"/>
        <w:textAlignment w:val="baseline"/>
        <w:outlineLvl w:val="0"/>
        <w:rPr>
          <w:rFonts w:hint="eastAsia" w:ascii="Times New Roman" w:hAnsi="Times New Roman" w:eastAsia="楷体" w:cs="Times New Roman"/>
          <w:snapToGrid/>
          <w:color w:val="000000"/>
          <w:kern w:val="2"/>
          <w:sz w:val="35"/>
          <w:szCs w:val="35"/>
          <w:highlight w:val="none"/>
          <w:lang w:val="en-US" w:eastAsia="zh-CN" w:bidi="ar-SA"/>
        </w:rPr>
      </w:pPr>
    </w:p>
    <w:p w14:paraId="18F624D6">
      <w:pPr>
        <w:keepNext w:val="0"/>
        <w:keepLines w:val="0"/>
        <w:pageBreakBefore w:val="0"/>
        <w:widowControl/>
        <w:kinsoku w:val="0"/>
        <w:wordWrap w:val="0"/>
        <w:overflowPunct/>
        <w:topLinePunct w:val="0"/>
        <w:autoSpaceDE w:val="0"/>
        <w:autoSpaceDN w:val="0"/>
        <w:bidi w:val="0"/>
        <w:adjustRightInd w:val="0"/>
        <w:snapToGrid w:val="0"/>
        <w:spacing w:before="115" w:after="120" w:line="600" w:lineRule="exact"/>
        <w:ind w:firstLine="0" w:firstLineChars="0"/>
        <w:jc w:val="center"/>
        <w:textAlignment w:val="baseline"/>
        <w:outlineLvl w:val="0"/>
        <w:rPr>
          <w:rFonts w:hint="eastAsia" w:ascii="Times New Roman" w:hAnsi="Times New Roman" w:eastAsia="楷体" w:cs="Times New Roman"/>
          <w:snapToGrid/>
          <w:color w:val="000000"/>
          <w:kern w:val="2"/>
          <w:sz w:val="35"/>
          <w:szCs w:val="35"/>
          <w:highlight w:val="none"/>
          <w:lang w:val="en-US" w:eastAsia="zh-CN" w:bidi="ar-SA"/>
        </w:rPr>
      </w:pPr>
      <w:bookmarkStart w:id="17" w:name="_Toc10290"/>
      <w:bookmarkStart w:id="18" w:name="_Toc12587"/>
      <w:bookmarkStart w:id="19" w:name="_Toc8264"/>
      <w:bookmarkStart w:id="20" w:name="_Toc18490"/>
      <w:bookmarkStart w:id="21" w:name="OLE_LINK2"/>
      <w:r>
        <w:rPr>
          <w:rFonts w:hint="eastAsia" w:eastAsia="楷体" w:cs="Times New Roman"/>
          <w:snapToGrid/>
          <w:color w:val="000000"/>
          <w:kern w:val="2"/>
          <w:sz w:val="35"/>
          <w:szCs w:val="35"/>
          <w:highlight w:val="none"/>
          <w:lang w:val="en-US" w:eastAsia="zh-CN" w:bidi="ar-SA"/>
        </w:rPr>
        <w:t>桃江县建筑垃圾污染环境</w:t>
      </w:r>
      <w:r>
        <w:rPr>
          <w:rFonts w:hint="eastAsia" w:ascii="Times New Roman" w:hAnsi="Times New Roman" w:eastAsia="楷体" w:cs="Times New Roman"/>
          <w:snapToGrid/>
          <w:color w:val="000000"/>
          <w:kern w:val="2"/>
          <w:sz w:val="35"/>
          <w:szCs w:val="35"/>
          <w:highlight w:val="none"/>
          <w:lang w:val="en-US" w:eastAsia="zh-CN" w:bidi="ar-SA"/>
        </w:rPr>
        <w:t>防治</w:t>
      </w:r>
      <w:bookmarkEnd w:id="17"/>
      <w:bookmarkEnd w:id="18"/>
      <w:bookmarkEnd w:id="19"/>
      <w:bookmarkEnd w:id="20"/>
    </w:p>
    <w:p w14:paraId="0ED938BA">
      <w:pPr>
        <w:keepNext w:val="0"/>
        <w:keepLines w:val="0"/>
        <w:pageBreakBefore w:val="0"/>
        <w:widowControl/>
        <w:kinsoku w:val="0"/>
        <w:wordWrap w:val="0"/>
        <w:overflowPunct/>
        <w:topLinePunct w:val="0"/>
        <w:autoSpaceDE w:val="0"/>
        <w:autoSpaceDN w:val="0"/>
        <w:bidi w:val="0"/>
        <w:adjustRightInd w:val="0"/>
        <w:snapToGrid w:val="0"/>
        <w:spacing w:before="115" w:after="120" w:line="600" w:lineRule="exact"/>
        <w:ind w:firstLine="0" w:firstLineChars="0"/>
        <w:jc w:val="center"/>
        <w:textAlignment w:val="baseline"/>
        <w:outlineLvl w:val="0"/>
        <w:rPr>
          <w:rFonts w:hint="default" w:ascii="Times New Roman" w:hAnsi="Times New Roman" w:eastAsia="楷体" w:cs="Times New Roman"/>
          <w:b/>
          <w:bCs/>
          <w:snapToGrid w:val="0"/>
          <w:color w:val="000000"/>
          <w:spacing w:val="19"/>
          <w:kern w:val="0"/>
          <w:sz w:val="35"/>
          <w:szCs w:val="35"/>
          <w:highlight w:val="none"/>
          <w:lang w:val="en-US" w:eastAsia="zh-CN"/>
        </w:rPr>
      </w:pPr>
      <w:bookmarkStart w:id="22" w:name="_Toc1187"/>
      <w:bookmarkStart w:id="23" w:name="_Toc3965"/>
      <w:bookmarkStart w:id="24" w:name="_Toc2993"/>
      <w:bookmarkStart w:id="25" w:name="_Toc7946"/>
      <w:r>
        <w:rPr>
          <w:rFonts w:hint="eastAsia" w:ascii="Times New Roman" w:hAnsi="Times New Roman" w:eastAsia="楷体" w:cs="Times New Roman"/>
          <w:snapToGrid/>
          <w:color w:val="000000"/>
          <w:kern w:val="2"/>
          <w:sz w:val="35"/>
          <w:szCs w:val="35"/>
          <w:highlight w:val="none"/>
          <w:lang w:val="en-US" w:eastAsia="zh-CN" w:bidi="ar-SA"/>
        </w:rPr>
        <w:t>工作规划</w:t>
      </w:r>
      <w:bookmarkEnd w:id="14"/>
      <w:bookmarkEnd w:id="15"/>
      <w:bookmarkEnd w:id="16"/>
      <w:bookmarkEnd w:id="22"/>
      <w:bookmarkEnd w:id="23"/>
      <w:bookmarkEnd w:id="24"/>
      <w:bookmarkEnd w:id="25"/>
    </w:p>
    <w:bookmarkEnd w:id="21"/>
    <w:p w14:paraId="0FB603B1">
      <w:pPr>
        <w:keepNext w:val="0"/>
        <w:keepLines w:val="0"/>
        <w:pageBreakBefore w:val="0"/>
        <w:widowControl/>
        <w:kinsoku w:val="0"/>
        <w:wordWrap w:val="0"/>
        <w:overflowPunct/>
        <w:topLinePunct w:val="0"/>
        <w:autoSpaceDE w:val="0"/>
        <w:autoSpaceDN w:val="0"/>
        <w:bidi w:val="0"/>
        <w:adjustRightInd w:val="0"/>
        <w:snapToGrid w:val="0"/>
        <w:spacing w:before="115" w:after="120" w:line="600" w:lineRule="exact"/>
        <w:ind w:firstLine="0" w:firstLineChars="0"/>
        <w:jc w:val="center"/>
        <w:textAlignment w:val="baseline"/>
        <w:outlineLvl w:val="9"/>
        <w:rPr>
          <w:rFonts w:hint="default" w:ascii="Times New Roman" w:hAnsi="Times New Roman" w:eastAsia="楷体" w:cs="Times New Roman"/>
          <w:b/>
          <w:bCs/>
          <w:snapToGrid w:val="0"/>
          <w:color w:val="000000"/>
          <w:spacing w:val="19"/>
          <w:kern w:val="0"/>
          <w:sz w:val="35"/>
          <w:szCs w:val="35"/>
          <w:highlight w:val="none"/>
          <w:lang w:val="en-US" w:eastAsia="zh-CN"/>
        </w:rPr>
      </w:pPr>
    </w:p>
    <w:p w14:paraId="7FBCE18E">
      <w:pPr>
        <w:pageBreakBefore w:val="0"/>
        <w:widowControl/>
        <w:kinsoku w:val="0"/>
        <w:wordWrap w:val="0"/>
        <w:overflowPunct/>
        <w:autoSpaceDE w:val="0"/>
        <w:autoSpaceDN w:val="0"/>
        <w:bidi w:val="0"/>
        <w:adjustRightInd w:val="0"/>
        <w:snapToGrid w:val="0"/>
        <w:spacing w:before="88" w:after="120" w:line="220" w:lineRule="auto"/>
        <w:ind w:left="3419" w:firstLine="0" w:firstLineChars="0"/>
        <w:textAlignment w:val="baseline"/>
        <w:rPr>
          <w:rFonts w:hint="default" w:ascii="Times New Roman" w:hAnsi="Times New Roman" w:eastAsia="仿宋" w:cs="Times New Roman"/>
          <w:b/>
          <w:bCs/>
          <w:snapToGrid w:val="0"/>
          <w:color w:val="000000"/>
          <w:kern w:val="0"/>
          <w:sz w:val="28"/>
          <w:szCs w:val="28"/>
          <w:highlight w:val="none"/>
          <w:lang w:val="en-US" w:eastAsia="zh-CN"/>
        </w:rPr>
      </w:pPr>
      <w:r>
        <w:rPr>
          <w:rFonts w:hint="default" w:ascii="Times New Roman" w:hAnsi="Times New Roman" w:eastAsia="仿宋" w:cs="Times New Roman"/>
          <w:b/>
          <w:bCs/>
          <w:snapToGrid w:val="0"/>
          <w:color w:val="000000"/>
          <w:spacing w:val="1"/>
          <w:kern w:val="0"/>
          <w:sz w:val="28"/>
          <w:szCs w:val="28"/>
          <w:highlight w:val="none"/>
          <w:lang w:val="en-US" w:eastAsia="zh-CN"/>
        </w:rPr>
        <w:t>设计</w:t>
      </w:r>
      <w:r>
        <w:rPr>
          <w:rFonts w:hint="default" w:ascii="Times New Roman" w:hAnsi="Times New Roman" w:eastAsia="仿宋" w:cs="Times New Roman"/>
          <w:b/>
          <w:bCs/>
          <w:snapToGrid w:val="0"/>
          <w:color w:val="000000"/>
          <w:spacing w:val="1"/>
          <w:kern w:val="0"/>
          <w:sz w:val="28"/>
          <w:szCs w:val="28"/>
          <w:highlight w:val="none"/>
          <w:lang w:eastAsia="en-US"/>
        </w:rPr>
        <w:t>号：202</w:t>
      </w:r>
      <w:r>
        <w:rPr>
          <w:rFonts w:hint="default" w:ascii="Times New Roman" w:hAnsi="Times New Roman" w:eastAsia="仿宋" w:cs="Times New Roman"/>
          <w:b/>
          <w:bCs/>
          <w:snapToGrid w:val="0"/>
          <w:color w:val="000000"/>
          <w:spacing w:val="1"/>
          <w:kern w:val="0"/>
          <w:sz w:val="28"/>
          <w:szCs w:val="28"/>
          <w:highlight w:val="none"/>
          <w:lang w:val="en-US" w:eastAsia="zh-CN"/>
        </w:rPr>
        <w:t>5</w:t>
      </w:r>
      <w:r>
        <w:rPr>
          <w:rFonts w:hint="default" w:ascii="Times New Roman" w:hAnsi="Times New Roman" w:eastAsia="仿宋" w:cs="Times New Roman"/>
          <w:b/>
          <w:bCs/>
          <w:snapToGrid w:val="0"/>
          <w:color w:val="000000"/>
          <w:spacing w:val="1"/>
          <w:kern w:val="0"/>
          <w:sz w:val="28"/>
          <w:szCs w:val="28"/>
          <w:highlight w:val="none"/>
          <w:lang w:eastAsia="en-US"/>
        </w:rPr>
        <w:t>-</w:t>
      </w:r>
      <w:r>
        <w:rPr>
          <w:rFonts w:hint="default" w:ascii="Times New Roman" w:hAnsi="Times New Roman" w:eastAsia="仿宋" w:cs="Times New Roman"/>
          <w:b/>
          <w:bCs/>
          <w:snapToGrid w:val="0"/>
          <w:color w:val="000000"/>
          <w:spacing w:val="1"/>
          <w:kern w:val="0"/>
          <w:sz w:val="28"/>
          <w:szCs w:val="28"/>
          <w:highlight w:val="none"/>
          <w:lang w:val="en-US" w:eastAsia="zh-CN"/>
        </w:rPr>
        <w:t>008</w:t>
      </w:r>
    </w:p>
    <w:p w14:paraId="023C89C4">
      <w:pPr>
        <w:pageBreakBefore w:val="0"/>
        <w:widowControl/>
        <w:kinsoku w:val="0"/>
        <w:wordWrap w:val="0"/>
        <w:overflowPunct/>
        <w:autoSpaceDE w:val="0"/>
        <w:autoSpaceDN w:val="0"/>
        <w:bidi w:val="0"/>
        <w:adjustRightInd w:val="0"/>
        <w:snapToGrid w:val="0"/>
        <w:spacing w:before="120" w:after="120" w:line="360" w:lineRule="auto"/>
        <w:ind w:firstLine="1960" w:firstLineChars="700"/>
        <w:textAlignment w:val="baseline"/>
        <w:rPr>
          <w:rFonts w:hint="eastAsia" w:ascii="仿宋" w:hAnsi="仿宋" w:eastAsia="仿宋" w:cs="仿宋"/>
          <w:snapToGrid w:val="0"/>
          <w:color w:val="000000"/>
          <w:kern w:val="0"/>
          <w:sz w:val="28"/>
          <w:szCs w:val="28"/>
          <w:highlight w:val="none"/>
          <w:lang w:eastAsia="en-US"/>
        </w:rPr>
      </w:pPr>
    </w:p>
    <w:p w14:paraId="41A4C3F5">
      <w:pPr>
        <w:pageBreakBefore w:val="0"/>
        <w:widowControl/>
        <w:kinsoku w:val="0"/>
        <w:wordWrap w:val="0"/>
        <w:overflowPunct/>
        <w:autoSpaceDE w:val="0"/>
        <w:autoSpaceDN w:val="0"/>
        <w:bidi w:val="0"/>
        <w:adjustRightInd w:val="0"/>
        <w:snapToGrid w:val="0"/>
        <w:spacing w:before="120" w:after="120" w:line="360" w:lineRule="auto"/>
        <w:ind w:firstLine="560" w:firstLineChars="200"/>
        <w:textAlignment w:val="baseline"/>
        <w:rPr>
          <w:rFonts w:hint="eastAsia" w:ascii="仿宋" w:hAnsi="仿宋" w:eastAsia="仿宋" w:cs="仿宋"/>
          <w:snapToGrid w:val="0"/>
          <w:color w:val="000000"/>
          <w:kern w:val="0"/>
          <w:sz w:val="28"/>
          <w:szCs w:val="28"/>
          <w:lang w:val="en-US" w:eastAsia="zh-CN"/>
        </w:rPr>
      </w:pPr>
      <w:bookmarkStart w:id="26" w:name="OLE_LINK47"/>
    </w:p>
    <w:bookmarkEnd w:id="26"/>
    <w:p w14:paraId="0EA930AE">
      <w:pPr>
        <w:spacing w:line="360" w:lineRule="auto"/>
        <w:ind w:firstLine="560" w:firstLineChars="200"/>
        <w:jc w:val="center"/>
        <w:rPr>
          <w:rFonts w:hint="default" w:ascii="仿宋" w:hAnsi="仿宋" w:eastAsia="仿宋" w:cs="仿宋"/>
          <w:szCs w:val="21"/>
          <w:highlight w:val="none"/>
          <w:lang w:val="en-US" w:eastAsia="zh-CN"/>
        </w:rPr>
      </w:pPr>
      <w:bookmarkStart w:id="27" w:name="OLE_LINK44"/>
      <w:r>
        <w:rPr>
          <w:rFonts w:hint="eastAsia" w:ascii="仿宋" w:hAnsi="仿宋" w:eastAsia="仿宋" w:cs="仿宋"/>
          <w:szCs w:val="21"/>
          <w:highlight w:val="none"/>
        </w:rPr>
        <w:t>规划资质证书：乙级  证书编号：</w:t>
      </w:r>
      <w:r>
        <w:rPr>
          <w:rFonts w:hint="eastAsia" w:ascii="仿宋" w:hAnsi="仿宋" w:cs="仿宋"/>
          <w:szCs w:val="21"/>
          <w:highlight w:val="none"/>
          <w:lang w:eastAsia="zh-CN"/>
        </w:rPr>
        <w:t>黔</w:t>
      </w:r>
      <w:r>
        <w:rPr>
          <w:rFonts w:hint="eastAsia" w:ascii="仿宋" w:hAnsi="仿宋" w:eastAsia="仿宋" w:cs="仿宋"/>
          <w:szCs w:val="21"/>
          <w:highlight w:val="none"/>
        </w:rPr>
        <w:t>自资规乙字</w:t>
      </w:r>
      <w:r>
        <w:rPr>
          <w:rFonts w:hint="eastAsia" w:ascii="仿宋" w:hAnsi="仿宋" w:cs="仿宋"/>
          <w:szCs w:val="21"/>
          <w:highlight w:val="none"/>
          <w:lang w:val="en-US" w:eastAsia="zh-CN"/>
        </w:rPr>
        <w:t>24520036</w:t>
      </w:r>
    </w:p>
    <w:p w14:paraId="1E37BD7C">
      <w:pPr>
        <w:keepNext w:val="0"/>
        <w:keepLines w:val="0"/>
        <w:pageBreakBefore w:val="0"/>
        <w:kinsoku/>
        <w:wordWrap/>
        <w:overflowPunct/>
        <w:topLinePunct w:val="0"/>
        <w:autoSpaceDE/>
        <w:autoSpaceDN/>
        <w:bidi w:val="0"/>
        <w:spacing w:line="360" w:lineRule="auto"/>
        <w:ind w:firstLine="0" w:firstLineChars="0"/>
        <w:jc w:val="center"/>
        <w:rPr>
          <w:rFonts w:hint="eastAsia" w:ascii="仿宋" w:hAnsi="仿宋" w:eastAsia="仿宋" w:cs="仿宋"/>
          <w:sz w:val="28"/>
          <w:szCs w:val="28"/>
          <w:highlight w:val="none"/>
        </w:rPr>
      </w:pPr>
    </w:p>
    <w:p w14:paraId="5A98C7FE">
      <w:pPr>
        <w:keepNext w:val="0"/>
        <w:keepLines w:val="0"/>
        <w:pageBreakBefore w:val="0"/>
        <w:kinsoku/>
        <w:wordWrap/>
        <w:overflowPunct/>
        <w:topLinePunct w:val="0"/>
        <w:autoSpaceDE/>
        <w:autoSpaceDN/>
        <w:bidi w:val="0"/>
        <w:spacing w:line="360" w:lineRule="auto"/>
        <w:ind w:firstLine="0" w:firstLineChars="0"/>
        <w:jc w:val="center"/>
        <w:rPr>
          <w:rFonts w:hint="default" w:ascii="Times New Roman" w:hAnsi="Times New Roman" w:eastAsia="仿宋" w:cs="Times New Roman"/>
          <w:sz w:val="30"/>
          <w:szCs w:val="30"/>
          <w:highlight w:val="none"/>
        </w:rPr>
      </w:pPr>
    </w:p>
    <w:p w14:paraId="40C89333">
      <w:pPr>
        <w:keepNext w:val="0"/>
        <w:keepLines w:val="0"/>
        <w:pageBreakBefore w:val="0"/>
        <w:kinsoku/>
        <w:wordWrap/>
        <w:overflowPunct/>
        <w:topLinePunct w:val="0"/>
        <w:autoSpaceDE/>
        <w:autoSpaceDN/>
        <w:bidi w:val="0"/>
        <w:spacing w:line="360" w:lineRule="auto"/>
        <w:ind w:firstLine="1200" w:firstLineChars="400"/>
        <w:rPr>
          <w:rFonts w:hint="default" w:ascii="Times New Roman" w:hAnsi="Times New Roman" w:eastAsia="仿宋" w:cs="Times New Roman"/>
          <w:sz w:val="30"/>
          <w:szCs w:val="30"/>
          <w:highlight w:val="none"/>
          <w:lang w:eastAsia="zh-CN"/>
        </w:rPr>
      </w:pPr>
      <w:r>
        <w:rPr>
          <w:rFonts w:hint="default" w:ascii="Times New Roman" w:hAnsi="Times New Roman" w:eastAsia="仿宋" w:cs="Times New Roman"/>
          <w:sz w:val="30"/>
          <w:szCs w:val="30"/>
          <w:highlight w:val="none"/>
        </w:rPr>
        <w:t xml:space="preserve">  院      长：王</w:t>
      </w:r>
      <w:r>
        <w:rPr>
          <w:rFonts w:hint="eastAsia" w:ascii="Times New Roman" w:hAnsi="Times New Roman" w:cs="Times New Roman"/>
          <w:sz w:val="30"/>
          <w:szCs w:val="30"/>
          <w:highlight w:val="none"/>
          <w:lang w:eastAsia="zh-CN"/>
        </w:rPr>
        <w:t>忠云</w:t>
      </w:r>
      <w:r>
        <w:rPr>
          <w:rFonts w:hint="default" w:ascii="Times New Roman" w:hAnsi="Times New Roman" w:eastAsia="仿宋" w:cs="Times New Roman"/>
          <w:sz w:val="30"/>
          <w:szCs w:val="30"/>
          <w:highlight w:val="none"/>
        </w:rPr>
        <w:t xml:space="preserve">    工    程    师</w:t>
      </w:r>
    </w:p>
    <w:p w14:paraId="072FFAD5">
      <w:pPr>
        <w:keepNext w:val="0"/>
        <w:keepLines w:val="0"/>
        <w:pageBreakBefore w:val="0"/>
        <w:kinsoku/>
        <w:wordWrap/>
        <w:overflowPunct/>
        <w:topLinePunct w:val="0"/>
        <w:autoSpaceDE/>
        <w:autoSpaceDN/>
        <w:bidi w:val="0"/>
        <w:spacing w:line="360" w:lineRule="auto"/>
        <w:ind w:firstLine="1200" w:firstLineChars="400"/>
        <w:rPr>
          <w:rFonts w:hint="default" w:ascii="Times New Roman" w:hAnsi="Times New Roman" w:eastAsia="仿宋" w:cs="Times New Roman"/>
          <w:sz w:val="30"/>
          <w:szCs w:val="30"/>
          <w:highlight w:val="none"/>
        </w:rPr>
      </w:pPr>
      <w:r>
        <w:rPr>
          <w:rFonts w:hint="default" w:ascii="Times New Roman" w:hAnsi="Times New Roman" w:eastAsia="仿宋" w:cs="Times New Roman"/>
          <w:sz w:val="30"/>
          <w:szCs w:val="30"/>
          <w:highlight w:val="none"/>
        </w:rPr>
        <w:t xml:space="preserve">  项目负责人：</w:t>
      </w:r>
      <w:r>
        <w:rPr>
          <w:rFonts w:hint="eastAsia" w:ascii="Times New Roman" w:hAnsi="Times New Roman" w:cs="Times New Roman"/>
          <w:sz w:val="30"/>
          <w:szCs w:val="30"/>
          <w:highlight w:val="none"/>
          <w:lang w:eastAsia="zh-CN"/>
        </w:rPr>
        <w:t>刘黎明</w:t>
      </w:r>
      <w:r>
        <w:rPr>
          <w:rFonts w:hint="default" w:ascii="Times New Roman" w:hAnsi="Times New Roman" w:cs="Times New Roman"/>
          <w:sz w:val="30"/>
          <w:szCs w:val="30"/>
          <w:highlight w:val="none"/>
          <w:lang w:eastAsia="zh-CN"/>
        </w:rPr>
        <w:t xml:space="preserve">  </w:t>
      </w:r>
      <w:r>
        <w:rPr>
          <w:rFonts w:hint="default" w:ascii="Times New Roman" w:hAnsi="Times New Roman" w:cs="Times New Roman"/>
          <w:sz w:val="30"/>
          <w:szCs w:val="30"/>
          <w:highlight w:val="none"/>
          <w:lang w:val="en-US" w:eastAsia="zh-CN"/>
        </w:rPr>
        <w:t xml:space="preserve">  </w:t>
      </w:r>
      <w:r>
        <w:rPr>
          <w:rFonts w:hint="default" w:ascii="Times New Roman" w:hAnsi="Times New Roman" w:cs="Times New Roman"/>
          <w:sz w:val="30"/>
          <w:szCs w:val="30"/>
          <w:highlight w:val="none"/>
          <w:lang w:eastAsia="zh-CN"/>
        </w:rPr>
        <w:t>注</w:t>
      </w:r>
      <w:r>
        <w:rPr>
          <w:rFonts w:hint="default" w:ascii="Times New Roman" w:hAnsi="Times New Roman" w:cs="Times New Roman"/>
          <w:sz w:val="30"/>
          <w:szCs w:val="30"/>
          <w:highlight w:val="none"/>
          <w:lang w:val="en-US" w:eastAsia="zh-CN"/>
        </w:rPr>
        <w:t xml:space="preserve"> </w:t>
      </w:r>
      <w:r>
        <w:rPr>
          <w:rFonts w:hint="default" w:ascii="Times New Roman" w:hAnsi="Times New Roman" w:cs="Times New Roman"/>
          <w:sz w:val="30"/>
          <w:szCs w:val="30"/>
          <w:highlight w:val="none"/>
          <w:lang w:eastAsia="zh-CN"/>
        </w:rPr>
        <w:t>册</w:t>
      </w:r>
      <w:r>
        <w:rPr>
          <w:rFonts w:hint="default" w:ascii="Times New Roman" w:hAnsi="Times New Roman" w:cs="Times New Roman"/>
          <w:sz w:val="30"/>
          <w:szCs w:val="30"/>
          <w:highlight w:val="none"/>
          <w:lang w:val="en-US" w:eastAsia="zh-CN"/>
        </w:rPr>
        <w:t xml:space="preserve"> </w:t>
      </w:r>
      <w:r>
        <w:rPr>
          <w:rFonts w:hint="default" w:ascii="Times New Roman" w:hAnsi="Times New Roman" w:cs="Times New Roman"/>
          <w:sz w:val="30"/>
          <w:szCs w:val="30"/>
          <w:highlight w:val="none"/>
          <w:lang w:eastAsia="zh-CN"/>
        </w:rPr>
        <w:t>咨</w:t>
      </w:r>
      <w:r>
        <w:rPr>
          <w:rFonts w:hint="default" w:ascii="Times New Roman" w:hAnsi="Times New Roman" w:cs="Times New Roman"/>
          <w:sz w:val="30"/>
          <w:szCs w:val="30"/>
          <w:highlight w:val="none"/>
          <w:lang w:val="en-US" w:eastAsia="zh-CN"/>
        </w:rPr>
        <w:t xml:space="preserve"> </w:t>
      </w:r>
      <w:r>
        <w:rPr>
          <w:rFonts w:hint="default" w:ascii="Times New Roman" w:hAnsi="Times New Roman" w:cs="Times New Roman"/>
          <w:sz w:val="30"/>
          <w:szCs w:val="30"/>
          <w:highlight w:val="none"/>
          <w:lang w:eastAsia="zh-CN"/>
        </w:rPr>
        <w:t>询</w:t>
      </w:r>
      <w:r>
        <w:rPr>
          <w:rFonts w:hint="default" w:ascii="Times New Roman" w:hAnsi="Times New Roman" w:cs="Times New Roman"/>
          <w:sz w:val="30"/>
          <w:szCs w:val="30"/>
          <w:highlight w:val="none"/>
          <w:lang w:val="en-US" w:eastAsia="zh-CN"/>
        </w:rPr>
        <w:t xml:space="preserve"> </w:t>
      </w:r>
      <w:r>
        <w:rPr>
          <w:rFonts w:hint="default" w:ascii="Times New Roman" w:hAnsi="Times New Roman" w:cs="Times New Roman"/>
          <w:sz w:val="30"/>
          <w:szCs w:val="30"/>
          <w:highlight w:val="none"/>
          <w:lang w:eastAsia="zh-CN"/>
        </w:rPr>
        <w:t>师</w:t>
      </w:r>
    </w:p>
    <w:p w14:paraId="20C8ADEE">
      <w:pPr>
        <w:keepNext w:val="0"/>
        <w:keepLines w:val="0"/>
        <w:pageBreakBefore w:val="0"/>
        <w:kinsoku/>
        <w:wordWrap/>
        <w:overflowPunct/>
        <w:topLinePunct w:val="0"/>
        <w:autoSpaceDE/>
        <w:autoSpaceDN/>
        <w:bidi w:val="0"/>
        <w:spacing w:line="360" w:lineRule="auto"/>
        <w:ind w:firstLine="1200" w:firstLineChars="400"/>
        <w:outlineLvl w:val="0"/>
        <w:rPr>
          <w:rFonts w:hint="default" w:ascii="Times New Roman" w:hAnsi="Times New Roman" w:eastAsia="仿宋" w:cs="Times New Roman"/>
          <w:sz w:val="30"/>
          <w:szCs w:val="30"/>
          <w:highlight w:val="none"/>
        </w:rPr>
      </w:pPr>
      <w:r>
        <w:rPr>
          <w:rFonts w:hint="default" w:ascii="Times New Roman" w:hAnsi="Times New Roman" w:eastAsia="仿宋" w:cs="Times New Roman"/>
          <w:sz w:val="30"/>
          <w:szCs w:val="30"/>
          <w:highlight w:val="none"/>
        </w:rPr>
        <w:t xml:space="preserve">  </w:t>
      </w:r>
      <w:bookmarkStart w:id="28" w:name="_Toc10201"/>
      <w:bookmarkStart w:id="29" w:name="_Toc194"/>
      <w:bookmarkStart w:id="30" w:name="_Toc6538"/>
      <w:bookmarkStart w:id="31" w:name="_Toc29456"/>
      <w:r>
        <w:rPr>
          <w:rFonts w:hint="default" w:ascii="Times New Roman" w:hAnsi="Times New Roman" w:eastAsia="仿宋" w:cs="Times New Roman"/>
          <w:sz w:val="30"/>
          <w:szCs w:val="30"/>
          <w:highlight w:val="none"/>
        </w:rPr>
        <w:t>项目组成员：</w:t>
      </w:r>
      <w:r>
        <w:rPr>
          <w:rFonts w:hint="eastAsia" w:ascii="Times New Roman" w:hAnsi="Times New Roman" w:cs="Times New Roman"/>
          <w:sz w:val="30"/>
          <w:szCs w:val="30"/>
          <w:highlight w:val="none"/>
          <w:lang w:eastAsia="zh-CN"/>
        </w:rPr>
        <w:t>李</w:t>
      </w:r>
      <w:r>
        <w:rPr>
          <w:rFonts w:hint="eastAsia" w:ascii="Times New Roman" w:hAnsi="Times New Roman" w:cs="Times New Roman"/>
          <w:sz w:val="30"/>
          <w:szCs w:val="30"/>
          <w:highlight w:val="none"/>
          <w:lang w:val="en-US" w:eastAsia="zh-CN"/>
        </w:rPr>
        <w:t xml:space="preserve">  </w:t>
      </w:r>
      <w:r>
        <w:rPr>
          <w:rFonts w:hint="eastAsia" w:ascii="Times New Roman" w:hAnsi="Times New Roman" w:cs="Times New Roman"/>
          <w:sz w:val="30"/>
          <w:szCs w:val="30"/>
          <w:highlight w:val="none"/>
          <w:lang w:eastAsia="zh-CN"/>
        </w:rPr>
        <w:t>旭</w:t>
      </w:r>
      <w:r>
        <w:rPr>
          <w:rFonts w:hint="default" w:ascii="Times New Roman" w:hAnsi="Times New Roman" w:eastAsia="仿宋" w:cs="Times New Roman"/>
          <w:sz w:val="30"/>
          <w:szCs w:val="30"/>
          <w:highlight w:val="none"/>
        </w:rPr>
        <w:t xml:space="preserve">    </w:t>
      </w:r>
      <w:r>
        <w:rPr>
          <w:rFonts w:hint="default" w:ascii="Times New Roman" w:hAnsi="Times New Roman" w:cs="Times New Roman"/>
          <w:sz w:val="30"/>
          <w:szCs w:val="30"/>
          <w:highlight w:val="none"/>
          <w:lang w:eastAsia="zh-CN"/>
        </w:rPr>
        <w:t>注册城乡规划师</w:t>
      </w:r>
      <w:bookmarkEnd w:id="28"/>
      <w:bookmarkEnd w:id="29"/>
      <w:bookmarkEnd w:id="30"/>
      <w:bookmarkEnd w:id="31"/>
    </w:p>
    <w:p w14:paraId="58003D28">
      <w:pPr>
        <w:widowControl/>
        <w:adjustRightInd w:val="0"/>
        <w:snapToGrid w:val="0"/>
        <w:spacing w:after="120" w:line="240" w:lineRule="auto"/>
        <w:ind w:left="902" w:firstLine="560"/>
        <w:jc w:val="left"/>
        <w:textAlignment w:val="baseline"/>
        <w:rPr>
          <w:rFonts w:hint="default" w:ascii="Times New Roman" w:hAnsi="Times New Roman" w:eastAsia="仿宋" w:cs="Times New Roman"/>
          <w:kern w:val="2"/>
          <w:sz w:val="30"/>
          <w:szCs w:val="30"/>
          <w:highlight w:val="none"/>
          <w:lang w:val="en-US" w:eastAsia="zh-CN" w:bidi="ar-SA"/>
        </w:rPr>
      </w:pPr>
      <w:r>
        <w:rPr>
          <w:rFonts w:hint="default" w:ascii="Times New Roman" w:hAnsi="Times New Roman" w:eastAsia="仿宋" w:cs="Times New Roman"/>
          <w:kern w:val="0"/>
          <w:sz w:val="30"/>
          <w:szCs w:val="30"/>
          <w:highlight w:val="none"/>
          <w:lang w:val="en-US" w:eastAsia="zh-CN" w:bidi="ar-SA"/>
        </w:rPr>
        <w:t xml:space="preserve">            </w:t>
      </w:r>
      <w:r>
        <w:rPr>
          <w:rFonts w:hint="eastAsia" w:ascii="Times New Roman" w:hAnsi="Times New Roman" w:eastAsia="仿宋" w:cs="Times New Roman"/>
          <w:kern w:val="0"/>
          <w:sz w:val="30"/>
          <w:szCs w:val="30"/>
          <w:highlight w:val="none"/>
          <w:lang w:val="en-US" w:eastAsia="zh-CN" w:bidi="ar-SA"/>
        </w:rPr>
        <w:t>周  亮</w:t>
      </w:r>
      <w:r>
        <w:rPr>
          <w:rFonts w:hint="default" w:ascii="Times New Roman" w:hAnsi="Times New Roman" w:eastAsia="仿宋" w:cs="Times New Roman"/>
          <w:kern w:val="2"/>
          <w:sz w:val="30"/>
          <w:szCs w:val="30"/>
          <w:highlight w:val="none"/>
          <w:lang w:val="en-US" w:eastAsia="zh-CN" w:bidi="ar-SA"/>
        </w:rPr>
        <w:t xml:space="preserve">    注册城乡规划师</w:t>
      </w:r>
    </w:p>
    <w:p w14:paraId="2096ED88">
      <w:pPr>
        <w:widowControl/>
        <w:adjustRightInd w:val="0"/>
        <w:snapToGrid w:val="0"/>
        <w:spacing w:after="120" w:line="240" w:lineRule="auto"/>
        <w:ind w:left="902" w:firstLine="560"/>
        <w:jc w:val="left"/>
        <w:textAlignment w:val="baseline"/>
        <w:rPr>
          <w:rFonts w:hint="default" w:ascii="Times New Roman" w:hAnsi="Times New Roman" w:eastAsia="仿宋" w:cs="Times New Roman"/>
          <w:kern w:val="0"/>
          <w:sz w:val="30"/>
          <w:szCs w:val="30"/>
          <w:lang w:val="en-US" w:eastAsia="zh-CN" w:bidi="ar-SA"/>
        </w:rPr>
      </w:pPr>
      <w:r>
        <w:rPr>
          <w:rFonts w:hint="default" w:ascii="Times New Roman" w:hAnsi="Times New Roman" w:eastAsia="仿宋" w:cs="Times New Roman"/>
          <w:kern w:val="0"/>
          <w:sz w:val="30"/>
          <w:szCs w:val="30"/>
          <w:highlight w:val="none"/>
          <w:lang w:val="en-US" w:eastAsia="zh-CN" w:bidi="ar-SA"/>
        </w:rPr>
        <w:t xml:space="preserve"> </w:t>
      </w:r>
    </w:p>
    <w:p w14:paraId="08E8A970">
      <w:pPr>
        <w:keepNext w:val="0"/>
        <w:keepLines w:val="0"/>
        <w:pageBreakBefore w:val="0"/>
        <w:kinsoku/>
        <w:wordWrap/>
        <w:overflowPunct/>
        <w:topLinePunct w:val="0"/>
        <w:autoSpaceDE/>
        <w:autoSpaceDN/>
        <w:bidi w:val="0"/>
        <w:spacing w:line="360" w:lineRule="auto"/>
        <w:ind w:firstLine="0" w:firstLineChars="0"/>
        <w:jc w:val="center"/>
        <w:rPr>
          <w:rFonts w:hint="default" w:ascii="Times New Roman" w:hAnsi="Times New Roman" w:eastAsia="仿宋" w:cs="Times New Roman"/>
          <w:sz w:val="30"/>
          <w:szCs w:val="30"/>
        </w:rPr>
      </w:pPr>
    </w:p>
    <w:p w14:paraId="1F4D3894">
      <w:pPr>
        <w:keepNext w:val="0"/>
        <w:keepLines w:val="0"/>
        <w:pageBreakBefore w:val="0"/>
        <w:kinsoku/>
        <w:wordWrap/>
        <w:overflowPunct/>
        <w:topLinePunct w:val="0"/>
        <w:autoSpaceDE/>
        <w:autoSpaceDN/>
        <w:bidi w:val="0"/>
        <w:spacing w:line="360" w:lineRule="auto"/>
        <w:ind w:firstLine="0" w:firstLineChars="0"/>
        <w:jc w:val="center"/>
        <w:rPr>
          <w:rFonts w:hint="default" w:ascii="Times New Roman" w:hAnsi="Times New Roman" w:eastAsia="仿宋" w:cs="Times New Roman"/>
          <w:sz w:val="30"/>
          <w:szCs w:val="30"/>
        </w:rPr>
      </w:pPr>
    </w:p>
    <w:p w14:paraId="163256E8">
      <w:pPr>
        <w:keepNext w:val="0"/>
        <w:keepLines w:val="0"/>
        <w:pageBreakBefore w:val="0"/>
        <w:kinsoku/>
        <w:wordWrap/>
        <w:overflowPunct/>
        <w:topLinePunct w:val="0"/>
        <w:autoSpaceDE/>
        <w:autoSpaceDN/>
        <w:bidi w:val="0"/>
        <w:spacing w:line="360" w:lineRule="auto"/>
        <w:ind w:firstLine="0" w:firstLineChars="0"/>
        <w:jc w:val="center"/>
        <w:outlineLvl w:val="0"/>
        <w:rPr>
          <w:rFonts w:hint="default" w:ascii="Times New Roman" w:hAnsi="Times New Roman" w:eastAsia="仿宋" w:cs="Times New Roman"/>
          <w:i w:val="0"/>
          <w:iCs w:val="0"/>
          <w:sz w:val="30"/>
          <w:szCs w:val="30"/>
          <w:shd w:val="clear" w:color="auto" w:fill="FFFFFF"/>
        </w:rPr>
      </w:pPr>
      <w:bookmarkStart w:id="32" w:name="_Toc25888"/>
      <w:bookmarkStart w:id="33" w:name="_Toc8252"/>
      <w:bookmarkStart w:id="34" w:name="_Toc12750"/>
      <w:bookmarkStart w:id="35" w:name="_Toc12181"/>
      <w:bookmarkStart w:id="36" w:name="_Toc31231"/>
      <w:bookmarkStart w:id="37" w:name="_Toc25836"/>
      <w:bookmarkStart w:id="38" w:name="_Toc22261"/>
      <w:bookmarkStart w:id="39" w:name="_Toc5201"/>
      <w:bookmarkStart w:id="40" w:name="_Toc7957"/>
      <w:bookmarkStart w:id="41" w:name="_Toc30844"/>
      <w:bookmarkStart w:id="42" w:name="_Toc12184"/>
      <w:bookmarkStart w:id="43" w:name="_Toc489"/>
      <w:bookmarkStart w:id="44" w:name="_Toc31605"/>
      <w:bookmarkStart w:id="45" w:name="_Toc19685"/>
      <w:bookmarkStart w:id="46" w:name="_Toc32563"/>
      <w:bookmarkStart w:id="47" w:name="_Toc23027"/>
      <w:bookmarkStart w:id="48" w:name="_Toc10603"/>
      <w:bookmarkStart w:id="49" w:name="_Toc21880"/>
      <w:bookmarkStart w:id="50" w:name="_Toc11764"/>
      <w:bookmarkStart w:id="51" w:name="_Toc32765"/>
      <w:bookmarkStart w:id="52" w:name="_Toc15809"/>
      <w:r>
        <w:rPr>
          <w:rFonts w:hint="default" w:ascii="Times New Roman" w:hAnsi="Times New Roman" w:eastAsia="仿宋" w:cs="Times New Roman"/>
          <w:i w:val="0"/>
          <w:iCs w:val="0"/>
          <w:sz w:val="30"/>
          <w:szCs w:val="30"/>
          <w:shd w:val="clear" w:color="auto" w:fill="FFFFFF"/>
        </w:rPr>
        <w:t>桃江县住房和城乡建设局</w:t>
      </w:r>
      <w:bookmarkEnd w:id="32"/>
      <w:bookmarkEnd w:id="33"/>
      <w:bookmarkEnd w:id="34"/>
      <w:bookmarkEnd w:id="35"/>
    </w:p>
    <w:p w14:paraId="392C7A00">
      <w:pPr>
        <w:keepNext w:val="0"/>
        <w:keepLines w:val="0"/>
        <w:pageBreakBefore w:val="0"/>
        <w:kinsoku/>
        <w:wordWrap/>
        <w:overflowPunct/>
        <w:topLinePunct w:val="0"/>
        <w:autoSpaceDE/>
        <w:autoSpaceDN/>
        <w:bidi w:val="0"/>
        <w:spacing w:line="360" w:lineRule="auto"/>
        <w:ind w:firstLine="0" w:firstLineChars="0"/>
        <w:jc w:val="center"/>
        <w:outlineLvl w:val="0"/>
        <w:rPr>
          <w:rFonts w:hint="default" w:ascii="Times New Roman" w:hAnsi="Times New Roman" w:eastAsia="仿宋" w:cs="Times New Roman"/>
          <w:sz w:val="30"/>
          <w:szCs w:val="30"/>
          <w:shd w:val="clear" w:color="auto" w:fill="FFFFFF"/>
        </w:rPr>
      </w:pPr>
      <w:bookmarkStart w:id="53" w:name="_Toc23501"/>
      <w:bookmarkStart w:id="54" w:name="_Toc2940"/>
      <w:bookmarkStart w:id="55" w:name="_Toc26995"/>
      <w:bookmarkStart w:id="56" w:name="_Toc11803"/>
      <w:r>
        <w:rPr>
          <w:rFonts w:hint="default" w:ascii="Times New Roman" w:hAnsi="Times New Roman" w:eastAsia="仿宋" w:cs="Times New Roman"/>
          <w:i w:val="0"/>
          <w:iCs w:val="0"/>
          <w:sz w:val="30"/>
          <w:szCs w:val="30"/>
          <w:shd w:val="clear" w:color="auto" w:fill="FFFFFF"/>
        </w:rPr>
        <w:t>中元天纬集团有限</w:t>
      </w:r>
      <w:r>
        <w:rPr>
          <w:rFonts w:hint="default" w:ascii="Times New Roman" w:hAnsi="Times New Roman" w:eastAsia="仿宋" w:cs="Times New Roman"/>
          <w:sz w:val="30"/>
          <w:szCs w:val="30"/>
          <w:shd w:val="clear" w:color="auto" w:fill="FFFFFF"/>
        </w:rPr>
        <w:t>公司</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0397DAC1">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r>
        <w:rPr>
          <w:rFonts w:hint="default" w:ascii="Times New Roman" w:hAnsi="Times New Roman" w:cs="Times New Roman"/>
          <w:snapToGrid w:val="0"/>
          <w:color w:val="000000"/>
          <w:kern w:val="0"/>
          <w:sz w:val="30"/>
          <w:szCs w:val="30"/>
          <w:highlight w:val="none"/>
          <w:shd w:val="clear" w:color="auto" w:fill="FFFFFF"/>
          <w:lang w:eastAsia="en-US"/>
        </w:rPr>
        <w:t>202</w:t>
      </w:r>
      <w:r>
        <w:rPr>
          <w:rFonts w:hint="default" w:ascii="Times New Roman" w:hAnsi="Times New Roman" w:eastAsia="宋体" w:cs="Times New Roman"/>
          <w:snapToGrid w:val="0"/>
          <w:color w:val="000000"/>
          <w:kern w:val="0"/>
          <w:sz w:val="30"/>
          <w:szCs w:val="30"/>
          <w:highlight w:val="none"/>
          <w:shd w:val="clear" w:color="auto" w:fill="FFFFFF"/>
          <w:lang w:val="en-US" w:eastAsia="zh-CN"/>
        </w:rPr>
        <w:t>5</w:t>
      </w:r>
      <w:r>
        <w:rPr>
          <w:rFonts w:hint="default" w:ascii="Times New Roman" w:hAnsi="Times New Roman" w:cs="Times New Roman"/>
          <w:snapToGrid w:val="0"/>
          <w:color w:val="000000"/>
          <w:kern w:val="0"/>
          <w:sz w:val="30"/>
          <w:szCs w:val="30"/>
          <w:highlight w:val="none"/>
          <w:shd w:val="clear" w:color="auto" w:fill="FFFFFF"/>
          <w:lang w:eastAsia="en-US"/>
        </w:rPr>
        <w:t>年</w:t>
      </w:r>
      <w:r>
        <w:rPr>
          <w:rFonts w:hint="default" w:ascii="Times New Roman" w:hAnsi="Times New Roman" w:cs="Times New Roman"/>
          <w:snapToGrid w:val="0"/>
          <w:color w:val="000000"/>
          <w:kern w:val="0"/>
          <w:sz w:val="30"/>
          <w:szCs w:val="30"/>
          <w:highlight w:val="none"/>
          <w:shd w:val="clear" w:color="auto" w:fill="FFFFFF"/>
          <w:lang w:val="en-US" w:eastAsia="zh-CN"/>
        </w:rPr>
        <w:t>1</w:t>
      </w:r>
      <w:r>
        <w:rPr>
          <w:rFonts w:hint="eastAsia" w:ascii="Times New Roman" w:hAnsi="Times New Roman" w:cs="Times New Roman"/>
          <w:snapToGrid w:val="0"/>
          <w:color w:val="000000"/>
          <w:kern w:val="0"/>
          <w:sz w:val="30"/>
          <w:szCs w:val="30"/>
          <w:highlight w:val="none"/>
          <w:shd w:val="clear" w:color="auto" w:fill="FFFFFF"/>
          <w:lang w:val="en-US" w:eastAsia="zh-CN"/>
        </w:rPr>
        <w:t>2</w:t>
      </w:r>
      <w:r>
        <w:rPr>
          <w:rFonts w:hint="default" w:ascii="Times New Roman" w:hAnsi="Times New Roman" w:cs="Times New Roman"/>
          <w:snapToGrid w:val="0"/>
          <w:color w:val="000000"/>
          <w:kern w:val="0"/>
          <w:sz w:val="30"/>
          <w:szCs w:val="30"/>
          <w:highlight w:val="none"/>
          <w:shd w:val="clear" w:color="auto" w:fill="FFFFFF"/>
          <w:lang w:eastAsia="en-US"/>
        </w:rPr>
        <w:t>月</w:t>
      </w:r>
      <w:bookmarkEnd w:id="27"/>
    </w:p>
    <w:p w14:paraId="09005C1B">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r>
        <w:rPr>
          <w:rFonts w:hint="eastAsia" w:ascii="宋体" w:hAnsi="宋体" w:eastAsia="仿宋" w:cs="Arial"/>
          <w:sz w:val="30"/>
          <w:szCs w:val="30"/>
          <w:highlight w:val="none"/>
          <w:shd w:val="clear" w:color="auto" w:fill="FFFFFF"/>
          <w:lang w:eastAsia="zh-CN"/>
        </w:rPr>
        <w:drawing>
          <wp:anchor distT="0" distB="0" distL="114300" distR="114300" simplePos="0" relativeHeight="251663360" behindDoc="1" locked="0" layoutInCell="1" allowOverlap="1">
            <wp:simplePos x="0" y="0"/>
            <wp:positionH relativeFrom="column">
              <wp:posOffset>-1409700</wp:posOffset>
            </wp:positionH>
            <wp:positionV relativeFrom="paragraph">
              <wp:posOffset>1466850</wp:posOffset>
            </wp:positionV>
            <wp:extent cx="8270875" cy="5847080"/>
            <wp:effectExtent l="0" t="0" r="5080" b="4445"/>
            <wp:wrapNone/>
            <wp:docPr id="17" name="图片 17" descr="6bfa5d00b2eb22c83ca82c080cfd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bfa5d00b2eb22c83ca82c080cfd273"/>
                    <pic:cNvPicPr>
                      <a:picLocks noChangeAspect="1"/>
                    </pic:cNvPicPr>
                  </pic:nvPicPr>
                  <pic:blipFill>
                    <a:blip r:embed="rId16"/>
                    <a:stretch>
                      <a:fillRect/>
                    </a:stretch>
                  </pic:blipFill>
                  <pic:spPr>
                    <a:xfrm rot="16200000">
                      <a:off x="0" y="0"/>
                      <a:ext cx="8270875" cy="5847080"/>
                    </a:xfrm>
                    <a:prstGeom prst="rect">
                      <a:avLst/>
                    </a:prstGeom>
                  </pic:spPr>
                </pic:pic>
              </a:graphicData>
            </a:graphic>
          </wp:anchor>
        </w:drawing>
      </w:r>
    </w:p>
    <w:p w14:paraId="15AF0FBE">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1F1DF787">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2D0DAE71">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7B44DCB9">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071711A8">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7D8A62DF">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4E63ACF3">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2B477A38">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1D28FB9E">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567CBA22">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2EF652DF">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323E432C">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6AC4BC10">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438A2670">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6C7AE2B1">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1D1BFA7D">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48DC0C7F">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488C8EB3">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680874D7">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default" w:ascii="Times New Roman" w:hAnsi="Times New Roman" w:cs="Times New Roman"/>
          <w:snapToGrid w:val="0"/>
          <w:color w:val="000000"/>
          <w:kern w:val="0"/>
          <w:sz w:val="30"/>
          <w:szCs w:val="30"/>
          <w:highlight w:val="none"/>
          <w:shd w:val="clear" w:color="auto" w:fill="FFFFFF"/>
          <w:lang w:eastAsia="en-US"/>
        </w:rPr>
      </w:pPr>
    </w:p>
    <w:p w14:paraId="3E491FA7">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eastAsia" w:ascii="Times New Roman" w:hAnsi="Times New Roman" w:eastAsia="楷体" w:cs="Times New Roman"/>
          <w:color w:val="000000"/>
          <w:kern w:val="0"/>
          <w:sz w:val="35"/>
          <w:szCs w:val="35"/>
          <w:lang w:eastAsia="zh-CN"/>
        </w:rPr>
      </w:pPr>
    </w:p>
    <w:p w14:paraId="5C022FA1">
      <w:pPr>
        <w:pageBreakBefore w:val="0"/>
        <w:widowControl/>
        <w:kinsoku w:val="0"/>
        <w:wordWrap w:val="0"/>
        <w:overflowPunct/>
        <w:autoSpaceDE w:val="0"/>
        <w:autoSpaceDN w:val="0"/>
        <w:bidi w:val="0"/>
        <w:adjustRightInd w:val="0"/>
        <w:snapToGrid w:val="0"/>
        <w:spacing w:before="120" w:after="120" w:line="360" w:lineRule="auto"/>
        <w:ind w:firstLine="0" w:firstLineChars="0"/>
        <w:jc w:val="center"/>
        <w:textAlignment w:val="baseline"/>
        <w:rPr>
          <w:rFonts w:hint="eastAsia" w:ascii="Times New Roman" w:hAnsi="Times New Roman" w:eastAsia="楷体" w:cs="Times New Roman"/>
          <w:color w:val="000000"/>
          <w:kern w:val="0"/>
          <w:sz w:val="35"/>
          <w:szCs w:val="35"/>
          <w:lang w:eastAsia="zh-CN"/>
        </w:rPr>
      </w:pPr>
    </w:p>
    <w:sdt>
      <w:sdtPr>
        <w:rPr>
          <w:rFonts w:hint="eastAsia" w:ascii="黑体" w:hAnsi="黑体" w:eastAsia="黑体" w:cs="黑体"/>
          <w:sz w:val="28"/>
          <w:szCs w:val="28"/>
        </w:rPr>
        <w:id w:val="147481901"/>
        <w15:color w:val="DBDBDB"/>
        <w:docPartObj>
          <w:docPartGallery w:val="Table of Contents"/>
          <w:docPartUnique/>
        </w:docPartObj>
      </w:sdtPr>
      <w:sdtEndPr>
        <w:rPr>
          <w:rFonts w:hint="eastAsia" w:ascii="仿宋" w:hAnsi="仿宋" w:eastAsia="仿宋" w:cs="仿宋"/>
          <w:b/>
          <w:sz w:val="24"/>
          <w:szCs w:val="24"/>
        </w:rPr>
      </w:sdtEndPr>
      <w:sdtContent>
        <w:p w14:paraId="194FE0FC">
          <w:pPr>
            <w:spacing w:line="240" w:lineRule="auto"/>
            <w:ind w:firstLine="560"/>
            <w:jc w:val="center"/>
            <w:rPr>
              <w:rFonts w:hint="eastAsia" w:ascii="黑体" w:hAnsi="黑体" w:eastAsia="黑体" w:cs="黑体"/>
              <w:sz w:val="28"/>
              <w:szCs w:val="28"/>
            </w:rPr>
          </w:pPr>
          <w:r>
            <w:rPr>
              <w:rFonts w:hint="eastAsia" w:ascii="黑体" w:hAnsi="黑体" w:eastAsia="黑体" w:cs="黑体"/>
              <w:sz w:val="28"/>
              <w:szCs w:val="28"/>
            </w:rPr>
            <w:t>目  录</w:t>
          </w:r>
        </w:p>
        <w:p w14:paraId="3F00836B">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TOC \o "1-2" \h \u </w:instrText>
          </w:r>
          <w:r>
            <w:rPr>
              <w:rFonts w:hint="eastAsia" w:ascii="仿宋" w:hAnsi="仿宋" w:eastAsia="仿宋" w:cs="仿宋"/>
              <w:sz w:val="24"/>
              <w:szCs w:val="24"/>
            </w:rPr>
            <w:fldChar w:fldCharType="separate"/>
          </w:r>
        </w:p>
        <w:p w14:paraId="38616387">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_Toc17598 </w:instrText>
          </w:r>
          <w:r>
            <w:rPr>
              <w:rFonts w:hint="eastAsia" w:ascii="仿宋" w:hAnsi="仿宋" w:eastAsia="仿宋" w:cs="仿宋"/>
              <w:sz w:val="24"/>
              <w:szCs w:val="24"/>
            </w:rPr>
            <w:fldChar w:fldCharType="separate"/>
          </w:r>
          <w:r>
            <w:rPr>
              <w:rFonts w:hint="eastAsia" w:ascii="仿宋" w:hAnsi="仿宋" w:eastAsia="仿宋" w:cs="仿宋"/>
              <w:sz w:val="24"/>
              <w:szCs w:val="24"/>
            </w:rPr>
            <w:t>一、</w:t>
          </w:r>
          <w:r>
            <w:rPr>
              <w:rFonts w:hint="eastAsia" w:ascii="仿宋" w:hAnsi="仿宋" w:eastAsia="仿宋" w:cs="仿宋"/>
              <w:sz w:val="24"/>
              <w:szCs w:val="24"/>
              <w:lang w:val="en-US" w:eastAsia="zh-CN"/>
            </w:rPr>
            <w:t>总则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_Toc17598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93048CD">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_Toc18514 </w:instrText>
          </w:r>
          <w:r>
            <w:rPr>
              <w:rFonts w:hint="eastAsia" w:ascii="仿宋" w:hAnsi="仿宋" w:eastAsia="仿宋" w:cs="仿宋"/>
              <w:sz w:val="24"/>
              <w:szCs w:val="24"/>
            </w:rPr>
            <w:fldChar w:fldCharType="separate"/>
          </w:r>
          <w:r>
            <w:rPr>
              <w:rFonts w:hint="eastAsia" w:ascii="仿宋" w:hAnsi="仿宋" w:eastAsia="仿宋" w:cs="仿宋"/>
              <w:sz w:val="24"/>
              <w:szCs w:val="24"/>
            </w:rPr>
            <w:t>（一）规划</w:t>
          </w:r>
          <w:r>
            <w:rPr>
              <w:rFonts w:hint="eastAsia" w:ascii="仿宋" w:hAnsi="仿宋" w:eastAsia="仿宋" w:cs="仿宋"/>
              <w:sz w:val="24"/>
              <w:szCs w:val="24"/>
              <w:lang w:val="en-US" w:eastAsia="zh-CN"/>
            </w:rPr>
            <w:t>背景</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_Toc18514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61EAD77">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_Toc11471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指导思想</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_Toc11471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D4260E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_Toc29278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规划原则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_Toc29278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45D08E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_Toc18061 </w:instrText>
          </w:r>
          <w:r>
            <w:rPr>
              <w:rFonts w:hint="eastAsia" w:ascii="仿宋" w:hAnsi="仿宋" w:eastAsia="仿宋" w:cs="仿宋"/>
              <w:sz w:val="24"/>
              <w:szCs w:val="24"/>
            </w:rPr>
            <w:fldChar w:fldCharType="separate"/>
          </w:r>
          <w:r>
            <w:rPr>
              <w:rFonts w:hint="eastAsia" w:ascii="仿宋" w:hAnsi="仿宋" w:eastAsia="仿宋" w:cs="仿宋"/>
              <w:sz w:val="24"/>
              <w:szCs w:val="24"/>
            </w:rPr>
            <w:t>（</w:t>
          </w:r>
          <w:r>
            <w:rPr>
              <w:rFonts w:hint="eastAsia" w:ascii="仿宋" w:hAnsi="仿宋" w:eastAsia="仿宋" w:cs="仿宋"/>
              <w:sz w:val="24"/>
              <w:szCs w:val="24"/>
              <w:lang w:val="en-US" w:eastAsia="zh-CN"/>
            </w:rPr>
            <w:t>四</w:t>
          </w:r>
          <w:r>
            <w:rPr>
              <w:rFonts w:hint="eastAsia" w:ascii="仿宋" w:hAnsi="仿宋" w:eastAsia="仿宋" w:cs="仿宋"/>
              <w:sz w:val="24"/>
              <w:szCs w:val="24"/>
            </w:rPr>
            <w:t>）规划依据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_Toc18061 \h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16E9276">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_Toc8605 </w:instrText>
          </w:r>
          <w:r>
            <w:rPr>
              <w:rFonts w:hint="eastAsia" w:ascii="仿宋" w:hAnsi="仿宋" w:eastAsia="仿宋" w:cs="仿宋"/>
              <w:sz w:val="24"/>
              <w:szCs w:val="24"/>
            </w:rPr>
            <w:fldChar w:fldCharType="separate"/>
          </w:r>
          <w:r>
            <w:rPr>
              <w:rFonts w:hint="eastAsia" w:ascii="仿宋" w:hAnsi="仿宋" w:eastAsia="仿宋" w:cs="仿宋"/>
              <w:sz w:val="24"/>
              <w:szCs w:val="24"/>
            </w:rPr>
            <w:t>（五）规划</w:t>
          </w:r>
          <w:r>
            <w:rPr>
              <w:rFonts w:hint="eastAsia" w:ascii="仿宋" w:hAnsi="仿宋" w:eastAsia="仿宋" w:cs="仿宋"/>
              <w:sz w:val="24"/>
              <w:szCs w:val="24"/>
              <w:lang w:val="en-US" w:eastAsia="zh-CN"/>
            </w:rPr>
            <w:t>范围和</w:t>
          </w:r>
          <w:r>
            <w:rPr>
              <w:rFonts w:hint="eastAsia" w:ascii="仿宋" w:hAnsi="仿宋" w:eastAsia="仿宋" w:cs="仿宋"/>
              <w:sz w:val="24"/>
              <w:szCs w:val="24"/>
            </w:rPr>
            <w:t>期限</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_Toc8605 \h </w:instrText>
          </w:r>
          <w:r>
            <w:rPr>
              <w:rFonts w:hint="eastAsia" w:ascii="仿宋" w:hAnsi="仿宋" w:eastAsia="仿宋" w:cs="仿宋"/>
              <w:sz w:val="24"/>
              <w:szCs w:val="24"/>
            </w:rPr>
            <w:fldChar w:fldCharType="separate"/>
          </w:r>
          <w:r>
            <w:rPr>
              <w:rFonts w:hint="eastAsia" w:ascii="仿宋" w:hAnsi="仿宋" w:eastAsia="仿宋" w:cs="仿宋"/>
              <w:sz w:val="24"/>
              <w:szCs w:val="24"/>
            </w:rPr>
            <w:t>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6A36D83">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_Toc30470 </w:instrText>
          </w:r>
          <w:r>
            <w:rPr>
              <w:rFonts w:hint="eastAsia" w:ascii="仿宋" w:hAnsi="仿宋" w:eastAsia="仿宋" w:cs="仿宋"/>
              <w:sz w:val="24"/>
              <w:szCs w:val="24"/>
            </w:rPr>
            <w:fldChar w:fldCharType="separate"/>
          </w:r>
          <w:r>
            <w:rPr>
              <w:rFonts w:hint="eastAsia" w:ascii="仿宋" w:hAnsi="仿宋" w:eastAsia="仿宋" w:cs="仿宋"/>
              <w:sz w:val="24"/>
              <w:szCs w:val="24"/>
            </w:rPr>
            <w:t>（</w:t>
          </w:r>
          <w:r>
            <w:rPr>
              <w:rFonts w:hint="eastAsia" w:ascii="仿宋" w:hAnsi="仿宋" w:eastAsia="仿宋" w:cs="仿宋"/>
              <w:sz w:val="24"/>
              <w:szCs w:val="24"/>
              <w:lang w:val="en-US" w:eastAsia="zh-CN"/>
            </w:rPr>
            <w:t>六</w:t>
          </w:r>
          <w:r>
            <w:rPr>
              <w:rFonts w:hint="eastAsia" w:ascii="仿宋" w:hAnsi="仿宋" w:eastAsia="仿宋" w:cs="仿宋"/>
              <w:sz w:val="24"/>
              <w:szCs w:val="24"/>
            </w:rPr>
            <w:t>）规划</w:t>
          </w:r>
          <w:r>
            <w:rPr>
              <w:rFonts w:hint="eastAsia" w:ascii="仿宋" w:hAnsi="仿宋" w:eastAsia="仿宋" w:cs="仿宋"/>
              <w:sz w:val="24"/>
              <w:szCs w:val="24"/>
              <w:lang w:val="en-US" w:eastAsia="zh-CN"/>
            </w:rPr>
            <w:t>目标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_Toc30470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5ABF1D2">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_Toc15022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（七）规划名称解释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_Toc15022 \h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8D74040">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_Toc31999 </w:instrText>
          </w:r>
          <w:r>
            <w:rPr>
              <w:rFonts w:hint="eastAsia" w:ascii="仿宋" w:hAnsi="仿宋" w:eastAsia="仿宋" w:cs="仿宋"/>
              <w:sz w:val="24"/>
              <w:szCs w:val="24"/>
            </w:rPr>
            <w:fldChar w:fldCharType="separate"/>
          </w:r>
          <w:r>
            <w:rPr>
              <w:rFonts w:hint="eastAsia" w:ascii="仿宋" w:hAnsi="仿宋" w:eastAsia="仿宋" w:cs="仿宋"/>
              <w:sz w:val="24"/>
              <w:szCs w:val="24"/>
            </w:rPr>
            <w:t>二、区域概况及相关规划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_Toc31999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4D6BCDF">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_Toc17242 </w:instrText>
          </w:r>
          <w:r>
            <w:rPr>
              <w:rFonts w:hint="eastAsia" w:ascii="仿宋" w:hAnsi="仿宋" w:eastAsia="仿宋" w:cs="仿宋"/>
              <w:sz w:val="24"/>
              <w:szCs w:val="24"/>
            </w:rPr>
            <w:fldChar w:fldCharType="separate"/>
          </w:r>
          <w:r>
            <w:rPr>
              <w:rFonts w:hint="eastAsia" w:ascii="仿宋" w:hAnsi="仿宋" w:eastAsia="仿宋" w:cs="仿宋"/>
              <w:sz w:val="24"/>
              <w:szCs w:val="24"/>
            </w:rPr>
            <w:t>（一）区域概况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_Toc17242 \h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19ED3BD">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_Toc26834 </w:instrText>
          </w:r>
          <w:r>
            <w:rPr>
              <w:rFonts w:hint="eastAsia" w:ascii="仿宋" w:hAnsi="仿宋" w:eastAsia="仿宋" w:cs="仿宋"/>
              <w:sz w:val="24"/>
              <w:szCs w:val="24"/>
            </w:rPr>
            <w:fldChar w:fldCharType="separate"/>
          </w:r>
          <w:r>
            <w:rPr>
              <w:rFonts w:hint="eastAsia" w:ascii="仿宋" w:hAnsi="仿宋" w:eastAsia="仿宋" w:cs="仿宋"/>
              <w:sz w:val="24"/>
              <w:szCs w:val="24"/>
            </w:rPr>
            <w:t>（二）相关规划分析</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_Toc26834 \h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27A54E8">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_Toc28035 </w:instrText>
          </w:r>
          <w:r>
            <w:rPr>
              <w:rFonts w:hint="eastAsia" w:ascii="仿宋" w:hAnsi="仿宋" w:eastAsia="仿宋" w:cs="仿宋"/>
              <w:sz w:val="24"/>
              <w:szCs w:val="24"/>
            </w:rPr>
            <w:fldChar w:fldCharType="separate"/>
          </w:r>
          <w:r>
            <w:rPr>
              <w:rFonts w:hint="eastAsia" w:ascii="仿宋" w:hAnsi="仿宋" w:eastAsia="仿宋" w:cs="仿宋"/>
              <w:sz w:val="24"/>
              <w:szCs w:val="24"/>
            </w:rPr>
            <w:t>三、建筑垃圾治理现状及分析</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_Toc28035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4FE74FA">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_Toc9238 </w:instrText>
          </w:r>
          <w:r>
            <w:rPr>
              <w:rFonts w:hint="eastAsia" w:ascii="仿宋" w:hAnsi="仿宋" w:eastAsia="仿宋" w:cs="仿宋"/>
              <w:sz w:val="24"/>
              <w:szCs w:val="24"/>
            </w:rPr>
            <w:fldChar w:fldCharType="separate"/>
          </w:r>
          <w:r>
            <w:rPr>
              <w:rFonts w:hint="eastAsia" w:ascii="仿宋" w:hAnsi="仿宋" w:eastAsia="仿宋" w:cs="仿宋"/>
              <w:sz w:val="24"/>
              <w:szCs w:val="24"/>
            </w:rPr>
            <w:t>（一）建筑垃圾产生情况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_Toc9238 \h </w:instrText>
          </w:r>
          <w:r>
            <w:rPr>
              <w:rFonts w:hint="eastAsia" w:ascii="仿宋" w:hAnsi="仿宋" w:eastAsia="仿宋" w:cs="仿宋"/>
              <w:sz w:val="24"/>
              <w:szCs w:val="24"/>
            </w:rPr>
            <w:fldChar w:fldCharType="separate"/>
          </w:r>
          <w:r>
            <w:rPr>
              <w:rFonts w:hint="eastAsia" w:ascii="仿宋" w:hAnsi="仿宋" w:eastAsia="仿宋" w:cs="仿宋"/>
              <w:sz w:val="24"/>
              <w:szCs w:val="24"/>
            </w:rPr>
            <w:t>11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77E2F6B">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_Toc1688 </w:instrText>
          </w:r>
          <w:r>
            <w:rPr>
              <w:rFonts w:hint="eastAsia" w:ascii="仿宋" w:hAnsi="仿宋" w:eastAsia="仿宋" w:cs="仿宋"/>
              <w:sz w:val="24"/>
              <w:szCs w:val="24"/>
            </w:rPr>
            <w:fldChar w:fldCharType="separate"/>
          </w:r>
          <w:r>
            <w:rPr>
              <w:rFonts w:hint="eastAsia" w:ascii="仿宋" w:hAnsi="仿宋" w:eastAsia="仿宋" w:cs="仿宋"/>
              <w:sz w:val="24"/>
              <w:szCs w:val="24"/>
            </w:rPr>
            <w:t>（二）建筑垃圾收运现状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_Toc1688 \h </w:instrText>
          </w:r>
          <w:r>
            <w:rPr>
              <w:rFonts w:hint="eastAsia" w:ascii="仿宋" w:hAnsi="仿宋" w:eastAsia="仿宋" w:cs="仿宋"/>
              <w:sz w:val="24"/>
              <w:szCs w:val="24"/>
            </w:rPr>
            <w:fldChar w:fldCharType="separate"/>
          </w:r>
          <w:r>
            <w:rPr>
              <w:rFonts w:hint="eastAsia" w:ascii="仿宋" w:hAnsi="仿宋" w:eastAsia="仿宋" w:cs="仿宋"/>
              <w:sz w:val="24"/>
              <w:szCs w:val="24"/>
            </w:rPr>
            <w:t>12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C345D2A">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_Toc4051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（三）</w:t>
          </w:r>
          <w:r>
            <w:rPr>
              <w:rFonts w:hint="eastAsia" w:ascii="仿宋" w:hAnsi="仿宋" w:eastAsia="仿宋" w:cs="仿宋"/>
              <w:sz w:val="24"/>
              <w:szCs w:val="24"/>
            </w:rPr>
            <w:t>建筑垃圾处理处置现状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_Toc4051 \h </w:instrText>
          </w:r>
          <w:r>
            <w:rPr>
              <w:rFonts w:hint="eastAsia" w:ascii="仿宋" w:hAnsi="仿宋" w:eastAsia="仿宋" w:cs="仿宋"/>
              <w:sz w:val="24"/>
              <w:szCs w:val="24"/>
            </w:rPr>
            <w:fldChar w:fldCharType="separate"/>
          </w:r>
          <w:r>
            <w:rPr>
              <w:rFonts w:hint="eastAsia" w:ascii="仿宋" w:hAnsi="仿宋" w:eastAsia="仿宋" w:cs="仿宋"/>
              <w:sz w:val="24"/>
              <w:szCs w:val="24"/>
            </w:rPr>
            <w:t>12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C513A1B">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_Toc22412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四</w:t>
          </w:r>
          <w:r>
            <w:rPr>
              <w:rFonts w:hint="eastAsia" w:ascii="仿宋" w:hAnsi="仿宋" w:eastAsia="仿宋" w:cs="仿宋"/>
              <w:sz w:val="24"/>
              <w:szCs w:val="24"/>
              <w:lang w:eastAsia="zh-CN"/>
            </w:rPr>
            <w:t>）</w:t>
          </w:r>
          <w:r>
            <w:rPr>
              <w:rFonts w:hint="eastAsia" w:ascii="仿宋" w:hAnsi="仿宋" w:eastAsia="仿宋" w:cs="仿宋"/>
              <w:sz w:val="24"/>
              <w:szCs w:val="24"/>
            </w:rPr>
            <w:t>建筑垃圾监管现状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_Toc22412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9CE5F82">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_Toc13586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五</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建筑垃圾利用市场现状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_Toc13586 \h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6D752AE">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_Toc8611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（六）</w:t>
          </w:r>
          <w:r>
            <w:rPr>
              <w:rFonts w:hint="eastAsia" w:ascii="仿宋" w:hAnsi="仿宋" w:eastAsia="仿宋" w:cs="仿宋"/>
              <w:sz w:val="24"/>
              <w:szCs w:val="24"/>
            </w:rPr>
            <w:t>现状问题分析</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_Toc8611 \h </w:instrText>
          </w:r>
          <w:r>
            <w:rPr>
              <w:rFonts w:hint="eastAsia" w:ascii="仿宋" w:hAnsi="仿宋" w:eastAsia="仿宋" w:cs="仿宋"/>
              <w:sz w:val="24"/>
              <w:szCs w:val="24"/>
            </w:rPr>
            <w:fldChar w:fldCharType="separate"/>
          </w:r>
          <w:r>
            <w:rPr>
              <w:rFonts w:hint="eastAsia" w:ascii="仿宋" w:hAnsi="仿宋" w:eastAsia="仿宋" w:cs="仿宋"/>
              <w:sz w:val="24"/>
              <w:szCs w:val="24"/>
            </w:rPr>
            <w:t>15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453B10D">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_Toc8950 </w:instrText>
          </w:r>
          <w:r>
            <w:rPr>
              <w:rFonts w:hint="eastAsia" w:ascii="仿宋" w:hAnsi="仿宋" w:eastAsia="仿宋" w:cs="仿宋"/>
              <w:sz w:val="24"/>
              <w:szCs w:val="24"/>
            </w:rPr>
            <w:fldChar w:fldCharType="separate"/>
          </w:r>
          <w:r>
            <w:rPr>
              <w:rFonts w:hint="eastAsia" w:ascii="仿宋" w:hAnsi="仿宋" w:eastAsia="仿宋" w:cs="仿宋"/>
              <w:sz w:val="24"/>
              <w:szCs w:val="24"/>
            </w:rPr>
            <w:t>四、建筑垃圾产生量预测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_Toc8950 \h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15C6DF5">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_Toc1686 </w:instrText>
          </w:r>
          <w:r>
            <w:rPr>
              <w:rFonts w:hint="eastAsia" w:ascii="仿宋" w:hAnsi="仿宋" w:eastAsia="仿宋" w:cs="仿宋"/>
              <w:sz w:val="24"/>
              <w:szCs w:val="24"/>
            </w:rPr>
            <w:fldChar w:fldCharType="separate"/>
          </w:r>
          <w:r>
            <w:rPr>
              <w:rFonts w:hint="eastAsia" w:ascii="仿宋" w:hAnsi="仿宋" w:eastAsia="仿宋" w:cs="仿宋"/>
              <w:sz w:val="24"/>
              <w:szCs w:val="24"/>
            </w:rPr>
            <w:t>（一）预测范围及方法依据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_Toc1686 \h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106E9B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_Toc11993 </w:instrText>
          </w:r>
          <w:r>
            <w:rPr>
              <w:rFonts w:hint="eastAsia" w:ascii="仿宋" w:hAnsi="仿宋" w:eastAsia="仿宋" w:cs="仿宋"/>
              <w:sz w:val="24"/>
              <w:szCs w:val="24"/>
            </w:rPr>
            <w:fldChar w:fldCharType="separate"/>
          </w:r>
          <w:r>
            <w:rPr>
              <w:rFonts w:hint="eastAsia" w:ascii="仿宋" w:hAnsi="仿宋" w:eastAsia="仿宋" w:cs="仿宋"/>
              <w:sz w:val="24"/>
              <w:szCs w:val="24"/>
            </w:rPr>
            <w:t>（二）产生量预测</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_Toc11993 \h </w:instrText>
          </w:r>
          <w:r>
            <w:rPr>
              <w:rFonts w:hint="eastAsia" w:ascii="仿宋" w:hAnsi="仿宋" w:eastAsia="仿宋" w:cs="仿宋"/>
              <w:sz w:val="24"/>
              <w:szCs w:val="24"/>
            </w:rPr>
            <w:fldChar w:fldCharType="separate"/>
          </w:r>
          <w:r>
            <w:rPr>
              <w:rFonts w:hint="eastAsia" w:ascii="仿宋" w:hAnsi="仿宋" w:eastAsia="仿宋" w:cs="仿宋"/>
              <w:sz w:val="24"/>
              <w:szCs w:val="24"/>
            </w:rPr>
            <w:t>17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1AA778B">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_Toc24280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en-US"/>
            </w:rPr>
            <w:t>五、建筑垃圾治理总体思路</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_Toc24280 \h </w:instrText>
          </w:r>
          <w:r>
            <w:rPr>
              <w:rFonts w:hint="eastAsia" w:ascii="仿宋" w:hAnsi="仿宋" w:eastAsia="仿宋" w:cs="仿宋"/>
              <w:sz w:val="24"/>
              <w:szCs w:val="24"/>
            </w:rPr>
            <w:fldChar w:fldCharType="separate"/>
          </w:r>
          <w:r>
            <w:rPr>
              <w:rFonts w:hint="eastAsia" w:ascii="仿宋" w:hAnsi="仿宋" w:eastAsia="仿宋" w:cs="仿宋"/>
              <w:sz w:val="24"/>
              <w:szCs w:val="24"/>
            </w:rPr>
            <w:t>22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E83D522">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_Toc11765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（一）总体思路</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_Toc11765 \h </w:instrText>
          </w:r>
          <w:r>
            <w:rPr>
              <w:rFonts w:hint="eastAsia" w:ascii="仿宋" w:hAnsi="仿宋" w:eastAsia="仿宋" w:cs="仿宋"/>
              <w:sz w:val="24"/>
              <w:szCs w:val="24"/>
            </w:rPr>
            <w:fldChar w:fldCharType="separate"/>
          </w:r>
          <w:r>
            <w:rPr>
              <w:rFonts w:hint="eastAsia" w:ascii="仿宋" w:hAnsi="仿宋" w:eastAsia="仿宋" w:cs="仿宋"/>
              <w:sz w:val="24"/>
              <w:szCs w:val="24"/>
            </w:rPr>
            <w:t>22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B10105E">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_Toc22274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（二）目标任务</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_Toc22274 \h </w:instrText>
          </w:r>
          <w:r>
            <w:rPr>
              <w:rFonts w:hint="eastAsia" w:ascii="仿宋" w:hAnsi="仿宋" w:eastAsia="仿宋" w:cs="仿宋"/>
              <w:sz w:val="24"/>
              <w:szCs w:val="24"/>
            </w:rPr>
            <w:fldChar w:fldCharType="separate"/>
          </w:r>
          <w:r>
            <w:rPr>
              <w:rFonts w:hint="eastAsia" w:ascii="仿宋" w:hAnsi="仿宋" w:eastAsia="仿宋" w:cs="仿宋"/>
              <w:sz w:val="24"/>
              <w:szCs w:val="24"/>
            </w:rPr>
            <w:t>24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7313E22">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_Toc15772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（三）技术路线</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_Toc15772 \h </w:instrText>
          </w:r>
          <w:r>
            <w:rPr>
              <w:rFonts w:hint="eastAsia" w:ascii="仿宋" w:hAnsi="仿宋" w:eastAsia="仿宋" w:cs="仿宋"/>
              <w:sz w:val="24"/>
              <w:szCs w:val="24"/>
            </w:rPr>
            <w:fldChar w:fldCharType="separate"/>
          </w:r>
          <w:r>
            <w:rPr>
              <w:rFonts w:hint="eastAsia" w:ascii="仿宋" w:hAnsi="仿宋" w:eastAsia="仿宋" w:cs="仿宋"/>
              <w:sz w:val="24"/>
              <w:szCs w:val="24"/>
            </w:rPr>
            <w:t>25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7CC98C1">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_Toc13751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en-US"/>
            </w:rPr>
            <w:t>六、建筑垃圾源头减量规划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_Toc13751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02C1EB4">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_Toc5661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（一）源头减量目标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_Toc5661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EBFB61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_Toc30071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（二）源头减量措施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_Toc30071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2698256">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_Toc1464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en-US"/>
            </w:rPr>
            <w:t>七、收运体系规划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_Toc1464 \h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52BA312">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_Toc31290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（一）基本要求</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_Toc31290 \h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56BA0DE">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_Toc23636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（二）收运模式</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_Toc23636 \h </w:instrText>
          </w:r>
          <w:r>
            <w:rPr>
              <w:rFonts w:hint="eastAsia" w:ascii="仿宋" w:hAnsi="仿宋" w:eastAsia="仿宋" w:cs="仿宋"/>
              <w:sz w:val="24"/>
              <w:szCs w:val="24"/>
            </w:rPr>
            <w:fldChar w:fldCharType="separate"/>
          </w:r>
          <w:r>
            <w:rPr>
              <w:rFonts w:hint="eastAsia" w:ascii="仿宋" w:hAnsi="仿宋" w:eastAsia="仿宋" w:cs="仿宋"/>
              <w:sz w:val="24"/>
              <w:szCs w:val="24"/>
            </w:rPr>
            <w:t>35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7CD94C1">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_Toc10452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（三）分类收运</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_Toc10452 \h </w:instrText>
          </w:r>
          <w:r>
            <w:rPr>
              <w:rFonts w:hint="eastAsia" w:ascii="仿宋" w:hAnsi="仿宋" w:eastAsia="仿宋" w:cs="仿宋"/>
              <w:sz w:val="24"/>
              <w:szCs w:val="24"/>
            </w:rPr>
            <w:fldChar w:fldCharType="separate"/>
          </w:r>
          <w:r>
            <w:rPr>
              <w:rFonts w:hint="eastAsia" w:ascii="仿宋" w:hAnsi="仿宋" w:eastAsia="仿宋" w:cs="仿宋"/>
              <w:sz w:val="24"/>
              <w:szCs w:val="24"/>
            </w:rPr>
            <w:t>35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84392FB">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_Toc5594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（四）收运设施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_Toc5594 \h </w:instrText>
          </w:r>
          <w:r>
            <w:rPr>
              <w:rFonts w:hint="eastAsia" w:ascii="仿宋" w:hAnsi="仿宋" w:eastAsia="仿宋" w:cs="仿宋"/>
              <w:sz w:val="24"/>
              <w:szCs w:val="24"/>
            </w:rPr>
            <w:fldChar w:fldCharType="separate"/>
          </w:r>
          <w:r>
            <w:rPr>
              <w:rFonts w:hint="eastAsia" w:ascii="仿宋" w:hAnsi="仿宋" w:eastAsia="仿宋" w:cs="仿宋"/>
              <w:sz w:val="24"/>
              <w:szCs w:val="24"/>
            </w:rPr>
            <w:t>39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A57659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_Toc5733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（五）收运车辆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_Toc5733 \h </w:instrText>
          </w:r>
          <w:r>
            <w:rPr>
              <w:rFonts w:hint="eastAsia" w:ascii="仿宋" w:hAnsi="仿宋" w:eastAsia="仿宋" w:cs="仿宋"/>
              <w:sz w:val="24"/>
              <w:szCs w:val="24"/>
            </w:rPr>
            <w:fldChar w:fldCharType="separate"/>
          </w:r>
          <w:r>
            <w:rPr>
              <w:rFonts w:hint="eastAsia" w:ascii="仿宋" w:hAnsi="仿宋" w:eastAsia="仿宋" w:cs="仿宋"/>
              <w:sz w:val="24"/>
              <w:szCs w:val="24"/>
            </w:rPr>
            <w:t>40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1E773E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_Toc16474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六</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收运路线</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_Toc16474 \h </w:instrText>
          </w:r>
          <w:r>
            <w:rPr>
              <w:rFonts w:hint="eastAsia" w:ascii="仿宋" w:hAnsi="仿宋" w:eastAsia="仿宋" w:cs="仿宋"/>
              <w:sz w:val="24"/>
              <w:szCs w:val="24"/>
            </w:rPr>
            <w:fldChar w:fldCharType="separate"/>
          </w:r>
          <w:r>
            <w:rPr>
              <w:rFonts w:hint="eastAsia" w:ascii="仿宋" w:hAnsi="仿宋" w:eastAsia="仿宋" w:cs="仿宋"/>
              <w:sz w:val="24"/>
              <w:szCs w:val="24"/>
            </w:rPr>
            <w:t>41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5129A56">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_Toc30825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en-US"/>
            </w:rPr>
            <w:t>第八章 利用与消纳处置规划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_Toc30825 \h </w:instrText>
          </w:r>
          <w:r>
            <w:rPr>
              <w:rFonts w:hint="eastAsia" w:ascii="仿宋" w:hAnsi="仿宋" w:eastAsia="仿宋" w:cs="仿宋"/>
              <w:sz w:val="24"/>
              <w:szCs w:val="24"/>
            </w:rPr>
            <w:fldChar w:fldCharType="separate"/>
          </w:r>
          <w:r>
            <w:rPr>
              <w:rFonts w:hint="eastAsia" w:ascii="仿宋" w:hAnsi="仿宋" w:eastAsia="仿宋" w:cs="仿宋"/>
              <w:sz w:val="24"/>
              <w:szCs w:val="24"/>
            </w:rPr>
            <w:t>42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CFA58F4">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_Toc17511 </w:instrText>
          </w:r>
          <w:r>
            <w:rPr>
              <w:rFonts w:hint="eastAsia" w:ascii="仿宋" w:hAnsi="仿宋" w:eastAsia="仿宋" w:cs="仿宋"/>
              <w:sz w:val="24"/>
              <w:szCs w:val="24"/>
            </w:rPr>
            <w:fldChar w:fldCharType="separate"/>
          </w:r>
          <w:r>
            <w:rPr>
              <w:rFonts w:hint="eastAsia" w:ascii="仿宋" w:hAnsi="仿宋" w:eastAsia="仿宋" w:cs="仿宋"/>
              <w:sz w:val="24"/>
              <w:szCs w:val="24"/>
            </w:rPr>
            <w:t>（一）建筑垃圾处置要求</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_Toc17511 \h </w:instrText>
          </w:r>
          <w:r>
            <w:rPr>
              <w:rFonts w:hint="eastAsia" w:ascii="仿宋" w:hAnsi="仿宋" w:eastAsia="仿宋" w:cs="仿宋"/>
              <w:sz w:val="24"/>
              <w:szCs w:val="24"/>
            </w:rPr>
            <w:fldChar w:fldCharType="separate"/>
          </w:r>
          <w:r>
            <w:rPr>
              <w:rFonts w:hint="eastAsia" w:ascii="仿宋" w:hAnsi="仿宋" w:eastAsia="仿宋" w:cs="仿宋"/>
              <w:sz w:val="24"/>
              <w:szCs w:val="24"/>
            </w:rPr>
            <w:t>42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466B96E">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_Toc543 </w:instrText>
          </w:r>
          <w:r>
            <w:rPr>
              <w:rFonts w:hint="eastAsia" w:ascii="仿宋" w:hAnsi="仿宋" w:eastAsia="仿宋" w:cs="仿宋"/>
              <w:sz w:val="24"/>
              <w:szCs w:val="24"/>
            </w:rPr>
            <w:fldChar w:fldCharType="separate"/>
          </w:r>
          <w:r>
            <w:rPr>
              <w:rFonts w:hint="eastAsia" w:ascii="仿宋" w:hAnsi="仿宋" w:eastAsia="仿宋" w:cs="仿宋"/>
              <w:sz w:val="24"/>
              <w:szCs w:val="24"/>
            </w:rPr>
            <w:t>（二）</w:t>
          </w:r>
          <w:r>
            <w:rPr>
              <w:rFonts w:hint="eastAsia" w:ascii="仿宋" w:hAnsi="仿宋" w:eastAsia="仿宋" w:cs="仿宋"/>
              <w:sz w:val="24"/>
              <w:szCs w:val="24"/>
              <w:lang w:eastAsia="en-US"/>
            </w:rPr>
            <w:t>建筑垃圾处置设施布局</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_Toc543 \h </w:instrText>
          </w:r>
          <w:r>
            <w:rPr>
              <w:rFonts w:hint="eastAsia" w:ascii="仿宋" w:hAnsi="仿宋" w:eastAsia="仿宋" w:cs="仿宋"/>
              <w:sz w:val="24"/>
              <w:szCs w:val="24"/>
            </w:rPr>
            <w:fldChar w:fldCharType="separate"/>
          </w:r>
          <w:r>
            <w:rPr>
              <w:rFonts w:hint="eastAsia" w:ascii="仿宋" w:hAnsi="仿宋" w:eastAsia="仿宋" w:cs="仿宋"/>
              <w:sz w:val="24"/>
              <w:szCs w:val="24"/>
            </w:rPr>
            <w:t>45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A192F76">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_Toc10575 </w:instrText>
          </w:r>
          <w:r>
            <w:rPr>
              <w:rFonts w:hint="eastAsia" w:ascii="仿宋" w:hAnsi="仿宋" w:eastAsia="仿宋" w:cs="仿宋"/>
              <w:sz w:val="24"/>
              <w:szCs w:val="24"/>
            </w:rPr>
            <w:fldChar w:fldCharType="separate"/>
          </w:r>
          <w:r>
            <w:rPr>
              <w:rFonts w:hint="eastAsia" w:ascii="仿宋" w:hAnsi="仿宋" w:eastAsia="仿宋" w:cs="仿宋"/>
              <w:sz w:val="24"/>
              <w:szCs w:val="24"/>
            </w:rPr>
            <w:t>（三）选址方案</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_Toc10575 \h </w:instrText>
          </w:r>
          <w:r>
            <w:rPr>
              <w:rFonts w:hint="eastAsia" w:ascii="仿宋" w:hAnsi="仿宋" w:eastAsia="仿宋" w:cs="仿宋"/>
              <w:sz w:val="24"/>
              <w:szCs w:val="24"/>
            </w:rPr>
            <w:fldChar w:fldCharType="separate"/>
          </w:r>
          <w:r>
            <w:rPr>
              <w:rFonts w:hint="eastAsia" w:ascii="仿宋" w:hAnsi="仿宋" w:eastAsia="仿宋" w:cs="仿宋"/>
              <w:sz w:val="24"/>
              <w:szCs w:val="24"/>
            </w:rPr>
            <w:t>48</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A117D9C">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_Toc614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（四）建筑垃圾资源化利用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_Toc614 \h </w:instrText>
          </w:r>
          <w:r>
            <w:rPr>
              <w:rFonts w:hint="eastAsia" w:ascii="仿宋" w:hAnsi="仿宋" w:eastAsia="仿宋" w:cs="仿宋"/>
              <w:sz w:val="24"/>
              <w:szCs w:val="24"/>
            </w:rPr>
            <w:fldChar w:fldCharType="separate"/>
          </w:r>
          <w:r>
            <w:rPr>
              <w:rFonts w:hint="eastAsia" w:ascii="仿宋" w:hAnsi="仿宋" w:eastAsia="仿宋" w:cs="仿宋"/>
              <w:sz w:val="24"/>
              <w:szCs w:val="24"/>
            </w:rPr>
            <w:t>54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A7985A0">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_Toc31771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en-US"/>
            </w:rPr>
            <w:t>（五）建筑垃圾消纳处置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_Toc31771 \h </w:instrText>
          </w:r>
          <w:r>
            <w:rPr>
              <w:rFonts w:hint="eastAsia" w:ascii="仿宋" w:hAnsi="仿宋" w:eastAsia="仿宋" w:cs="仿宋"/>
              <w:sz w:val="24"/>
              <w:szCs w:val="24"/>
            </w:rPr>
            <w:fldChar w:fldCharType="separate"/>
          </w:r>
          <w:r>
            <w:rPr>
              <w:rFonts w:hint="eastAsia" w:ascii="仿宋" w:hAnsi="仿宋" w:eastAsia="仿宋" w:cs="仿宋"/>
              <w:sz w:val="24"/>
              <w:szCs w:val="24"/>
            </w:rPr>
            <w:t>60</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0F79106">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_Toc27968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九、</w:t>
          </w:r>
          <w:r>
            <w:rPr>
              <w:rFonts w:hint="eastAsia" w:ascii="仿宋" w:hAnsi="仿宋" w:eastAsia="仿宋" w:cs="仿宋"/>
              <w:sz w:val="24"/>
              <w:szCs w:val="24"/>
              <w:lang w:eastAsia="en-US"/>
            </w:rPr>
            <w:t>监督管理规划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_Toc27968 \h </w:instrText>
          </w:r>
          <w:r>
            <w:rPr>
              <w:rFonts w:hint="eastAsia" w:ascii="仿宋" w:hAnsi="仿宋" w:eastAsia="仿宋" w:cs="仿宋"/>
              <w:sz w:val="24"/>
              <w:szCs w:val="24"/>
            </w:rPr>
            <w:fldChar w:fldCharType="separate"/>
          </w:r>
          <w:r>
            <w:rPr>
              <w:rFonts w:hint="eastAsia" w:ascii="仿宋" w:hAnsi="仿宋" w:eastAsia="仿宋" w:cs="仿宋"/>
              <w:sz w:val="24"/>
              <w:szCs w:val="24"/>
            </w:rPr>
            <w:t>62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72B5A487">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_Toc30582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一</w:t>
          </w:r>
          <w:r>
            <w:rPr>
              <w:rFonts w:hint="eastAsia" w:ascii="仿宋" w:hAnsi="仿宋" w:eastAsia="仿宋" w:cs="仿宋"/>
              <w:sz w:val="24"/>
              <w:szCs w:val="24"/>
              <w:lang w:eastAsia="zh-CN"/>
            </w:rPr>
            <w:t>）</w:t>
          </w:r>
          <w:r>
            <w:rPr>
              <w:rFonts w:hint="eastAsia" w:ascii="仿宋" w:hAnsi="仿宋" w:eastAsia="仿宋" w:cs="仿宋"/>
              <w:sz w:val="24"/>
              <w:szCs w:val="24"/>
              <w:lang w:eastAsia="en-US"/>
            </w:rPr>
            <w:t>管理制度机制建设</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_Toc30582 \h </w:instrText>
          </w:r>
          <w:r>
            <w:rPr>
              <w:rFonts w:hint="eastAsia" w:ascii="仿宋" w:hAnsi="仿宋" w:eastAsia="仿宋" w:cs="仿宋"/>
              <w:sz w:val="24"/>
              <w:szCs w:val="24"/>
            </w:rPr>
            <w:fldChar w:fldCharType="separate"/>
          </w:r>
          <w:r>
            <w:rPr>
              <w:rFonts w:hint="eastAsia" w:ascii="仿宋" w:hAnsi="仿宋" w:eastAsia="仿宋" w:cs="仿宋"/>
              <w:sz w:val="24"/>
              <w:szCs w:val="24"/>
            </w:rPr>
            <w:t>62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A23889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_Toc5779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lang w:eastAsia="en-US"/>
            </w:rPr>
            <w:t>部门协同监管规划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_Toc5779 \h </w:instrText>
          </w:r>
          <w:r>
            <w:rPr>
              <w:rFonts w:hint="eastAsia" w:ascii="仿宋" w:hAnsi="仿宋" w:eastAsia="仿宋" w:cs="仿宋"/>
              <w:sz w:val="24"/>
              <w:szCs w:val="24"/>
            </w:rPr>
            <w:fldChar w:fldCharType="separate"/>
          </w:r>
          <w:r>
            <w:rPr>
              <w:rFonts w:hint="eastAsia" w:ascii="仿宋" w:hAnsi="仿宋" w:eastAsia="仿宋" w:cs="仿宋"/>
              <w:sz w:val="24"/>
              <w:szCs w:val="24"/>
            </w:rPr>
            <w:t>65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7E8462F">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_Toc15344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lang w:eastAsia="en-US"/>
            </w:rPr>
            <w:t>信息化管理规划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_Toc15344 \h </w:instrText>
          </w:r>
          <w:r>
            <w:rPr>
              <w:rFonts w:hint="eastAsia" w:ascii="仿宋" w:hAnsi="仿宋" w:eastAsia="仿宋" w:cs="仿宋"/>
              <w:sz w:val="24"/>
              <w:szCs w:val="24"/>
            </w:rPr>
            <w:fldChar w:fldCharType="separate"/>
          </w:r>
          <w:r>
            <w:rPr>
              <w:rFonts w:hint="eastAsia" w:ascii="仿宋" w:hAnsi="仿宋" w:eastAsia="仿宋" w:cs="仿宋"/>
              <w:sz w:val="24"/>
              <w:szCs w:val="24"/>
            </w:rPr>
            <w:t>69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80BDE10">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_Toc20459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十、</w:t>
          </w:r>
          <w:r>
            <w:rPr>
              <w:rFonts w:hint="eastAsia" w:ascii="仿宋" w:hAnsi="仿宋" w:eastAsia="仿宋" w:cs="仿宋"/>
              <w:sz w:val="24"/>
              <w:szCs w:val="24"/>
              <w:lang w:eastAsia="en-US"/>
            </w:rPr>
            <w:t>环境保护与安全卫生规划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_Toc20459 \h </w:instrText>
          </w:r>
          <w:r>
            <w:rPr>
              <w:rFonts w:hint="eastAsia" w:ascii="仿宋" w:hAnsi="仿宋" w:eastAsia="仿宋" w:cs="仿宋"/>
              <w:sz w:val="24"/>
              <w:szCs w:val="24"/>
            </w:rPr>
            <w:fldChar w:fldCharType="separate"/>
          </w:r>
          <w:r>
            <w:rPr>
              <w:rFonts w:hint="eastAsia" w:ascii="仿宋" w:hAnsi="仿宋" w:eastAsia="仿宋" w:cs="仿宋"/>
              <w:sz w:val="24"/>
              <w:szCs w:val="24"/>
            </w:rPr>
            <w:t>72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C930BC2">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_Toc9016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（一）</w:t>
          </w:r>
          <w:r>
            <w:rPr>
              <w:rFonts w:hint="eastAsia" w:ascii="仿宋" w:hAnsi="仿宋" w:eastAsia="仿宋" w:cs="仿宋"/>
              <w:sz w:val="24"/>
              <w:szCs w:val="24"/>
              <w:lang w:eastAsia="en-US"/>
            </w:rPr>
            <w:t>建筑垃圾污染环境防控措施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_Toc9016 \h </w:instrText>
          </w:r>
          <w:r>
            <w:rPr>
              <w:rFonts w:hint="eastAsia" w:ascii="仿宋" w:hAnsi="仿宋" w:eastAsia="仿宋" w:cs="仿宋"/>
              <w:sz w:val="24"/>
              <w:szCs w:val="24"/>
            </w:rPr>
            <w:fldChar w:fldCharType="separate"/>
          </w:r>
          <w:r>
            <w:rPr>
              <w:rFonts w:hint="eastAsia" w:ascii="仿宋" w:hAnsi="仿宋" w:eastAsia="仿宋" w:cs="仿宋"/>
              <w:sz w:val="24"/>
              <w:szCs w:val="24"/>
            </w:rPr>
            <w:t>72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C31746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_Toc26946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lang w:eastAsia="en-US"/>
            </w:rPr>
            <w:t>环境保护措施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_Toc26946 \h </w:instrText>
          </w:r>
          <w:r>
            <w:rPr>
              <w:rFonts w:hint="eastAsia" w:ascii="仿宋" w:hAnsi="仿宋" w:eastAsia="仿宋" w:cs="仿宋"/>
              <w:sz w:val="24"/>
              <w:szCs w:val="24"/>
            </w:rPr>
            <w:fldChar w:fldCharType="separate"/>
          </w:r>
          <w:r>
            <w:rPr>
              <w:rFonts w:hint="eastAsia" w:ascii="仿宋" w:hAnsi="仿宋" w:eastAsia="仿宋" w:cs="仿宋"/>
              <w:sz w:val="24"/>
              <w:szCs w:val="24"/>
            </w:rPr>
            <w:t>75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8F4EEAF">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_Toc20033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四</w:t>
          </w:r>
          <w:r>
            <w:rPr>
              <w:rFonts w:hint="eastAsia" w:ascii="仿宋" w:hAnsi="仿宋" w:eastAsia="仿宋" w:cs="仿宋"/>
              <w:sz w:val="24"/>
              <w:szCs w:val="24"/>
              <w:lang w:eastAsia="zh-CN"/>
            </w:rPr>
            <w:t>）</w:t>
          </w:r>
          <w:r>
            <w:rPr>
              <w:rFonts w:hint="eastAsia" w:ascii="仿宋" w:hAnsi="仿宋" w:eastAsia="仿宋" w:cs="仿宋"/>
              <w:sz w:val="24"/>
              <w:szCs w:val="24"/>
              <w:lang w:eastAsia="en-US"/>
            </w:rPr>
            <w:t>安全卫生措施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_Toc20033 \h </w:instrText>
          </w:r>
          <w:r>
            <w:rPr>
              <w:rFonts w:hint="eastAsia" w:ascii="仿宋" w:hAnsi="仿宋" w:eastAsia="仿宋" w:cs="仿宋"/>
              <w:sz w:val="24"/>
              <w:szCs w:val="24"/>
            </w:rPr>
            <w:fldChar w:fldCharType="separate"/>
          </w:r>
          <w:r>
            <w:rPr>
              <w:rFonts w:hint="eastAsia" w:ascii="仿宋" w:hAnsi="仿宋" w:eastAsia="仿宋" w:cs="仿宋"/>
              <w:sz w:val="24"/>
              <w:szCs w:val="24"/>
            </w:rPr>
            <w:t>79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3BC7356">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_Toc21790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十一、</w:t>
          </w:r>
          <w:r>
            <w:rPr>
              <w:rFonts w:hint="eastAsia" w:ascii="仿宋" w:hAnsi="仿宋" w:eastAsia="仿宋" w:cs="仿宋"/>
              <w:sz w:val="24"/>
              <w:szCs w:val="24"/>
            </w:rPr>
            <w:t>近期建设规划</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_Toc21790 \h </w:instrText>
          </w:r>
          <w:r>
            <w:rPr>
              <w:rFonts w:hint="eastAsia" w:ascii="仿宋" w:hAnsi="仿宋" w:eastAsia="仿宋" w:cs="仿宋"/>
              <w:sz w:val="24"/>
              <w:szCs w:val="24"/>
            </w:rPr>
            <w:fldChar w:fldCharType="separate"/>
          </w:r>
          <w:r>
            <w:rPr>
              <w:rFonts w:hint="eastAsia" w:ascii="仿宋" w:hAnsi="仿宋" w:eastAsia="仿宋" w:cs="仿宋"/>
              <w:sz w:val="24"/>
              <w:szCs w:val="24"/>
            </w:rPr>
            <w:t>81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32F8C52">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_Toc19820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一</w:t>
          </w:r>
          <w:r>
            <w:rPr>
              <w:rFonts w:hint="eastAsia" w:ascii="仿宋" w:hAnsi="仿宋" w:eastAsia="仿宋" w:cs="仿宋"/>
              <w:sz w:val="24"/>
              <w:szCs w:val="24"/>
              <w:lang w:eastAsia="zh-CN"/>
            </w:rPr>
            <w:t>）</w:t>
          </w:r>
          <w:r>
            <w:rPr>
              <w:rFonts w:hint="eastAsia" w:ascii="仿宋" w:hAnsi="仿宋" w:eastAsia="仿宋" w:cs="仿宋"/>
              <w:sz w:val="24"/>
              <w:szCs w:val="24"/>
            </w:rPr>
            <w:t>近期建设任务</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_Toc19820 \h </w:instrText>
          </w:r>
          <w:r>
            <w:rPr>
              <w:rFonts w:hint="eastAsia" w:ascii="仿宋" w:hAnsi="仿宋" w:eastAsia="仿宋" w:cs="仿宋"/>
              <w:sz w:val="24"/>
              <w:szCs w:val="24"/>
            </w:rPr>
            <w:fldChar w:fldCharType="separate"/>
          </w:r>
          <w:r>
            <w:rPr>
              <w:rFonts w:hint="eastAsia" w:ascii="仿宋" w:hAnsi="仿宋" w:eastAsia="仿宋" w:cs="仿宋"/>
              <w:sz w:val="24"/>
              <w:szCs w:val="24"/>
            </w:rPr>
            <w:t>81</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3C0B516">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_Toc29315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rPr>
            <w:t>投资估算</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_Toc29315 \h </w:instrText>
          </w:r>
          <w:r>
            <w:rPr>
              <w:rFonts w:hint="eastAsia" w:ascii="仿宋" w:hAnsi="仿宋" w:eastAsia="仿宋" w:cs="仿宋"/>
              <w:sz w:val="24"/>
              <w:szCs w:val="24"/>
            </w:rPr>
            <w:fldChar w:fldCharType="separate"/>
          </w:r>
          <w:r>
            <w:rPr>
              <w:rFonts w:hint="eastAsia" w:ascii="仿宋" w:hAnsi="仿宋" w:eastAsia="仿宋" w:cs="仿宋"/>
              <w:sz w:val="24"/>
              <w:szCs w:val="24"/>
            </w:rPr>
            <w:t>83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6967C22">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_Toc31535 </w:instrText>
          </w:r>
          <w:r>
            <w:rPr>
              <w:rFonts w:hint="eastAsia" w:ascii="仿宋" w:hAnsi="仿宋" w:eastAsia="仿宋" w:cs="仿宋"/>
              <w:sz w:val="24"/>
              <w:szCs w:val="24"/>
            </w:rPr>
            <w:fldChar w:fldCharType="separate"/>
          </w:r>
          <w:r>
            <w:rPr>
              <w:rFonts w:hint="eastAsia" w:ascii="仿宋" w:hAnsi="仿宋" w:eastAsia="仿宋" w:cs="仿宋"/>
              <w:sz w:val="24"/>
              <w:szCs w:val="24"/>
              <w:lang w:val="en-US" w:eastAsia="zh-CN"/>
            </w:rPr>
            <w:t>十二、</w:t>
          </w:r>
          <w:r>
            <w:rPr>
              <w:rFonts w:hint="eastAsia" w:ascii="仿宋" w:hAnsi="仿宋" w:eastAsia="仿宋" w:cs="仿宋"/>
              <w:sz w:val="24"/>
              <w:szCs w:val="24"/>
            </w:rPr>
            <w:t>保障措施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_Toc31535 \h </w:instrText>
          </w:r>
          <w:r>
            <w:rPr>
              <w:rFonts w:hint="eastAsia" w:ascii="仿宋" w:hAnsi="仿宋" w:eastAsia="仿宋" w:cs="仿宋"/>
              <w:sz w:val="24"/>
              <w:szCs w:val="24"/>
            </w:rPr>
            <w:fldChar w:fldCharType="separate"/>
          </w:r>
          <w:r>
            <w:rPr>
              <w:rFonts w:hint="eastAsia" w:ascii="仿宋" w:hAnsi="仿宋" w:eastAsia="仿宋" w:cs="仿宋"/>
              <w:sz w:val="24"/>
              <w:szCs w:val="24"/>
            </w:rPr>
            <w:t>83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3F692358">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_Toc21383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一</w:t>
          </w:r>
          <w:r>
            <w:rPr>
              <w:rFonts w:hint="eastAsia" w:ascii="仿宋" w:hAnsi="仿宋" w:eastAsia="仿宋" w:cs="仿宋"/>
              <w:sz w:val="24"/>
              <w:szCs w:val="24"/>
              <w:lang w:eastAsia="zh-CN"/>
            </w:rPr>
            <w:t>）</w:t>
          </w:r>
          <w:r>
            <w:rPr>
              <w:rFonts w:hint="eastAsia" w:ascii="仿宋" w:hAnsi="仿宋" w:eastAsia="仿宋" w:cs="仿宋"/>
              <w:sz w:val="24"/>
              <w:szCs w:val="24"/>
            </w:rPr>
            <w:t>组织保障措施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_Toc21383 \h </w:instrText>
          </w:r>
          <w:r>
            <w:rPr>
              <w:rFonts w:hint="eastAsia" w:ascii="仿宋" w:hAnsi="仿宋" w:eastAsia="仿宋" w:cs="仿宋"/>
              <w:sz w:val="24"/>
              <w:szCs w:val="24"/>
            </w:rPr>
            <w:fldChar w:fldCharType="separate"/>
          </w:r>
          <w:r>
            <w:rPr>
              <w:rFonts w:hint="eastAsia" w:ascii="仿宋" w:hAnsi="仿宋" w:eastAsia="仿宋" w:cs="仿宋"/>
              <w:sz w:val="24"/>
              <w:szCs w:val="24"/>
            </w:rPr>
            <w:t>83</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E0EC01A">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_Toc9429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w:t>
          </w:r>
          <w:r>
            <w:rPr>
              <w:rFonts w:hint="eastAsia" w:ascii="仿宋" w:hAnsi="仿宋" w:eastAsia="仿宋" w:cs="仿宋"/>
              <w:sz w:val="24"/>
              <w:szCs w:val="24"/>
              <w:lang w:eastAsia="zh-CN"/>
            </w:rPr>
            <w:t>）</w:t>
          </w:r>
          <w:r>
            <w:rPr>
              <w:rFonts w:hint="eastAsia" w:ascii="仿宋" w:hAnsi="仿宋" w:eastAsia="仿宋" w:cs="仿宋"/>
              <w:sz w:val="24"/>
              <w:szCs w:val="24"/>
            </w:rPr>
            <w:t>政策保障措施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_Toc9429 \h </w:instrText>
          </w:r>
          <w:r>
            <w:rPr>
              <w:rFonts w:hint="eastAsia" w:ascii="仿宋" w:hAnsi="仿宋" w:eastAsia="仿宋" w:cs="仿宋"/>
              <w:sz w:val="24"/>
              <w:szCs w:val="24"/>
            </w:rPr>
            <w:fldChar w:fldCharType="separate"/>
          </w:r>
          <w:r>
            <w:rPr>
              <w:rFonts w:hint="eastAsia" w:ascii="仿宋" w:hAnsi="仿宋" w:eastAsia="仿宋" w:cs="仿宋"/>
              <w:sz w:val="24"/>
              <w:szCs w:val="24"/>
            </w:rPr>
            <w:t>84</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2BC4B66C">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_Toc19862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w:t>
          </w:r>
          <w:r>
            <w:rPr>
              <w:rFonts w:hint="eastAsia" w:ascii="仿宋" w:hAnsi="仿宋" w:eastAsia="仿宋" w:cs="仿宋"/>
              <w:sz w:val="24"/>
              <w:szCs w:val="24"/>
              <w:lang w:eastAsia="zh-CN"/>
            </w:rPr>
            <w:t>）</w:t>
          </w:r>
          <w:r>
            <w:rPr>
              <w:rFonts w:hint="eastAsia" w:ascii="仿宋" w:hAnsi="仿宋" w:eastAsia="仿宋" w:cs="仿宋"/>
              <w:sz w:val="24"/>
              <w:szCs w:val="24"/>
            </w:rPr>
            <w:t>要素保障措施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_Toc19862 \h </w:instrText>
          </w:r>
          <w:r>
            <w:rPr>
              <w:rFonts w:hint="eastAsia" w:ascii="仿宋" w:hAnsi="仿宋" w:eastAsia="仿宋" w:cs="仿宋"/>
              <w:sz w:val="24"/>
              <w:szCs w:val="24"/>
            </w:rPr>
            <w:fldChar w:fldCharType="separate"/>
          </w:r>
          <w:r>
            <w:rPr>
              <w:rFonts w:hint="eastAsia" w:ascii="仿宋" w:hAnsi="仿宋" w:eastAsia="仿宋" w:cs="仿宋"/>
              <w:sz w:val="24"/>
              <w:szCs w:val="24"/>
            </w:rPr>
            <w:t>85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7803D5D">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_Toc14916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四</w:t>
          </w:r>
          <w:r>
            <w:rPr>
              <w:rFonts w:hint="eastAsia" w:ascii="仿宋" w:hAnsi="仿宋" w:eastAsia="仿宋" w:cs="仿宋"/>
              <w:sz w:val="24"/>
              <w:szCs w:val="24"/>
              <w:lang w:eastAsia="zh-CN"/>
            </w:rPr>
            <w:t>）</w:t>
          </w:r>
          <w:r>
            <w:rPr>
              <w:rFonts w:hint="eastAsia" w:ascii="仿宋" w:hAnsi="仿宋" w:eastAsia="仿宋" w:cs="仿宋"/>
              <w:sz w:val="24"/>
              <w:szCs w:val="24"/>
            </w:rPr>
            <w:t>技术保障措施</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_Toc14916 \h </w:instrText>
          </w:r>
          <w:r>
            <w:rPr>
              <w:rFonts w:hint="eastAsia" w:ascii="仿宋" w:hAnsi="仿宋" w:eastAsia="仿宋" w:cs="仿宋"/>
              <w:sz w:val="24"/>
              <w:szCs w:val="24"/>
            </w:rPr>
            <w:fldChar w:fldCharType="separate"/>
          </w:r>
          <w:r>
            <w:rPr>
              <w:rFonts w:hint="eastAsia" w:ascii="仿宋" w:hAnsi="仿宋" w:eastAsia="仿宋" w:cs="仿宋"/>
              <w:sz w:val="24"/>
              <w:szCs w:val="24"/>
            </w:rPr>
            <w:t>86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556C1DA">
          <w:pPr>
            <w:pStyle w:val="10"/>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_Toc18586 </w:instrText>
          </w:r>
          <w:r>
            <w:rPr>
              <w:rFonts w:hint="eastAsia" w:ascii="仿宋" w:hAnsi="仿宋" w:eastAsia="仿宋" w:cs="仿宋"/>
              <w:sz w:val="24"/>
              <w:szCs w:val="24"/>
            </w:rPr>
            <w:fldChar w:fldCharType="separate"/>
          </w:r>
          <w:r>
            <w:rPr>
              <w:rFonts w:hint="eastAsia" w:ascii="仿宋" w:hAnsi="仿宋" w:eastAsia="仿宋" w:cs="仿宋"/>
              <w:sz w:val="24"/>
              <w:szCs w:val="24"/>
            </w:rPr>
            <w:t>第十三章 附则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_Toc18586 \h </w:instrText>
          </w:r>
          <w:r>
            <w:rPr>
              <w:rFonts w:hint="eastAsia" w:ascii="仿宋" w:hAnsi="仿宋" w:eastAsia="仿宋" w:cs="仿宋"/>
              <w:sz w:val="24"/>
              <w:szCs w:val="24"/>
            </w:rPr>
            <w:fldChar w:fldCharType="separate"/>
          </w:r>
          <w:r>
            <w:rPr>
              <w:rFonts w:hint="eastAsia" w:ascii="仿宋" w:hAnsi="仿宋" w:eastAsia="仿宋" w:cs="仿宋"/>
              <w:sz w:val="24"/>
              <w:szCs w:val="24"/>
            </w:rPr>
            <w:t>86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62B53F2E">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_Toc17644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（一）</w:t>
          </w:r>
          <w:r>
            <w:rPr>
              <w:rFonts w:hint="eastAsia" w:ascii="仿宋" w:hAnsi="仿宋" w:eastAsia="仿宋" w:cs="仿宋"/>
              <w:sz w:val="24"/>
              <w:szCs w:val="24"/>
            </w:rPr>
            <w:t>组织实施主体</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_Toc17644 \h </w:instrText>
          </w:r>
          <w:r>
            <w:rPr>
              <w:rFonts w:hint="eastAsia" w:ascii="仿宋" w:hAnsi="仿宋" w:eastAsia="仿宋" w:cs="仿宋"/>
              <w:sz w:val="24"/>
              <w:szCs w:val="24"/>
            </w:rPr>
            <w:fldChar w:fldCharType="separate"/>
          </w:r>
          <w:r>
            <w:rPr>
              <w:rFonts w:hint="eastAsia" w:ascii="仿宋" w:hAnsi="仿宋" w:eastAsia="仿宋" w:cs="仿宋"/>
              <w:sz w:val="24"/>
              <w:szCs w:val="24"/>
            </w:rPr>
            <w:t>86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9D57645">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_Toc11430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（二）</w:t>
          </w:r>
          <w:r>
            <w:rPr>
              <w:rFonts w:hint="eastAsia" w:ascii="仿宋" w:hAnsi="仿宋" w:eastAsia="仿宋" w:cs="仿宋"/>
              <w:sz w:val="24"/>
              <w:szCs w:val="24"/>
            </w:rPr>
            <w:t>解释权归属</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_Toc11430 \h </w:instrText>
          </w:r>
          <w:r>
            <w:rPr>
              <w:rFonts w:hint="eastAsia" w:ascii="仿宋" w:hAnsi="仿宋" w:eastAsia="仿宋" w:cs="仿宋"/>
              <w:sz w:val="24"/>
              <w:szCs w:val="24"/>
            </w:rPr>
            <w:fldChar w:fldCharType="separate"/>
          </w:r>
          <w:r>
            <w:rPr>
              <w:rFonts w:hint="eastAsia" w:ascii="仿宋" w:hAnsi="仿宋" w:eastAsia="仿宋" w:cs="仿宋"/>
              <w:sz w:val="24"/>
              <w:szCs w:val="24"/>
            </w:rPr>
            <w:t>86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C869290">
          <w:pPr>
            <w:pStyle w:val="11"/>
            <w:tabs>
              <w:tab w:val="right" w:leader="dot" w:pos="8312"/>
            </w:tabs>
            <w:spacing w:line="240" w:lineRule="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_Toc10070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（三）</w:t>
          </w:r>
          <w:r>
            <w:rPr>
              <w:rFonts w:hint="eastAsia" w:ascii="仿宋" w:hAnsi="仿宋" w:eastAsia="仿宋" w:cs="仿宋"/>
              <w:sz w:val="24"/>
              <w:szCs w:val="24"/>
            </w:rPr>
            <w:t>规划实施日期</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_Toc10070 \h </w:instrText>
          </w:r>
          <w:r>
            <w:rPr>
              <w:rFonts w:hint="eastAsia" w:ascii="仿宋" w:hAnsi="仿宋" w:eastAsia="仿宋" w:cs="仿宋"/>
              <w:sz w:val="24"/>
              <w:szCs w:val="24"/>
            </w:rPr>
            <w:fldChar w:fldCharType="separate"/>
          </w:r>
          <w:r>
            <w:rPr>
              <w:rFonts w:hint="eastAsia" w:ascii="仿宋" w:hAnsi="仿宋" w:eastAsia="仿宋" w:cs="仿宋"/>
              <w:sz w:val="24"/>
              <w:szCs w:val="24"/>
            </w:rPr>
            <w:t>86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6F275D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fldChar w:fldCharType="end"/>
          </w:r>
        </w:p>
      </w:sdtContent>
    </w:sdt>
    <w:p w14:paraId="2E374F9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cs="仿宋"/>
          <w:sz w:val="24"/>
          <w:szCs w:val="24"/>
          <w:lang w:val="en-US" w:eastAsia="zh-CN"/>
        </w:rPr>
      </w:pPr>
      <w:r>
        <w:rPr>
          <w:rFonts w:hint="eastAsia" w:ascii="仿宋" w:hAnsi="仿宋" w:cs="仿宋"/>
          <w:sz w:val="24"/>
          <w:szCs w:val="24"/>
          <w:lang w:val="en-US" w:eastAsia="zh-CN"/>
        </w:rPr>
        <w:t>附图：</w:t>
      </w:r>
    </w:p>
    <w:p w14:paraId="1C75910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r>
        <w:rPr>
          <w:rFonts w:hint="eastAsia" w:ascii="仿宋" w:hAnsi="仿宋" w:cs="仿宋"/>
          <w:sz w:val="24"/>
          <w:szCs w:val="24"/>
          <w:lang w:val="en-US" w:eastAsia="zh-CN"/>
        </w:rPr>
        <w:t>1、桃江县区位图</w:t>
      </w:r>
    </w:p>
    <w:p w14:paraId="2809A6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r>
        <w:rPr>
          <w:rFonts w:hint="eastAsia" w:ascii="仿宋" w:hAnsi="仿宋" w:cs="仿宋"/>
          <w:sz w:val="24"/>
          <w:szCs w:val="24"/>
          <w:lang w:val="en-US" w:eastAsia="zh-CN"/>
        </w:rPr>
        <w:t>2、</w:t>
      </w:r>
      <w:bookmarkStart w:id="57" w:name="OLE_LINK134"/>
      <w:r>
        <w:rPr>
          <w:rFonts w:hint="eastAsia" w:ascii="仿宋" w:hAnsi="仿宋" w:cs="仿宋"/>
          <w:sz w:val="24"/>
          <w:szCs w:val="24"/>
          <w:lang w:val="en-US" w:eastAsia="zh-CN"/>
        </w:rPr>
        <w:t>桃江县辖区</w:t>
      </w:r>
      <w:bookmarkEnd w:id="57"/>
      <w:bookmarkStart w:id="58" w:name="OLE_LINK135"/>
      <w:r>
        <w:rPr>
          <w:rFonts w:hint="eastAsia" w:ascii="仿宋" w:hAnsi="仿宋" w:cs="仿宋"/>
          <w:sz w:val="24"/>
          <w:szCs w:val="24"/>
          <w:lang w:val="en-US" w:eastAsia="zh-CN"/>
        </w:rPr>
        <w:t>建筑垃圾处理设施</w:t>
      </w:r>
      <w:bookmarkEnd w:id="58"/>
      <w:r>
        <w:rPr>
          <w:rFonts w:hint="eastAsia" w:ascii="仿宋" w:hAnsi="仿宋" w:cs="仿宋"/>
          <w:sz w:val="24"/>
          <w:szCs w:val="24"/>
          <w:lang w:val="en-US" w:eastAsia="zh-CN"/>
        </w:rPr>
        <w:t>现状图</w:t>
      </w:r>
    </w:p>
    <w:p w14:paraId="2B2833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3、</w:t>
      </w:r>
      <w:bookmarkStart w:id="59" w:name="OLE_LINK136"/>
      <w:r>
        <w:rPr>
          <w:rFonts w:hint="eastAsia" w:ascii="仿宋" w:hAnsi="仿宋" w:cs="仿宋"/>
          <w:sz w:val="24"/>
          <w:szCs w:val="24"/>
          <w:lang w:val="en-US" w:eastAsia="zh-CN"/>
        </w:rPr>
        <w:t>桃江县辖区建筑垃圾处理</w:t>
      </w:r>
      <w:bookmarkEnd w:id="59"/>
      <w:r>
        <w:rPr>
          <w:rFonts w:hint="eastAsia" w:ascii="仿宋" w:hAnsi="仿宋" w:cs="仿宋"/>
          <w:sz w:val="24"/>
          <w:szCs w:val="24"/>
          <w:lang w:val="en-US" w:eastAsia="zh-CN"/>
        </w:rPr>
        <w:t>设施规划图</w:t>
      </w:r>
    </w:p>
    <w:p w14:paraId="46DB521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r>
        <w:rPr>
          <w:rFonts w:hint="eastAsia" w:ascii="仿宋" w:hAnsi="仿宋" w:cs="仿宋"/>
          <w:sz w:val="24"/>
          <w:szCs w:val="24"/>
          <w:lang w:val="en-US" w:eastAsia="zh-CN"/>
        </w:rPr>
        <w:t>4、桃江县辖区建筑垃圾运输路线规划图</w:t>
      </w:r>
    </w:p>
    <w:p w14:paraId="4F20213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r>
        <w:rPr>
          <w:rFonts w:hint="eastAsia" w:ascii="仿宋" w:hAnsi="仿宋" w:cs="仿宋"/>
          <w:sz w:val="24"/>
          <w:szCs w:val="24"/>
          <w:lang w:val="en-US" w:eastAsia="zh-CN"/>
        </w:rPr>
        <w:t>5、桃江县辖区建筑垃圾处理设施与三区三线套合图</w:t>
      </w:r>
    </w:p>
    <w:p w14:paraId="46C2EF9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6、</w:t>
      </w:r>
      <w:bookmarkStart w:id="60" w:name="OLE_LINK137"/>
      <w:r>
        <w:rPr>
          <w:rFonts w:hint="eastAsia" w:ascii="仿宋" w:hAnsi="仿宋" w:cs="仿宋"/>
          <w:sz w:val="24"/>
          <w:szCs w:val="24"/>
          <w:lang w:val="en-US" w:eastAsia="zh-CN"/>
        </w:rPr>
        <w:t>沾溪镇</w:t>
      </w:r>
      <w:bookmarkStart w:id="61" w:name="OLE_LINK138"/>
      <w:r>
        <w:rPr>
          <w:rFonts w:hint="eastAsia" w:ascii="仿宋" w:hAnsi="仿宋" w:cs="仿宋"/>
          <w:sz w:val="24"/>
          <w:szCs w:val="24"/>
          <w:lang w:val="en-US" w:eastAsia="zh-CN"/>
        </w:rPr>
        <w:t>转运调配场</w:t>
      </w:r>
      <w:bookmarkEnd w:id="60"/>
      <w:r>
        <w:rPr>
          <w:rFonts w:hint="eastAsia" w:ascii="仿宋" w:hAnsi="仿宋" w:cs="仿宋"/>
          <w:sz w:val="24"/>
          <w:szCs w:val="24"/>
          <w:lang w:val="en-US" w:eastAsia="zh-CN"/>
        </w:rPr>
        <w:t>规划范围图</w:t>
      </w:r>
      <w:bookmarkEnd w:id="61"/>
    </w:p>
    <w:p w14:paraId="219E88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7、沾溪镇转运调配场选址分析图</w:t>
      </w:r>
    </w:p>
    <w:p w14:paraId="33B326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r>
        <w:rPr>
          <w:rFonts w:hint="eastAsia" w:ascii="仿宋" w:hAnsi="仿宋" w:cs="仿宋"/>
          <w:sz w:val="24"/>
          <w:szCs w:val="24"/>
          <w:lang w:val="en-US" w:eastAsia="zh-CN"/>
        </w:rPr>
        <w:t>8、鸬鹚渡镇转运调配场规划范围图</w:t>
      </w:r>
    </w:p>
    <w:p w14:paraId="33B0D1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r>
        <w:rPr>
          <w:rFonts w:hint="eastAsia" w:ascii="仿宋" w:hAnsi="仿宋" w:cs="仿宋"/>
          <w:sz w:val="24"/>
          <w:szCs w:val="24"/>
          <w:lang w:val="en-US" w:eastAsia="zh-CN"/>
        </w:rPr>
        <w:t>9、鸬鹚渡镇转运调配场选址分析图</w:t>
      </w:r>
    </w:p>
    <w:p w14:paraId="5BD4E7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10、牛田镇转运调配场规划范围图</w:t>
      </w:r>
    </w:p>
    <w:p w14:paraId="68C097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11、牛田镇转运调配场选址分析图</w:t>
      </w:r>
    </w:p>
    <w:p w14:paraId="338A86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r>
        <w:rPr>
          <w:rFonts w:hint="eastAsia" w:ascii="仿宋" w:hAnsi="仿宋" w:cs="仿宋"/>
          <w:sz w:val="24"/>
          <w:szCs w:val="24"/>
          <w:lang w:val="en-US" w:eastAsia="zh-CN"/>
        </w:rPr>
        <w:t>12、浮邱山乡建筑垃圾填埋场规划范围图</w:t>
      </w:r>
    </w:p>
    <w:p w14:paraId="6E6D14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13、浮邱山乡建筑垃圾填埋场选址分析图</w:t>
      </w:r>
    </w:p>
    <w:p w14:paraId="17539D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14、灰山港镇建筑垃圾填埋场规划范围图</w:t>
      </w:r>
    </w:p>
    <w:p w14:paraId="38DB3B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r>
        <w:rPr>
          <w:rFonts w:hint="eastAsia" w:ascii="仿宋" w:hAnsi="仿宋" w:cs="仿宋"/>
          <w:sz w:val="24"/>
          <w:szCs w:val="24"/>
          <w:lang w:val="en-US" w:eastAsia="zh-CN"/>
        </w:rPr>
        <w:t>15、灰山港镇建筑垃圾填埋场选址分析图</w:t>
      </w:r>
    </w:p>
    <w:p w14:paraId="277DD9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p>
    <w:p w14:paraId="003A960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p>
    <w:p w14:paraId="677ACB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p>
    <w:p w14:paraId="2E470D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p>
    <w:p w14:paraId="7A9F517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仿宋" w:hAnsi="仿宋" w:cs="仿宋"/>
          <w:sz w:val="24"/>
          <w:szCs w:val="24"/>
          <w:lang w:val="en-US" w:eastAsia="zh-CN"/>
        </w:rPr>
      </w:pPr>
    </w:p>
    <w:p w14:paraId="38FA51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仿宋" w:hAnsi="仿宋" w:cs="仿宋"/>
          <w:sz w:val="24"/>
          <w:szCs w:val="24"/>
          <w:lang w:val="en-US" w:eastAsia="zh-CN"/>
        </w:rPr>
      </w:pPr>
    </w:p>
    <w:p w14:paraId="387B48A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 w:hAnsi="仿宋" w:cs="仿宋"/>
          <w:sz w:val="24"/>
          <w:szCs w:val="24"/>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pgNumType w:start="1"/>
          <w:cols w:space="425" w:num="1"/>
          <w:titlePg/>
          <w:docGrid w:type="lines" w:linePitch="381" w:charSpace="0"/>
        </w:sectPr>
      </w:pPr>
    </w:p>
    <w:p w14:paraId="682D48FA">
      <w:pPr>
        <w:pStyle w:val="2"/>
        <w:pageBreakBefore w:val="0"/>
        <w:kinsoku/>
        <w:wordWrap w:val="0"/>
        <w:overflowPunct/>
        <w:topLinePunct w:val="0"/>
        <w:autoSpaceDE/>
        <w:autoSpaceDN/>
        <w:bidi w:val="0"/>
        <w:adjustRightInd/>
        <w:snapToGrid/>
        <w:rPr>
          <w:rFonts w:hint="eastAsia"/>
          <w:lang w:eastAsia="zh-CN"/>
        </w:rPr>
      </w:pPr>
      <w:bookmarkStart w:id="62" w:name="_Toc17598"/>
      <w:r>
        <w:t>一、</w:t>
      </w:r>
      <w:bookmarkEnd w:id="0"/>
      <w:r>
        <w:rPr>
          <w:rFonts w:hint="eastAsia"/>
          <w:lang w:val="en-US" w:eastAsia="zh-CN"/>
        </w:rPr>
        <w:t>总则</w:t>
      </w:r>
      <w:bookmarkEnd w:id="62"/>
    </w:p>
    <w:p w14:paraId="4421AA13">
      <w:pPr>
        <w:pStyle w:val="3"/>
        <w:bidi w:val="0"/>
        <w:rPr>
          <w:rFonts w:hint="eastAsia" w:ascii="楷体" w:hAnsi="楷体" w:eastAsia="楷体" w:cs="楷体"/>
          <w:sz w:val="28"/>
          <w:szCs w:val="28"/>
          <w:lang w:eastAsia="zh-CN"/>
        </w:rPr>
      </w:pPr>
      <w:bookmarkStart w:id="63" w:name="_Toc36148498"/>
      <w:bookmarkStart w:id="64" w:name="_Toc18514"/>
      <w:r>
        <w:rPr>
          <w:rFonts w:hint="eastAsia" w:ascii="楷体" w:hAnsi="楷体" w:eastAsia="楷体" w:cs="楷体"/>
          <w:sz w:val="28"/>
          <w:szCs w:val="28"/>
        </w:rPr>
        <w:t>（一）规划</w:t>
      </w:r>
      <w:bookmarkEnd w:id="63"/>
      <w:r>
        <w:rPr>
          <w:rFonts w:hint="eastAsia" w:ascii="楷体" w:hAnsi="楷体" w:eastAsia="楷体" w:cs="楷体"/>
          <w:sz w:val="28"/>
          <w:szCs w:val="28"/>
          <w:lang w:val="en-US" w:eastAsia="zh-CN"/>
        </w:rPr>
        <w:t>背景</w:t>
      </w:r>
      <w:bookmarkEnd w:id="64"/>
    </w:p>
    <w:p w14:paraId="5413214B">
      <w:pPr>
        <w:pageBreakBefore w:val="0"/>
        <w:kinsoku/>
        <w:wordWrap w:val="0"/>
        <w:overflowPunct/>
        <w:topLinePunct w:val="0"/>
        <w:autoSpaceDE/>
        <w:autoSpaceDN/>
        <w:bidi w:val="0"/>
        <w:adjustRightInd/>
        <w:snapToGrid/>
        <w:rPr>
          <w:rFonts w:hint="eastAsia"/>
        </w:rPr>
      </w:pPr>
      <w:r>
        <w:rPr>
          <w:rFonts w:hint="eastAsia"/>
        </w:rPr>
        <w:t>为全面贯彻落实《中华人民共和国固体废物污染环境防治法》</w:t>
      </w:r>
      <w:r>
        <w:rPr>
          <w:rFonts w:hint="eastAsia"/>
          <w:lang w:eastAsia="zh-CN"/>
        </w:rPr>
        <w:t>、《</w:t>
      </w:r>
      <w:r>
        <w:rPr>
          <w:rFonts w:hint="eastAsia"/>
        </w:rPr>
        <w:t>国务院办公厅转发住房城乡建设部</w:t>
      </w:r>
      <w:r>
        <w:rPr>
          <w:rFonts w:hint="eastAsia"/>
          <w:lang w:val="en-US" w:eastAsia="zh-CN"/>
        </w:rPr>
        <w:t>&lt;关于进一步加强城市建筑垃圾治理的意见&gt;的通知</w:t>
      </w:r>
      <w:r>
        <w:rPr>
          <w:rFonts w:hint="eastAsia"/>
          <w:lang w:eastAsia="zh-CN"/>
        </w:rPr>
        <w:t>》</w:t>
      </w:r>
      <w:r>
        <w:rPr>
          <w:rFonts w:hint="eastAsia"/>
          <w:lang w:val="en-US" w:eastAsia="zh-CN"/>
        </w:rPr>
        <w:t>(国办函〔2025〕57号)、</w:t>
      </w:r>
      <w:r>
        <w:rPr>
          <w:rFonts w:hint="eastAsia"/>
        </w:rPr>
        <w:t>《湖南省城市建筑垃圾专项整治实施方案》（湘政办函〔2024〕79号）等文件精神，加强对桃江县建筑垃圾全过程管理，改善城市容貌、环境卫生和资源化循环发展，推进城乡文明建设，促进建筑垃圾规范管理有序推进，推进</w:t>
      </w:r>
      <w:r>
        <w:rPr>
          <w:rFonts w:hint="eastAsia"/>
          <w:lang w:val="en-US" w:eastAsia="zh-CN"/>
        </w:rPr>
        <w:t>桃江县</w:t>
      </w:r>
      <w:r>
        <w:rPr>
          <w:rFonts w:hint="eastAsia"/>
        </w:rPr>
        <w:t>建筑垃圾资源化项目健康发展，健全完善建筑垃圾的监督管理体系，进一步提高城市环境质量，发展循环经济，彻底解决建筑垃圾环境污染问题和资源化利用问题，编制《桃江县建筑垃圾资源化利用发展规划（202</w:t>
      </w:r>
      <w:r>
        <w:rPr>
          <w:rFonts w:hint="eastAsia"/>
          <w:lang w:val="en-US" w:eastAsia="zh-CN"/>
        </w:rPr>
        <w:t>5</w:t>
      </w:r>
      <w:r>
        <w:rPr>
          <w:rFonts w:hint="eastAsia"/>
        </w:rPr>
        <w:t>-203</w:t>
      </w:r>
      <w:r>
        <w:rPr>
          <w:rFonts w:hint="eastAsia"/>
          <w:lang w:val="en-US" w:eastAsia="zh-CN"/>
        </w:rPr>
        <w:t>5</w:t>
      </w:r>
      <w:r>
        <w:rPr>
          <w:rFonts w:hint="eastAsia"/>
        </w:rPr>
        <w:t>）》。</w:t>
      </w:r>
    </w:p>
    <w:p w14:paraId="75364094">
      <w:pPr>
        <w:pStyle w:val="3"/>
        <w:pageBreakBefore w:val="0"/>
        <w:kinsoku/>
        <w:wordWrap w:val="0"/>
        <w:overflowPunct/>
        <w:topLinePunct w:val="0"/>
        <w:autoSpaceDE/>
        <w:autoSpaceDN/>
        <w:bidi w:val="0"/>
        <w:adjustRightInd/>
        <w:snapToGrid/>
        <w:rPr>
          <w:rFonts w:hint="eastAsia" w:ascii="楷体" w:hAnsi="楷体" w:eastAsia="楷体" w:cs="楷体"/>
          <w:sz w:val="28"/>
          <w:szCs w:val="28"/>
          <w:lang w:val="en-US" w:eastAsia="zh-CN"/>
        </w:rPr>
      </w:pPr>
      <w:bookmarkStart w:id="65" w:name="_Toc11471"/>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二</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指导思想</w:t>
      </w:r>
      <w:bookmarkEnd w:id="65"/>
    </w:p>
    <w:p w14:paraId="4C62494B">
      <w:pPr>
        <w:bidi w:val="0"/>
        <w:rPr>
          <w:lang w:val="en-US" w:eastAsia="en-US"/>
        </w:rPr>
      </w:pPr>
      <w:bookmarkStart w:id="66" w:name="OLE_LINK5"/>
      <w:r>
        <w:rPr>
          <w:lang w:val="en-US" w:eastAsia="en-US"/>
        </w:rPr>
        <w:t>全</w:t>
      </w:r>
      <w:bookmarkStart w:id="67" w:name="OLE_LINK3"/>
      <w:r>
        <w:rPr>
          <w:lang w:val="en-US" w:eastAsia="en-US"/>
        </w:rPr>
        <w:t>面贯彻</w:t>
      </w:r>
      <w:bookmarkEnd w:id="67"/>
      <w:r>
        <w:rPr>
          <w:lang w:val="en-US" w:eastAsia="en-US"/>
        </w:rPr>
        <w:t>党的二十大精神，以</w:t>
      </w:r>
      <w:bookmarkStart w:id="68" w:name="OLE_LINK4"/>
      <w:bookmarkStart w:id="69" w:name="OLE_LINK11"/>
      <w:r>
        <w:rPr>
          <w:rFonts w:hint="default"/>
          <w:lang w:val="en-US" w:eastAsia="en-US"/>
        </w:rPr>
        <w:t>习近平生态文明思想</w:t>
      </w:r>
      <w:bookmarkEnd w:id="68"/>
      <w:r>
        <w:rPr>
          <w:lang w:val="en-US" w:eastAsia="en-US"/>
        </w:rPr>
        <w:t>为指引，立足新发展阶段、贯彻新发展理念、服务和融入新发展格局，牢牢把握</w:t>
      </w:r>
      <w:r>
        <w:rPr>
          <w:rFonts w:hint="eastAsia"/>
          <w:lang w:val="en-US" w:eastAsia="zh-CN"/>
        </w:rPr>
        <w:t>“</w:t>
      </w:r>
      <w:r>
        <w:rPr>
          <w:lang w:val="en-US" w:eastAsia="en-US"/>
        </w:rPr>
        <w:t>减污降碳协同增效</w:t>
      </w:r>
      <w:r>
        <w:rPr>
          <w:rFonts w:hint="eastAsia"/>
          <w:lang w:val="en-US" w:eastAsia="zh-CN"/>
        </w:rPr>
        <w:t>”</w:t>
      </w:r>
      <w:r>
        <w:rPr>
          <w:lang w:val="en-US" w:eastAsia="en-US"/>
        </w:rPr>
        <w:t>总抓手，坚持统筹规划、政策引导、</w:t>
      </w:r>
      <w:bookmarkStart w:id="70" w:name="OLE_LINK6"/>
      <w:r>
        <w:rPr>
          <w:lang w:val="en-US" w:eastAsia="en-US"/>
        </w:rPr>
        <w:t>市场运作原则，</w:t>
      </w:r>
      <w:bookmarkEnd w:id="66"/>
      <w:bookmarkEnd w:id="70"/>
      <w:r>
        <w:rPr>
          <w:lang w:val="en-US" w:eastAsia="en-US"/>
        </w:rPr>
        <w:t>按照源头减量、过程控制、末端利用方式，构建布局合理、管理规范、技术先进的建筑垃圾资源化利用体系，实现建筑垃圾资源化、减量化、无害化的目标，改善城市人居环境，促进经济社会可持续发展。</w:t>
      </w:r>
    </w:p>
    <w:bookmarkEnd w:id="69"/>
    <w:p w14:paraId="74FBCFC4">
      <w:pPr>
        <w:pStyle w:val="3"/>
        <w:pageBreakBefore w:val="0"/>
        <w:kinsoku/>
        <w:wordWrap w:val="0"/>
        <w:overflowPunct/>
        <w:topLinePunct w:val="0"/>
        <w:autoSpaceDE/>
        <w:autoSpaceDN/>
        <w:bidi w:val="0"/>
        <w:adjustRightInd/>
        <w:snapToGrid/>
        <w:rPr>
          <w:rFonts w:hint="eastAsia" w:ascii="楷体" w:hAnsi="楷体" w:eastAsia="楷体" w:cs="楷体"/>
          <w:sz w:val="28"/>
          <w:szCs w:val="28"/>
          <w:lang w:val="en-US" w:eastAsia="zh-CN"/>
        </w:rPr>
      </w:pPr>
      <w:bookmarkStart w:id="71" w:name="_Toc29278"/>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三</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规划原则</w:t>
      </w:r>
      <w:bookmarkEnd w:id="71"/>
    </w:p>
    <w:p w14:paraId="6B9CF6F1">
      <w:pPr>
        <w:pStyle w:val="4"/>
        <w:pageBreakBefore w:val="0"/>
        <w:kinsoku/>
        <w:wordWrap w:val="0"/>
        <w:overflowPunct/>
        <w:topLinePunct w:val="0"/>
        <w:autoSpaceDE/>
        <w:autoSpaceDN/>
        <w:bidi w:val="0"/>
        <w:adjustRightInd/>
        <w:snapToGrid/>
        <w:rPr>
          <w:rFonts w:hint="eastAsia"/>
        </w:rPr>
      </w:pPr>
      <w:r>
        <w:rPr>
          <w:rFonts w:hint="eastAsia"/>
          <w:lang w:val="en-US" w:eastAsia="zh-CN"/>
        </w:rPr>
        <w:t>1、</w:t>
      </w:r>
      <w:r>
        <w:rPr>
          <w:rFonts w:hint="eastAsia"/>
        </w:rPr>
        <w:t>源头减量，合理布局</w:t>
      </w:r>
    </w:p>
    <w:p w14:paraId="1A9C4B1A">
      <w:pPr>
        <w:bidi w:val="0"/>
        <w:rPr>
          <w:rFonts w:hint="default"/>
        </w:rPr>
      </w:pPr>
      <w:r>
        <w:rPr>
          <w:rFonts w:hint="eastAsia"/>
        </w:rPr>
        <w:t>遵循减量化、资源化、无害化原则，加强建筑垃圾源头管控，统筹规划、建设、管理等环节，推进实施绿色设计与绿色施工，预防和有效减少建筑垃圾产生和排放</w:t>
      </w:r>
      <w:r>
        <w:rPr>
          <w:rFonts w:hint="eastAsia"/>
          <w:lang w:eastAsia="zh-CN"/>
        </w:rPr>
        <w:t>，</w:t>
      </w:r>
      <w:r>
        <w:rPr>
          <w:rFonts w:hint="eastAsia"/>
        </w:rPr>
        <w:t>减少填埋处置量</w:t>
      </w:r>
      <w:r>
        <w:rPr>
          <w:rFonts w:hint="eastAsia"/>
          <w:lang w:eastAsia="zh-CN"/>
        </w:rPr>
        <w:t>，</w:t>
      </w:r>
      <w:r>
        <w:rPr>
          <w:rFonts w:hint="eastAsia"/>
          <w:lang w:val="en-US" w:eastAsia="zh-CN"/>
        </w:rPr>
        <w:t>加大</w:t>
      </w:r>
      <w:r>
        <w:rPr>
          <w:rFonts w:hint="default"/>
        </w:rPr>
        <w:t>建筑垃圾处置和资源化利用</w:t>
      </w:r>
      <w:r>
        <w:rPr>
          <w:rFonts w:hint="eastAsia"/>
        </w:rPr>
        <w:t>。</w:t>
      </w:r>
      <w:r>
        <w:rPr>
          <w:rFonts w:hint="default"/>
        </w:rPr>
        <w:t>统筹布局，与国土空间总体规划、环卫设施专项规划等相关规划相协调</w:t>
      </w:r>
      <w:r>
        <w:rPr>
          <w:rFonts w:hint="eastAsia"/>
          <w:lang w:eastAsia="zh-CN"/>
        </w:rPr>
        <w:t>，</w:t>
      </w:r>
      <w:r>
        <w:rPr>
          <w:rFonts w:hint="default"/>
        </w:rPr>
        <w:t>减少对生态环境的影响。</w:t>
      </w:r>
    </w:p>
    <w:p w14:paraId="010DD099">
      <w:pPr>
        <w:pStyle w:val="4"/>
        <w:pageBreakBefore w:val="0"/>
        <w:kinsoku/>
        <w:wordWrap w:val="0"/>
        <w:overflowPunct/>
        <w:topLinePunct w:val="0"/>
        <w:autoSpaceDE/>
        <w:autoSpaceDN/>
        <w:bidi w:val="0"/>
        <w:adjustRightInd/>
        <w:snapToGrid/>
        <w:rPr>
          <w:rFonts w:hint="default"/>
        </w:rPr>
      </w:pPr>
      <w:r>
        <w:rPr>
          <w:rFonts w:hint="eastAsia"/>
          <w:lang w:val="en-US" w:eastAsia="zh-CN"/>
        </w:rPr>
        <w:t>2、</w:t>
      </w:r>
      <w:r>
        <w:t>‌</w:t>
      </w:r>
      <w:r>
        <w:rPr>
          <w:rFonts w:hint="default"/>
        </w:rPr>
        <w:t>政府主导</w:t>
      </w:r>
      <w:r>
        <w:rPr>
          <w:rFonts w:hint="eastAsia"/>
          <w:lang w:eastAsia="zh-CN"/>
        </w:rPr>
        <w:t>，</w:t>
      </w:r>
      <w:r>
        <w:rPr>
          <w:rFonts w:hint="default"/>
        </w:rPr>
        <w:t>社会参与</w:t>
      </w:r>
    </w:p>
    <w:p w14:paraId="453188ED">
      <w:pPr>
        <w:pageBreakBefore w:val="0"/>
        <w:kinsoku/>
        <w:wordWrap w:val="0"/>
        <w:overflowPunct/>
        <w:topLinePunct w:val="0"/>
        <w:autoSpaceDE/>
        <w:autoSpaceDN/>
        <w:bidi w:val="0"/>
        <w:adjustRightInd/>
        <w:snapToGrid/>
        <w:rPr>
          <w:rFonts w:hint="default"/>
        </w:rPr>
      </w:pPr>
      <w:r>
        <w:rPr>
          <w:rFonts w:hint="default"/>
        </w:rPr>
        <w:t>政府统筹规划管理，鼓励企业、公众共同参与建筑垃圾治理</w:t>
      </w:r>
      <w:r>
        <w:rPr>
          <w:rFonts w:hint="eastAsia"/>
          <w:lang w:eastAsia="zh-CN"/>
        </w:rPr>
        <w:t>，</w:t>
      </w:r>
      <w:r>
        <w:rPr>
          <w:rFonts w:hint="eastAsia"/>
        </w:rPr>
        <w:t>实现建筑垃圾收运一体化，推动辖区内建筑垃圾收运、处置工作规范化运行</w:t>
      </w:r>
      <w:r>
        <w:rPr>
          <w:rFonts w:hint="eastAsia"/>
          <w:lang w:eastAsia="zh-CN"/>
        </w:rPr>
        <w:t>。</w:t>
      </w:r>
      <w:r>
        <w:rPr>
          <w:rFonts w:hint="default"/>
        </w:rPr>
        <w:t>推进建筑垃圾处理产业化发展和市场化运作，引入竞争机制，鼓励建筑垃圾处理设施建设投资多元化、运营市场化。</w:t>
      </w:r>
    </w:p>
    <w:p w14:paraId="5AD46F1B">
      <w:pPr>
        <w:pStyle w:val="4"/>
        <w:pageBreakBefore w:val="0"/>
        <w:kinsoku/>
        <w:wordWrap w:val="0"/>
        <w:overflowPunct/>
        <w:topLinePunct w:val="0"/>
        <w:autoSpaceDE/>
        <w:autoSpaceDN/>
        <w:bidi w:val="0"/>
        <w:adjustRightInd/>
        <w:snapToGrid/>
      </w:pPr>
      <w:r>
        <w:rPr>
          <w:rFonts w:hint="eastAsia"/>
          <w:lang w:val="en-US" w:eastAsia="zh-CN"/>
        </w:rPr>
        <w:t>3</w:t>
      </w:r>
      <w:r>
        <w:rPr>
          <w:rFonts w:hint="eastAsia"/>
        </w:rPr>
        <w:t>、科学预测，系统谋划</w:t>
      </w:r>
    </w:p>
    <w:p w14:paraId="7C864B68">
      <w:pPr>
        <w:pageBreakBefore w:val="0"/>
        <w:kinsoku/>
        <w:wordWrap w:val="0"/>
        <w:overflowPunct/>
        <w:topLinePunct w:val="0"/>
        <w:autoSpaceDE/>
        <w:autoSpaceDN/>
        <w:bidi w:val="0"/>
        <w:adjustRightInd/>
        <w:snapToGrid/>
      </w:pPr>
      <w:r>
        <w:rPr>
          <w:rFonts w:hint="eastAsia"/>
        </w:rPr>
        <w:t>系统分析</w:t>
      </w:r>
      <w:r>
        <w:rPr>
          <w:rFonts w:hint="eastAsia"/>
          <w:lang w:val="en-US" w:eastAsia="zh-CN"/>
        </w:rPr>
        <w:t>区域内</w:t>
      </w:r>
      <w:r>
        <w:rPr>
          <w:rFonts w:hint="eastAsia"/>
        </w:rPr>
        <w:t>工程渣土、工程垃圾、拆除垃圾</w:t>
      </w:r>
      <w:r>
        <w:rPr>
          <w:rFonts w:hint="eastAsia"/>
          <w:lang w:eastAsia="zh-CN"/>
        </w:rPr>
        <w:t>、装修垃圾</w:t>
      </w:r>
      <w:r>
        <w:rPr>
          <w:rFonts w:hint="eastAsia"/>
        </w:rPr>
        <w:t>等各类建筑垃圾</w:t>
      </w:r>
      <w:r>
        <w:rPr>
          <w:rFonts w:hint="eastAsia"/>
          <w:lang w:val="en-US" w:eastAsia="zh-CN"/>
        </w:rPr>
        <w:t>情况</w:t>
      </w:r>
      <w:r>
        <w:rPr>
          <w:rFonts w:hint="eastAsia"/>
          <w:lang w:eastAsia="zh-CN"/>
        </w:rPr>
        <w:t>，</w:t>
      </w:r>
      <w:r>
        <w:rPr>
          <w:rFonts w:hint="eastAsia"/>
        </w:rPr>
        <w:t>科学预判产生</w:t>
      </w:r>
      <w:r>
        <w:rPr>
          <w:rFonts w:hint="eastAsia"/>
          <w:lang w:val="en-US" w:eastAsia="zh-CN"/>
        </w:rPr>
        <w:t>数量</w:t>
      </w:r>
      <w:r>
        <w:rPr>
          <w:rFonts w:hint="eastAsia"/>
        </w:rPr>
        <w:t>。</w:t>
      </w:r>
      <w:r>
        <w:rPr>
          <w:rFonts w:hint="default"/>
        </w:rPr>
        <w:t>处理技术应用符合国家节能环保政策的新工艺、新技术、选用新设备和新材料</w:t>
      </w:r>
      <w:r>
        <w:rPr>
          <w:rFonts w:hint="eastAsia"/>
          <w:lang w:eastAsia="zh-CN"/>
        </w:rPr>
        <w:t>，</w:t>
      </w:r>
      <w:r>
        <w:rPr>
          <w:rFonts w:hint="eastAsia"/>
        </w:rPr>
        <w:t>实现设施效能最大化。</w:t>
      </w:r>
    </w:p>
    <w:p w14:paraId="06ACB3BE">
      <w:pPr>
        <w:pStyle w:val="3"/>
        <w:pageBreakBefore w:val="0"/>
        <w:kinsoku/>
        <w:wordWrap w:val="0"/>
        <w:overflowPunct/>
        <w:topLinePunct w:val="0"/>
        <w:autoSpaceDE/>
        <w:autoSpaceDN/>
        <w:bidi w:val="0"/>
        <w:adjustRightInd/>
        <w:snapToGrid/>
        <w:ind w:firstLine="562" w:firstLineChars="200"/>
        <w:rPr>
          <w:rFonts w:hint="eastAsia" w:ascii="楷体" w:hAnsi="楷体" w:eastAsia="楷体" w:cs="楷体"/>
          <w:sz w:val="28"/>
          <w:szCs w:val="28"/>
        </w:rPr>
      </w:pPr>
      <w:bookmarkStart w:id="72" w:name="_Toc18061"/>
      <w:r>
        <w:rPr>
          <w:rFonts w:hint="eastAsia" w:ascii="楷体" w:hAnsi="楷体" w:eastAsia="楷体" w:cs="楷体"/>
          <w:sz w:val="28"/>
          <w:szCs w:val="28"/>
        </w:rPr>
        <w:t>（</w:t>
      </w:r>
      <w:r>
        <w:rPr>
          <w:rFonts w:hint="eastAsia" w:ascii="楷体" w:hAnsi="楷体" w:eastAsia="楷体" w:cs="楷体"/>
          <w:sz w:val="28"/>
          <w:szCs w:val="28"/>
          <w:lang w:val="en-US" w:eastAsia="zh-CN"/>
        </w:rPr>
        <w:t>四</w:t>
      </w:r>
      <w:r>
        <w:rPr>
          <w:rFonts w:hint="eastAsia" w:ascii="楷体" w:hAnsi="楷体" w:eastAsia="楷体" w:cs="楷体"/>
          <w:sz w:val="28"/>
          <w:szCs w:val="28"/>
        </w:rPr>
        <w:t>）规划依据</w:t>
      </w:r>
      <w:bookmarkEnd w:id="72"/>
    </w:p>
    <w:p w14:paraId="4814F08B">
      <w:pPr>
        <w:bidi w:val="0"/>
      </w:pPr>
      <w:r>
        <w:rPr>
          <w:rFonts w:hint="eastAsia"/>
          <w:lang w:val="en-US" w:eastAsia="zh-CN"/>
        </w:rPr>
        <w:t>桃江县建筑垃圾污染环境防治工作规划</w:t>
      </w:r>
      <w:r>
        <w:t>规划依据如下：</w:t>
      </w:r>
    </w:p>
    <w:p w14:paraId="09FA483B">
      <w:pPr>
        <w:pageBreakBefore w:val="0"/>
        <w:kinsoku/>
        <w:wordWrap w:val="0"/>
        <w:overflowPunct/>
        <w:topLinePunct w:val="0"/>
        <w:autoSpaceDE/>
        <w:autoSpaceDN/>
        <w:bidi w:val="0"/>
        <w:adjustRightInd/>
        <w:snapToGrid/>
        <w:rPr>
          <w:rFonts w:hint="eastAsia"/>
          <w:lang w:eastAsia="zh-CN"/>
        </w:rPr>
      </w:pPr>
      <w:r>
        <w:rPr>
          <w:rFonts w:hint="eastAsia"/>
          <w:lang w:val="en-US" w:eastAsia="zh-CN"/>
        </w:rPr>
        <w:t>1、</w:t>
      </w:r>
      <w:r>
        <w:t>《中华人民共和国环境保护法》</w:t>
      </w:r>
      <w:r>
        <w:rPr>
          <w:rFonts w:hint="eastAsia"/>
          <w:lang w:eastAsia="zh-CN"/>
        </w:rPr>
        <w:t>；</w:t>
      </w:r>
    </w:p>
    <w:p w14:paraId="1B7C7154">
      <w:pPr>
        <w:pageBreakBefore w:val="0"/>
        <w:kinsoku/>
        <w:wordWrap w:val="0"/>
        <w:overflowPunct/>
        <w:topLinePunct w:val="0"/>
        <w:autoSpaceDE/>
        <w:autoSpaceDN/>
        <w:bidi w:val="0"/>
        <w:adjustRightInd/>
        <w:snapToGrid/>
      </w:pPr>
      <w:r>
        <w:rPr>
          <w:rFonts w:hint="eastAsia"/>
          <w:lang w:val="en-US" w:eastAsia="zh-CN"/>
        </w:rPr>
        <w:t>2、</w:t>
      </w:r>
      <w:r>
        <w:t>《中华人民共和国固体废物污染环境防治法》；</w:t>
      </w:r>
    </w:p>
    <w:p w14:paraId="5B86B662">
      <w:pPr>
        <w:pageBreakBefore w:val="0"/>
        <w:kinsoku/>
        <w:wordWrap w:val="0"/>
        <w:overflowPunct/>
        <w:topLinePunct w:val="0"/>
        <w:autoSpaceDE/>
        <w:autoSpaceDN/>
        <w:bidi w:val="0"/>
        <w:adjustRightInd/>
        <w:snapToGrid/>
      </w:pPr>
      <w:r>
        <w:rPr>
          <w:rFonts w:hint="eastAsia"/>
          <w:lang w:val="en-US" w:eastAsia="zh-CN"/>
        </w:rPr>
        <w:t>3、</w:t>
      </w:r>
      <w:r>
        <w:t>《中华人民共和国循环经济促进法》；</w:t>
      </w:r>
    </w:p>
    <w:p w14:paraId="1257263C">
      <w:pPr>
        <w:pageBreakBefore w:val="0"/>
        <w:kinsoku/>
        <w:wordWrap w:val="0"/>
        <w:overflowPunct/>
        <w:topLinePunct w:val="0"/>
        <w:autoSpaceDE/>
        <w:autoSpaceDN/>
        <w:bidi w:val="0"/>
        <w:adjustRightInd/>
        <w:snapToGrid/>
      </w:pPr>
      <w:r>
        <w:rPr>
          <w:rFonts w:hint="eastAsia"/>
          <w:lang w:val="en-US" w:eastAsia="zh-CN"/>
        </w:rPr>
        <w:t>4、</w:t>
      </w:r>
      <w:r>
        <w:t>《中华人民共和国城乡规划法》；</w:t>
      </w:r>
    </w:p>
    <w:p w14:paraId="1780E6D0">
      <w:pPr>
        <w:pageBreakBefore w:val="0"/>
        <w:kinsoku/>
        <w:wordWrap w:val="0"/>
        <w:overflowPunct/>
        <w:topLinePunct w:val="0"/>
        <w:autoSpaceDE/>
        <w:autoSpaceDN/>
        <w:bidi w:val="0"/>
        <w:adjustRightInd/>
        <w:snapToGrid/>
      </w:pPr>
      <w:r>
        <w:rPr>
          <w:rFonts w:hint="eastAsia"/>
          <w:lang w:val="en-US" w:eastAsia="zh-CN"/>
        </w:rPr>
        <w:t>5、</w:t>
      </w:r>
      <w:r>
        <w:t>《中华人民共和国土地管理法》；</w:t>
      </w:r>
    </w:p>
    <w:p w14:paraId="7AD951C8">
      <w:pPr>
        <w:pageBreakBefore w:val="0"/>
        <w:kinsoku/>
        <w:wordWrap w:val="0"/>
        <w:overflowPunct/>
        <w:topLinePunct w:val="0"/>
        <w:autoSpaceDE/>
        <w:autoSpaceDN/>
        <w:bidi w:val="0"/>
        <w:adjustRightInd/>
        <w:snapToGrid/>
      </w:pPr>
      <w:r>
        <w:rPr>
          <w:rFonts w:hint="eastAsia"/>
          <w:lang w:val="en-US" w:eastAsia="zh-CN"/>
        </w:rPr>
        <w:t>6、</w:t>
      </w:r>
      <w:r>
        <w:t>《城市建筑垃圾管理规定》；</w:t>
      </w:r>
    </w:p>
    <w:p w14:paraId="7585C808">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7、</w:t>
      </w:r>
      <w:r>
        <w:rPr>
          <w:rFonts w:hint="eastAsia"/>
        </w:rPr>
        <w:t>《中华人民共和国水污染防治法》</w:t>
      </w:r>
      <w:r>
        <w:rPr>
          <w:rFonts w:hint="eastAsia"/>
          <w:lang w:eastAsia="zh-CN"/>
        </w:rPr>
        <w:t>；</w:t>
      </w:r>
    </w:p>
    <w:p w14:paraId="1AEAB327">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8、</w:t>
      </w:r>
      <w:r>
        <w:rPr>
          <w:lang w:eastAsia="en-US"/>
        </w:rPr>
        <w:t>《中华人民共和国大气污染防治法》</w:t>
      </w:r>
      <w:r>
        <w:rPr>
          <w:rFonts w:hint="eastAsia"/>
          <w:lang w:eastAsia="zh-CN"/>
        </w:rPr>
        <w:t>；</w:t>
      </w:r>
    </w:p>
    <w:p w14:paraId="7D718579">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9、</w:t>
      </w:r>
      <w:r>
        <w:rPr>
          <w:lang w:eastAsia="en-US"/>
        </w:rPr>
        <w:t>《中华人民共和国土壤污染防治法》</w:t>
      </w:r>
      <w:r>
        <w:rPr>
          <w:rFonts w:hint="eastAsia"/>
          <w:lang w:eastAsia="zh-CN"/>
        </w:rPr>
        <w:t>；</w:t>
      </w:r>
    </w:p>
    <w:p w14:paraId="308013D1">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10、</w:t>
      </w:r>
      <w:r>
        <w:rPr>
          <w:rFonts w:hint="eastAsia"/>
        </w:rPr>
        <w:t>《中华人民共和国环境影响评价法》</w:t>
      </w:r>
      <w:r>
        <w:rPr>
          <w:rFonts w:hint="eastAsia"/>
          <w:lang w:eastAsia="zh-CN"/>
        </w:rPr>
        <w:t>；</w:t>
      </w:r>
    </w:p>
    <w:p w14:paraId="6C2D1E98">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11、</w:t>
      </w:r>
      <w:r>
        <w:rPr>
          <w:rFonts w:hint="eastAsia"/>
        </w:rPr>
        <w:t>《城市建筑垃圾管理规定》</w:t>
      </w:r>
      <w:r>
        <w:rPr>
          <w:rFonts w:hint="eastAsia"/>
          <w:lang w:eastAsia="zh-CN"/>
        </w:rPr>
        <w:t>；</w:t>
      </w:r>
    </w:p>
    <w:p w14:paraId="7C29879D">
      <w:pPr>
        <w:pageBreakBefore w:val="0"/>
        <w:kinsoku/>
        <w:wordWrap w:val="0"/>
        <w:overflowPunct/>
        <w:topLinePunct w:val="0"/>
        <w:autoSpaceDE/>
        <w:autoSpaceDN/>
        <w:bidi w:val="0"/>
        <w:adjustRightInd/>
        <w:snapToGrid/>
      </w:pPr>
      <w:r>
        <w:rPr>
          <w:rFonts w:hint="eastAsia"/>
          <w:lang w:val="en-US" w:eastAsia="zh-CN"/>
        </w:rPr>
        <w:t>12、</w:t>
      </w:r>
      <w:r>
        <w:t>《城市市容和环境卫生管理条例》；</w:t>
      </w:r>
    </w:p>
    <w:p w14:paraId="317138CB">
      <w:pPr>
        <w:pageBreakBefore w:val="0"/>
        <w:kinsoku/>
        <w:wordWrap w:val="0"/>
        <w:overflowPunct/>
        <w:topLinePunct w:val="0"/>
        <w:autoSpaceDE/>
        <w:autoSpaceDN/>
        <w:bidi w:val="0"/>
        <w:adjustRightInd/>
        <w:snapToGrid/>
        <w:rPr>
          <w:rFonts w:hint="default"/>
        </w:rPr>
      </w:pPr>
      <w:r>
        <w:rPr>
          <w:rFonts w:hint="eastAsia"/>
          <w:lang w:val="en-US" w:eastAsia="zh-CN"/>
        </w:rPr>
        <w:t>13、</w:t>
      </w:r>
      <w:r>
        <w:rPr>
          <w:rFonts w:hint="eastAsia"/>
        </w:rPr>
        <w:t>《中华人民共和国国民经济和社会发展第十四个五年规划和</w:t>
      </w:r>
      <w:r>
        <w:rPr>
          <w:rFonts w:hint="default"/>
        </w:rPr>
        <w:t>2035</w:t>
      </w:r>
      <w:r>
        <w:rPr>
          <w:rFonts w:hint="eastAsia"/>
        </w:rPr>
        <w:t>年远景目标纲要》。</w:t>
      </w:r>
    </w:p>
    <w:p w14:paraId="7D145D6D">
      <w:pPr>
        <w:pageBreakBefore w:val="0"/>
        <w:kinsoku/>
        <w:wordWrap w:val="0"/>
        <w:overflowPunct/>
        <w:topLinePunct w:val="0"/>
        <w:autoSpaceDE/>
        <w:autoSpaceDN/>
        <w:bidi w:val="0"/>
        <w:adjustRightInd/>
        <w:snapToGrid/>
        <w:rPr>
          <w:rFonts w:hint="default"/>
        </w:rPr>
      </w:pPr>
      <w:r>
        <w:rPr>
          <w:rFonts w:hint="eastAsia"/>
          <w:lang w:val="en-US" w:eastAsia="zh-CN"/>
        </w:rPr>
        <w:t>14、</w:t>
      </w:r>
      <w:r>
        <w:rPr>
          <w:rFonts w:hint="eastAsia"/>
        </w:rPr>
        <w:t>《国务院办公厅关于印发</w:t>
      </w:r>
      <w:r>
        <w:rPr>
          <w:rFonts w:hint="default"/>
        </w:rPr>
        <w:t>“</w:t>
      </w:r>
      <w:r>
        <w:rPr>
          <w:rFonts w:hint="eastAsia"/>
        </w:rPr>
        <w:t>无废城市</w:t>
      </w:r>
      <w:r>
        <w:rPr>
          <w:rFonts w:hint="default"/>
        </w:rPr>
        <w:t>”</w:t>
      </w:r>
      <w:r>
        <w:rPr>
          <w:rFonts w:hint="eastAsia"/>
        </w:rPr>
        <w:t>建设试点工作方案的通知》（国办发〔</w:t>
      </w:r>
      <w:r>
        <w:rPr>
          <w:rFonts w:hint="default"/>
        </w:rPr>
        <w:t>2018</w:t>
      </w:r>
      <w:r>
        <w:rPr>
          <w:rFonts w:hint="eastAsia"/>
        </w:rPr>
        <w:t>〕</w:t>
      </w:r>
      <w:r>
        <w:rPr>
          <w:rFonts w:hint="default"/>
        </w:rPr>
        <w:t>128</w:t>
      </w:r>
      <w:r>
        <w:rPr>
          <w:rFonts w:hint="eastAsia"/>
        </w:rPr>
        <w:t>号）；</w:t>
      </w:r>
    </w:p>
    <w:p w14:paraId="03100A99">
      <w:pPr>
        <w:pageBreakBefore w:val="0"/>
        <w:kinsoku/>
        <w:wordWrap w:val="0"/>
        <w:overflowPunct/>
        <w:topLinePunct w:val="0"/>
        <w:autoSpaceDE/>
        <w:autoSpaceDN/>
        <w:bidi w:val="0"/>
        <w:adjustRightInd/>
        <w:snapToGrid/>
        <w:rPr>
          <w:rFonts w:hint="default"/>
        </w:rPr>
      </w:pPr>
      <w:r>
        <w:rPr>
          <w:rFonts w:hint="eastAsia"/>
          <w:lang w:val="en-US" w:eastAsia="zh-CN"/>
        </w:rPr>
        <w:t>15、</w:t>
      </w:r>
      <w:r>
        <w:rPr>
          <w:rFonts w:hint="eastAsia"/>
        </w:rPr>
        <w:t>《中共中央国务院关于进一步加强城市规划建设管理工作的若干意见》（中发〔</w:t>
      </w:r>
      <w:r>
        <w:rPr>
          <w:rFonts w:hint="default"/>
        </w:rPr>
        <w:t>2016</w:t>
      </w:r>
      <w:r>
        <w:rPr>
          <w:rFonts w:hint="eastAsia"/>
        </w:rPr>
        <w:t>〕</w:t>
      </w:r>
      <w:r>
        <w:rPr>
          <w:rFonts w:hint="default"/>
        </w:rPr>
        <w:t>6</w:t>
      </w:r>
      <w:r>
        <w:rPr>
          <w:rFonts w:hint="eastAsia"/>
        </w:rPr>
        <w:t>号）；</w:t>
      </w:r>
    </w:p>
    <w:p w14:paraId="77C42D48">
      <w:pPr>
        <w:pageBreakBefore w:val="0"/>
        <w:kinsoku/>
        <w:wordWrap w:val="0"/>
        <w:overflowPunct/>
        <w:topLinePunct w:val="0"/>
        <w:autoSpaceDE/>
        <w:autoSpaceDN/>
        <w:bidi w:val="0"/>
        <w:adjustRightInd/>
        <w:snapToGrid/>
        <w:rPr>
          <w:rFonts w:hint="eastAsia"/>
        </w:rPr>
      </w:pPr>
      <w:r>
        <w:rPr>
          <w:rFonts w:hint="eastAsia"/>
          <w:lang w:val="en-US" w:eastAsia="zh-CN"/>
        </w:rPr>
        <w:t>16、</w:t>
      </w:r>
      <w:r>
        <w:rPr>
          <w:rFonts w:hint="eastAsia"/>
        </w:rPr>
        <w:t>《国务院批转住房城乡建设部等部门关于进一步加强城市生活垃圾处理工作意见的通知》（国发〔</w:t>
      </w:r>
      <w:r>
        <w:rPr>
          <w:rFonts w:hint="default"/>
        </w:rPr>
        <w:t>2011</w:t>
      </w:r>
      <w:r>
        <w:rPr>
          <w:rFonts w:hint="eastAsia"/>
        </w:rPr>
        <w:t>〕</w:t>
      </w:r>
      <w:r>
        <w:rPr>
          <w:rFonts w:hint="default"/>
        </w:rPr>
        <w:t>9</w:t>
      </w:r>
      <w:r>
        <w:rPr>
          <w:rFonts w:hint="eastAsia"/>
        </w:rPr>
        <w:t>号）；</w:t>
      </w:r>
    </w:p>
    <w:p w14:paraId="37631A5F">
      <w:pPr>
        <w:pageBreakBefore w:val="0"/>
        <w:kinsoku/>
        <w:wordWrap w:val="0"/>
        <w:overflowPunct/>
        <w:topLinePunct w:val="0"/>
        <w:autoSpaceDE/>
        <w:autoSpaceDN/>
        <w:bidi w:val="0"/>
        <w:adjustRightInd/>
        <w:snapToGrid/>
        <w:rPr>
          <w:rFonts w:hint="eastAsia"/>
          <w:lang w:eastAsia="zh-CN"/>
        </w:rPr>
      </w:pPr>
      <w:r>
        <w:rPr>
          <w:rFonts w:hint="default"/>
        </w:rPr>
        <w:t>国务院办公厅转发住房城乡建设部《关于进一步加强城市建筑垃圾治理的意见》的通知</w:t>
      </w:r>
      <w:r>
        <w:rPr>
          <w:rFonts w:hint="eastAsia"/>
          <w:lang w:eastAsia="zh-CN"/>
        </w:rPr>
        <w:t>（</w:t>
      </w:r>
      <w:r>
        <w:t>国办函〔2025〕57号</w:t>
      </w:r>
      <w:r>
        <w:rPr>
          <w:rFonts w:hint="eastAsia"/>
          <w:lang w:eastAsia="zh-CN"/>
        </w:rPr>
        <w:t>）</w:t>
      </w:r>
    </w:p>
    <w:p w14:paraId="31FE2EE9">
      <w:pPr>
        <w:pageBreakBefore w:val="0"/>
        <w:kinsoku/>
        <w:wordWrap w:val="0"/>
        <w:overflowPunct/>
        <w:topLinePunct w:val="0"/>
        <w:autoSpaceDE/>
        <w:autoSpaceDN/>
        <w:bidi w:val="0"/>
        <w:adjustRightInd/>
        <w:snapToGrid/>
        <w:rPr>
          <w:rFonts w:hint="default"/>
        </w:rPr>
      </w:pPr>
      <w:r>
        <w:rPr>
          <w:rFonts w:hint="eastAsia"/>
          <w:lang w:val="en-US" w:eastAsia="zh-CN"/>
        </w:rPr>
        <w:t>17、</w:t>
      </w:r>
      <w:r>
        <w:rPr>
          <w:rFonts w:hint="eastAsia"/>
        </w:rPr>
        <w:t>《关于“十四五”大宗固体废弃物综合利用的指导意见》（发改环资〔</w:t>
      </w:r>
      <w:r>
        <w:rPr>
          <w:rFonts w:hint="default"/>
        </w:rPr>
        <w:t>2021</w:t>
      </w:r>
      <w:r>
        <w:rPr>
          <w:rFonts w:hint="eastAsia"/>
        </w:rPr>
        <w:t>〕</w:t>
      </w:r>
      <w:r>
        <w:rPr>
          <w:rFonts w:hint="default"/>
        </w:rPr>
        <w:t>381</w:t>
      </w:r>
      <w:r>
        <w:rPr>
          <w:rFonts w:hint="eastAsia"/>
        </w:rPr>
        <w:t>号）；</w:t>
      </w:r>
    </w:p>
    <w:p w14:paraId="6C9787C7">
      <w:pPr>
        <w:pageBreakBefore w:val="0"/>
        <w:kinsoku/>
        <w:wordWrap w:val="0"/>
        <w:overflowPunct/>
        <w:topLinePunct w:val="0"/>
        <w:autoSpaceDE/>
        <w:autoSpaceDN/>
        <w:bidi w:val="0"/>
        <w:adjustRightInd/>
        <w:snapToGrid/>
        <w:rPr>
          <w:rFonts w:hint="default"/>
        </w:rPr>
      </w:pPr>
      <w:r>
        <w:rPr>
          <w:rFonts w:hint="eastAsia"/>
          <w:lang w:val="en-US" w:eastAsia="zh-CN"/>
        </w:rPr>
        <w:t>18、</w:t>
      </w:r>
      <w:r>
        <w:rPr>
          <w:rFonts w:hint="eastAsia"/>
        </w:rPr>
        <w:t>《住房城乡建设部关于开展建筑垃圾治理试点工作的通知》（建城函〔</w:t>
      </w:r>
      <w:r>
        <w:rPr>
          <w:rFonts w:hint="default"/>
        </w:rPr>
        <w:t>2018</w:t>
      </w:r>
      <w:r>
        <w:rPr>
          <w:rFonts w:hint="eastAsia"/>
        </w:rPr>
        <w:t>〕</w:t>
      </w:r>
      <w:r>
        <w:rPr>
          <w:rFonts w:hint="default"/>
        </w:rPr>
        <w:t>65</w:t>
      </w:r>
      <w:r>
        <w:rPr>
          <w:rFonts w:hint="eastAsia"/>
        </w:rPr>
        <w:t>号）；</w:t>
      </w:r>
    </w:p>
    <w:p w14:paraId="4B4BAFF4">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19、</w:t>
      </w:r>
      <w:r>
        <w:rPr>
          <w:rFonts w:hint="eastAsia"/>
        </w:rPr>
        <w:t>《住房和城乡建设部关于推进建筑垃圾减量化的指导意见》（建质〔</w:t>
      </w:r>
      <w:r>
        <w:rPr>
          <w:rFonts w:hint="default"/>
        </w:rPr>
        <w:t>2020</w:t>
      </w:r>
      <w:r>
        <w:rPr>
          <w:rFonts w:hint="eastAsia"/>
        </w:rPr>
        <w:t>〕</w:t>
      </w:r>
      <w:r>
        <w:rPr>
          <w:rFonts w:hint="default"/>
        </w:rPr>
        <w:t>46</w:t>
      </w:r>
      <w:r>
        <w:rPr>
          <w:rFonts w:hint="eastAsia"/>
        </w:rPr>
        <w:t>号）</w:t>
      </w:r>
      <w:r>
        <w:rPr>
          <w:rFonts w:hint="eastAsia"/>
          <w:lang w:eastAsia="zh-CN"/>
        </w:rPr>
        <w:t>；</w:t>
      </w:r>
    </w:p>
    <w:p w14:paraId="204389B5">
      <w:pPr>
        <w:pageBreakBefore w:val="0"/>
        <w:kinsoku/>
        <w:wordWrap w:val="0"/>
        <w:overflowPunct/>
        <w:topLinePunct w:val="0"/>
        <w:autoSpaceDE/>
        <w:autoSpaceDN/>
        <w:bidi w:val="0"/>
        <w:adjustRightInd/>
        <w:snapToGrid/>
        <w:rPr>
          <w:rFonts w:hint="eastAsia"/>
        </w:rPr>
      </w:pPr>
      <w:r>
        <w:rPr>
          <w:rFonts w:hint="eastAsia"/>
          <w:lang w:val="en-US" w:eastAsia="zh-CN"/>
        </w:rPr>
        <w:t>20、</w:t>
      </w:r>
      <w:r>
        <w:rPr>
          <w:rFonts w:hint="eastAsia"/>
        </w:rPr>
        <w:t>《住房和城乡建设部办公厅关于推广应用施工现场建筑垃圾减量化指导图册的通知》（建办质函〔</w:t>
      </w:r>
      <w:r>
        <w:rPr>
          <w:rFonts w:hint="default"/>
        </w:rPr>
        <w:t>2020</w:t>
      </w:r>
      <w:r>
        <w:rPr>
          <w:rFonts w:hint="eastAsia"/>
        </w:rPr>
        <w:t>〕</w:t>
      </w:r>
      <w:r>
        <w:rPr>
          <w:rFonts w:hint="default"/>
        </w:rPr>
        <w:t>505</w:t>
      </w:r>
      <w:r>
        <w:rPr>
          <w:rFonts w:hint="eastAsia"/>
        </w:rPr>
        <w:t>号）；</w:t>
      </w:r>
    </w:p>
    <w:p w14:paraId="035F08B6">
      <w:pPr>
        <w:pageBreakBefore w:val="0"/>
        <w:kinsoku/>
        <w:wordWrap w:val="0"/>
        <w:overflowPunct/>
        <w:topLinePunct w:val="0"/>
        <w:autoSpaceDE/>
        <w:autoSpaceDN/>
        <w:bidi w:val="0"/>
        <w:adjustRightInd/>
        <w:snapToGrid/>
        <w:rPr>
          <w:rFonts w:hint="eastAsia"/>
          <w:lang w:eastAsia="zh-CN"/>
        </w:rPr>
      </w:pPr>
      <w:r>
        <w:rPr>
          <w:rFonts w:hint="eastAsia"/>
          <w:lang w:val="en-US" w:eastAsia="zh-CN"/>
        </w:rPr>
        <w:t>21、</w:t>
      </w:r>
      <w:r>
        <w:rPr>
          <w:rFonts w:hint="eastAsia" w:eastAsia="仿宋"/>
          <w:lang w:eastAsia="zh-CN"/>
        </w:rPr>
        <w:t>《</w:t>
      </w:r>
      <w:r>
        <w:t>湖南省实施城市市容和环境卫生</w:t>
      </w:r>
      <w:r>
        <w:rPr>
          <w:rFonts w:hint="eastAsia"/>
        </w:rPr>
        <w:t>管理条例办法</w:t>
      </w:r>
      <w:r>
        <w:rPr>
          <w:rFonts w:hint="eastAsia" w:eastAsia="仿宋"/>
          <w:lang w:eastAsia="zh-CN"/>
        </w:rPr>
        <w:t>》（</w:t>
      </w:r>
      <w:r>
        <w:rPr>
          <w:rFonts w:ascii="仿宋" w:hAnsi="仿宋" w:eastAsia="仿宋" w:cs="仿宋"/>
          <w:i w:val="0"/>
          <w:iCs w:val="0"/>
          <w:caps w:val="0"/>
          <w:color w:val="333333"/>
          <w:spacing w:val="0"/>
          <w:sz w:val="27"/>
          <w:szCs w:val="27"/>
          <w:shd w:val="clear" w:fill="FFFFFF"/>
        </w:rPr>
        <w:t>湖南省人民政府令第310号修改</w:t>
      </w:r>
      <w:r>
        <w:rPr>
          <w:rFonts w:hint="eastAsia" w:eastAsia="仿宋"/>
          <w:lang w:eastAsia="zh-CN"/>
        </w:rPr>
        <w:t>）；</w:t>
      </w:r>
    </w:p>
    <w:p w14:paraId="02D7B241">
      <w:pPr>
        <w:pageBreakBefore w:val="0"/>
        <w:kinsoku/>
        <w:wordWrap w:val="0"/>
        <w:overflowPunct/>
        <w:topLinePunct w:val="0"/>
        <w:autoSpaceDE/>
        <w:autoSpaceDN/>
        <w:bidi w:val="0"/>
        <w:adjustRightInd/>
        <w:snapToGrid/>
        <w:rPr>
          <w:rFonts w:hint="default"/>
        </w:rPr>
      </w:pPr>
      <w:r>
        <w:rPr>
          <w:rFonts w:hint="eastAsia"/>
          <w:lang w:val="en-US" w:eastAsia="zh-CN"/>
        </w:rPr>
        <w:t>22、</w:t>
      </w:r>
      <w:r>
        <w:rPr>
          <w:rFonts w:hint="eastAsia"/>
        </w:rPr>
        <w:t>《湖南省人民政府办公厅关于加强城市建筑垃圾管理和资源化利用的意见》（湘政办发〔</w:t>
      </w:r>
      <w:r>
        <w:rPr>
          <w:rFonts w:hint="default"/>
        </w:rPr>
        <w:t>2019</w:t>
      </w:r>
      <w:r>
        <w:rPr>
          <w:rFonts w:hint="eastAsia"/>
        </w:rPr>
        <w:t>〕</w:t>
      </w:r>
      <w:r>
        <w:rPr>
          <w:rFonts w:hint="default"/>
        </w:rPr>
        <w:t>4</w:t>
      </w:r>
      <w:r>
        <w:rPr>
          <w:rFonts w:hint="eastAsia"/>
        </w:rPr>
        <w:t>号）；</w:t>
      </w:r>
    </w:p>
    <w:p w14:paraId="366C89AE">
      <w:pPr>
        <w:pageBreakBefore w:val="0"/>
        <w:kinsoku/>
        <w:wordWrap w:val="0"/>
        <w:overflowPunct/>
        <w:topLinePunct w:val="0"/>
        <w:autoSpaceDE/>
        <w:autoSpaceDN/>
        <w:bidi w:val="0"/>
        <w:adjustRightInd/>
        <w:snapToGrid/>
        <w:rPr>
          <w:rFonts w:hint="default"/>
        </w:rPr>
      </w:pPr>
      <w:r>
        <w:rPr>
          <w:rFonts w:hint="eastAsia"/>
          <w:lang w:val="en-US" w:eastAsia="zh-CN"/>
        </w:rPr>
        <w:t>23、</w:t>
      </w:r>
      <w:r>
        <w:rPr>
          <w:rFonts w:hint="eastAsia"/>
        </w:rPr>
        <w:t>《关于加快城市建筑垃圾管理和资源化利用有关问题的会议纪要》（湘府阅〔</w:t>
      </w:r>
      <w:r>
        <w:rPr>
          <w:rFonts w:hint="default"/>
        </w:rPr>
        <w:t>2019</w:t>
      </w:r>
      <w:r>
        <w:rPr>
          <w:rFonts w:hint="eastAsia"/>
        </w:rPr>
        <w:t>〕</w:t>
      </w:r>
      <w:r>
        <w:rPr>
          <w:rFonts w:hint="default"/>
        </w:rPr>
        <w:t>21</w:t>
      </w:r>
      <w:r>
        <w:rPr>
          <w:rFonts w:hint="eastAsia"/>
        </w:rPr>
        <w:t>号）；</w:t>
      </w:r>
    </w:p>
    <w:p w14:paraId="4CD5B05D">
      <w:pPr>
        <w:pageBreakBefore w:val="0"/>
        <w:kinsoku/>
        <w:wordWrap w:val="0"/>
        <w:overflowPunct/>
        <w:topLinePunct w:val="0"/>
        <w:autoSpaceDE/>
        <w:autoSpaceDN/>
        <w:bidi w:val="0"/>
        <w:adjustRightInd/>
        <w:snapToGrid/>
        <w:rPr>
          <w:rFonts w:hint="default"/>
        </w:rPr>
      </w:pPr>
      <w:r>
        <w:rPr>
          <w:rFonts w:hint="eastAsia"/>
          <w:lang w:val="en-US" w:eastAsia="zh-CN"/>
        </w:rPr>
        <w:t>24、</w:t>
      </w:r>
      <w:r>
        <w:rPr>
          <w:rFonts w:hint="eastAsia"/>
        </w:rPr>
        <w:t>《湖南省住房和城乡建设厅关于开展建筑垃圾治理示范工作的通知》（湘建建函〔</w:t>
      </w:r>
      <w:r>
        <w:rPr>
          <w:rFonts w:hint="default"/>
        </w:rPr>
        <w:t>2019</w:t>
      </w:r>
      <w:r>
        <w:rPr>
          <w:rFonts w:hint="eastAsia"/>
        </w:rPr>
        <w:t>〕</w:t>
      </w:r>
      <w:r>
        <w:rPr>
          <w:rFonts w:hint="default"/>
        </w:rPr>
        <w:t>255</w:t>
      </w:r>
      <w:r>
        <w:rPr>
          <w:rFonts w:hint="eastAsia"/>
        </w:rPr>
        <w:t>号）；</w:t>
      </w:r>
    </w:p>
    <w:p w14:paraId="4B8B5D3F">
      <w:pPr>
        <w:pageBreakBefore w:val="0"/>
        <w:kinsoku/>
        <w:wordWrap w:val="0"/>
        <w:overflowPunct/>
        <w:topLinePunct w:val="0"/>
        <w:autoSpaceDE/>
        <w:autoSpaceDN/>
        <w:bidi w:val="0"/>
        <w:adjustRightInd/>
        <w:snapToGrid/>
        <w:rPr>
          <w:rFonts w:hint="default"/>
        </w:rPr>
      </w:pPr>
      <w:r>
        <w:rPr>
          <w:rFonts w:hint="eastAsia"/>
          <w:lang w:val="en-US" w:eastAsia="zh-CN"/>
        </w:rPr>
        <w:t>25、</w:t>
      </w:r>
      <w:r>
        <w:rPr>
          <w:rFonts w:hint="eastAsia"/>
        </w:rPr>
        <w:t>《湖南省城市建筑垃圾管理实施细则》（湘建建〔</w:t>
      </w:r>
      <w:r>
        <w:rPr>
          <w:rFonts w:hint="default"/>
        </w:rPr>
        <w:t>2024</w:t>
      </w:r>
      <w:r>
        <w:rPr>
          <w:rFonts w:hint="eastAsia"/>
        </w:rPr>
        <w:t>〕</w:t>
      </w:r>
      <w:r>
        <w:rPr>
          <w:rFonts w:hint="default"/>
        </w:rPr>
        <w:t>9</w:t>
      </w:r>
      <w:r>
        <w:rPr>
          <w:rFonts w:hint="eastAsia"/>
        </w:rPr>
        <w:t>号）；</w:t>
      </w:r>
    </w:p>
    <w:p w14:paraId="74C8A8BE">
      <w:pPr>
        <w:pageBreakBefore w:val="0"/>
        <w:kinsoku/>
        <w:wordWrap w:val="0"/>
        <w:overflowPunct/>
        <w:topLinePunct w:val="0"/>
        <w:autoSpaceDE/>
        <w:autoSpaceDN/>
        <w:bidi w:val="0"/>
        <w:adjustRightInd/>
        <w:snapToGrid/>
        <w:rPr>
          <w:rFonts w:hint="eastAsia"/>
        </w:rPr>
      </w:pPr>
      <w:r>
        <w:rPr>
          <w:rFonts w:hint="eastAsia"/>
          <w:lang w:val="en-US" w:eastAsia="zh-CN"/>
        </w:rPr>
        <w:t>26、</w:t>
      </w:r>
      <w:r>
        <w:rPr>
          <w:rFonts w:hint="eastAsia"/>
        </w:rPr>
        <w:t>《湖南省建筑垃圾源头减量实施方案》（湘建建函〔</w:t>
      </w:r>
      <w:r>
        <w:rPr>
          <w:rFonts w:hint="default"/>
        </w:rPr>
        <w:t>2020</w:t>
      </w:r>
      <w:r>
        <w:rPr>
          <w:rFonts w:hint="eastAsia"/>
        </w:rPr>
        <w:t>〕</w:t>
      </w:r>
      <w:r>
        <w:rPr>
          <w:rFonts w:hint="default"/>
        </w:rPr>
        <w:t>145</w:t>
      </w:r>
      <w:r>
        <w:rPr>
          <w:rFonts w:hint="eastAsia"/>
        </w:rPr>
        <w:t>号）；</w:t>
      </w:r>
    </w:p>
    <w:p w14:paraId="1F3EB593">
      <w:pPr>
        <w:pageBreakBefore w:val="0"/>
        <w:kinsoku/>
        <w:wordWrap w:val="0"/>
        <w:overflowPunct/>
        <w:topLinePunct w:val="0"/>
        <w:autoSpaceDE/>
        <w:autoSpaceDN/>
        <w:bidi w:val="0"/>
        <w:adjustRightInd/>
        <w:snapToGrid/>
        <w:rPr>
          <w:rFonts w:hint="default"/>
        </w:rPr>
      </w:pPr>
      <w:r>
        <w:rPr>
          <w:rFonts w:hint="eastAsia"/>
          <w:lang w:val="en-US" w:eastAsia="zh-CN"/>
        </w:rPr>
        <w:t>27、</w:t>
      </w:r>
      <w:r>
        <w:rPr>
          <w:rFonts w:hint="eastAsia"/>
          <w:lang w:eastAsia="zh-CN"/>
        </w:rPr>
        <w:t>《</w:t>
      </w:r>
      <w:r>
        <w:t>关于印发益阳市中心城区城市建筑垃圾管理办法的通知</w:t>
      </w:r>
      <w:r>
        <w:rPr>
          <w:rFonts w:hint="eastAsia"/>
          <w:lang w:eastAsia="zh-CN"/>
        </w:rPr>
        <w:t>》</w:t>
      </w:r>
      <w:r>
        <w:t>益政办发〔2023〕32号</w:t>
      </w:r>
      <w:r>
        <w:rPr>
          <w:rFonts w:hint="eastAsia"/>
        </w:rPr>
        <w:t>；</w:t>
      </w:r>
    </w:p>
    <w:p w14:paraId="74D5E124">
      <w:pPr>
        <w:pageBreakBefore w:val="0"/>
        <w:kinsoku/>
        <w:wordWrap w:val="0"/>
        <w:overflowPunct/>
        <w:topLinePunct w:val="0"/>
        <w:autoSpaceDE/>
        <w:autoSpaceDN/>
        <w:bidi w:val="0"/>
        <w:adjustRightInd/>
        <w:snapToGrid/>
        <w:rPr>
          <w:rFonts w:hint="default"/>
        </w:rPr>
      </w:pPr>
      <w:r>
        <w:rPr>
          <w:rFonts w:hint="eastAsia"/>
          <w:lang w:val="en-US" w:eastAsia="zh-CN"/>
        </w:rPr>
        <w:t>28、</w:t>
      </w:r>
      <w:r>
        <w:rPr>
          <w:rFonts w:hint="eastAsia"/>
        </w:rPr>
        <w:t>《建筑垃圾处理技术标准》（</w:t>
      </w:r>
      <w:r>
        <w:rPr>
          <w:rFonts w:hint="default"/>
        </w:rPr>
        <w:t>CJJ/T134-2019</w:t>
      </w:r>
      <w:r>
        <w:rPr>
          <w:rFonts w:hint="eastAsia"/>
        </w:rPr>
        <w:t>）；</w:t>
      </w:r>
    </w:p>
    <w:p w14:paraId="093DF704">
      <w:pPr>
        <w:pageBreakBefore w:val="0"/>
        <w:kinsoku/>
        <w:wordWrap w:val="0"/>
        <w:overflowPunct/>
        <w:topLinePunct w:val="0"/>
        <w:autoSpaceDE/>
        <w:autoSpaceDN/>
        <w:bidi w:val="0"/>
        <w:adjustRightInd/>
        <w:snapToGrid/>
        <w:rPr>
          <w:rFonts w:hint="default"/>
        </w:rPr>
      </w:pPr>
      <w:r>
        <w:rPr>
          <w:rFonts w:hint="eastAsia"/>
          <w:lang w:val="en-US" w:eastAsia="zh-CN"/>
        </w:rPr>
        <w:t>29、</w:t>
      </w:r>
      <w:r>
        <w:rPr>
          <w:rFonts w:hint="eastAsia"/>
        </w:rPr>
        <w:t>《建筑工程绿色施工评价标准》（</w:t>
      </w:r>
      <w:r>
        <w:rPr>
          <w:rFonts w:hint="default"/>
        </w:rPr>
        <w:t>GB/T50640-2010</w:t>
      </w:r>
      <w:r>
        <w:rPr>
          <w:rFonts w:hint="eastAsia"/>
        </w:rPr>
        <w:t>）；</w:t>
      </w:r>
    </w:p>
    <w:p w14:paraId="4F276653">
      <w:pPr>
        <w:pageBreakBefore w:val="0"/>
        <w:kinsoku/>
        <w:wordWrap w:val="0"/>
        <w:overflowPunct/>
        <w:topLinePunct w:val="0"/>
        <w:autoSpaceDE/>
        <w:autoSpaceDN/>
        <w:bidi w:val="0"/>
        <w:adjustRightInd/>
        <w:snapToGrid/>
        <w:rPr>
          <w:rFonts w:hint="default"/>
        </w:rPr>
      </w:pPr>
      <w:r>
        <w:rPr>
          <w:rFonts w:hint="eastAsia"/>
          <w:lang w:val="en-US" w:eastAsia="zh-CN"/>
        </w:rPr>
        <w:t>30、</w:t>
      </w:r>
      <w:r>
        <w:rPr>
          <w:rFonts w:hint="eastAsia"/>
        </w:rPr>
        <w:t>《建筑地基处理技术规范》（</w:t>
      </w:r>
      <w:r>
        <w:rPr>
          <w:rFonts w:hint="default"/>
        </w:rPr>
        <w:t>JGJ79-2012</w:t>
      </w:r>
      <w:r>
        <w:rPr>
          <w:rFonts w:hint="eastAsia"/>
        </w:rPr>
        <w:t>）；</w:t>
      </w:r>
    </w:p>
    <w:p w14:paraId="4CB53836">
      <w:pPr>
        <w:pageBreakBefore w:val="0"/>
        <w:kinsoku/>
        <w:wordWrap w:val="0"/>
        <w:overflowPunct/>
        <w:topLinePunct w:val="0"/>
        <w:autoSpaceDE/>
        <w:autoSpaceDN/>
        <w:bidi w:val="0"/>
        <w:adjustRightInd/>
        <w:snapToGrid/>
        <w:rPr>
          <w:rFonts w:hint="default"/>
        </w:rPr>
      </w:pPr>
      <w:r>
        <w:rPr>
          <w:rFonts w:hint="eastAsia"/>
          <w:lang w:val="en-US" w:eastAsia="zh-CN"/>
        </w:rPr>
        <w:t>31、</w:t>
      </w:r>
      <w:r>
        <w:rPr>
          <w:rFonts w:hint="eastAsia"/>
        </w:rPr>
        <w:t>《城市环境卫生质量标准》（建城〔</w:t>
      </w:r>
      <w:r>
        <w:rPr>
          <w:rFonts w:hint="default"/>
        </w:rPr>
        <w:t>1997</w:t>
      </w:r>
      <w:r>
        <w:rPr>
          <w:rFonts w:hint="eastAsia"/>
        </w:rPr>
        <w:t>〕</w:t>
      </w:r>
      <w:r>
        <w:rPr>
          <w:rFonts w:hint="default"/>
        </w:rPr>
        <w:t>21</w:t>
      </w:r>
      <w:r>
        <w:rPr>
          <w:rFonts w:hint="eastAsia"/>
        </w:rPr>
        <w:t>号）；</w:t>
      </w:r>
    </w:p>
    <w:p w14:paraId="4B47C335">
      <w:pPr>
        <w:pageBreakBefore w:val="0"/>
        <w:kinsoku/>
        <w:wordWrap w:val="0"/>
        <w:overflowPunct/>
        <w:topLinePunct w:val="0"/>
        <w:autoSpaceDE/>
        <w:autoSpaceDN/>
        <w:bidi w:val="0"/>
        <w:adjustRightInd/>
        <w:snapToGrid/>
        <w:rPr>
          <w:rFonts w:hint="default"/>
        </w:rPr>
      </w:pPr>
      <w:r>
        <w:rPr>
          <w:rFonts w:hint="eastAsia"/>
          <w:lang w:val="en-US" w:eastAsia="zh-CN"/>
        </w:rPr>
        <w:t>32、</w:t>
      </w:r>
      <w:r>
        <w:rPr>
          <w:rFonts w:hint="eastAsia"/>
        </w:rPr>
        <w:t>《城市环境卫生设施规划规范》（</w:t>
      </w:r>
      <w:r>
        <w:rPr>
          <w:rFonts w:hint="default"/>
        </w:rPr>
        <w:t>GB50337-2018</w:t>
      </w:r>
      <w:r>
        <w:rPr>
          <w:rFonts w:hint="eastAsia"/>
        </w:rPr>
        <w:t>）；</w:t>
      </w:r>
    </w:p>
    <w:p w14:paraId="39CDAE98">
      <w:pPr>
        <w:pageBreakBefore w:val="0"/>
        <w:kinsoku/>
        <w:wordWrap w:val="0"/>
        <w:overflowPunct/>
        <w:topLinePunct w:val="0"/>
        <w:autoSpaceDE/>
        <w:autoSpaceDN/>
        <w:bidi w:val="0"/>
        <w:adjustRightInd/>
        <w:snapToGrid/>
        <w:rPr>
          <w:rFonts w:hint="default"/>
        </w:rPr>
      </w:pPr>
      <w:r>
        <w:rPr>
          <w:rFonts w:hint="eastAsia"/>
          <w:lang w:val="en-US" w:eastAsia="zh-CN"/>
        </w:rPr>
        <w:t>33、</w:t>
      </w:r>
      <w:r>
        <w:rPr>
          <w:rFonts w:hint="eastAsia"/>
        </w:rPr>
        <w:t>《城市环境卫生设施设置标准》（</w:t>
      </w:r>
      <w:r>
        <w:rPr>
          <w:rFonts w:hint="default"/>
        </w:rPr>
        <w:t>CJJ27-2012</w:t>
      </w:r>
      <w:r>
        <w:rPr>
          <w:rFonts w:hint="eastAsia"/>
        </w:rPr>
        <w:t>）；</w:t>
      </w:r>
    </w:p>
    <w:p w14:paraId="1049CCD8">
      <w:pPr>
        <w:pageBreakBefore w:val="0"/>
        <w:kinsoku/>
        <w:wordWrap w:val="0"/>
        <w:overflowPunct/>
        <w:topLinePunct w:val="0"/>
        <w:autoSpaceDE/>
        <w:autoSpaceDN/>
        <w:bidi w:val="0"/>
        <w:adjustRightInd/>
        <w:snapToGrid/>
        <w:rPr>
          <w:rFonts w:hint="default"/>
        </w:rPr>
      </w:pPr>
      <w:r>
        <w:rPr>
          <w:rFonts w:hint="eastAsia"/>
          <w:lang w:val="en-US" w:eastAsia="zh-CN"/>
        </w:rPr>
        <w:t>34、</w:t>
      </w:r>
      <w:r>
        <w:rPr>
          <w:rFonts w:hint="eastAsia"/>
        </w:rPr>
        <w:t>《建筑工程绿色施工规范》（</w:t>
      </w:r>
      <w:r>
        <w:rPr>
          <w:rFonts w:hint="default"/>
        </w:rPr>
        <w:t>GB/T50905-2014</w:t>
      </w:r>
      <w:r>
        <w:rPr>
          <w:rFonts w:hint="eastAsia"/>
        </w:rPr>
        <w:t>）；</w:t>
      </w:r>
    </w:p>
    <w:p w14:paraId="4A8D7E2B">
      <w:pPr>
        <w:pageBreakBefore w:val="0"/>
        <w:kinsoku/>
        <w:wordWrap w:val="0"/>
        <w:overflowPunct/>
        <w:topLinePunct w:val="0"/>
        <w:autoSpaceDE/>
        <w:autoSpaceDN/>
        <w:bidi w:val="0"/>
        <w:adjustRightInd/>
        <w:snapToGrid/>
        <w:rPr>
          <w:rFonts w:hint="default"/>
        </w:rPr>
      </w:pPr>
      <w:r>
        <w:rPr>
          <w:rFonts w:hint="eastAsia"/>
          <w:lang w:val="en-US" w:eastAsia="zh-CN"/>
        </w:rPr>
        <w:t>35、</w:t>
      </w:r>
      <w:r>
        <w:rPr>
          <w:rFonts w:hint="eastAsia"/>
        </w:rPr>
        <w:t>《绿色建筑评价标准》（</w:t>
      </w:r>
      <w:r>
        <w:rPr>
          <w:rFonts w:hint="default"/>
        </w:rPr>
        <w:t>GB/T50378-2019</w:t>
      </w:r>
      <w:r>
        <w:rPr>
          <w:rFonts w:hint="eastAsia"/>
        </w:rPr>
        <w:t>）；</w:t>
      </w:r>
    </w:p>
    <w:p w14:paraId="59DB0D33">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36、</w:t>
      </w:r>
      <w:r>
        <w:rPr>
          <w:rFonts w:hint="eastAsia"/>
        </w:rPr>
        <w:t>《湖南省建筑垃圾源头控制及处理技术标准》（</w:t>
      </w:r>
      <w:r>
        <w:rPr>
          <w:rFonts w:hint="default"/>
        </w:rPr>
        <w:t>DBJ43/T516-2020</w:t>
      </w:r>
      <w:r>
        <w:rPr>
          <w:rFonts w:hint="eastAsia"/>
        </w:rPr>
        <w:t>）</w:t>
      </w:r>
      <w:r>
        <w:rPr>
          <w:rFonts w:hint="eastAsia"/>
          <w:lang w:eastAsia="zh-CN"/>
        </w:rPr>
        <w:t>；</w:t>
      </w:r>
    </w:p>
    <w:p w14:paraId="2E82B872">
      <w:pPr>
        <w:pageBreakBefore w:val="0"/>
        <w:kinsoku/>
        <w:wordWrap w:val="0"/>
        <w:overflowPunct/>
        <w:topLinePunct w:val="0"/>
        <w:autoSpaceDE/>
        <w:autoSpaceDN/>
        <w:bidi w:val="0"/>
        <w:adjustRightInd/>
        <w:snapToGrid/>
        <w:rPr>
          <w:rFonts w:hint="default"/>
        </w:rPr>
      </w:pPr>
      <w:r>
        <w:rPr>
          <w:rFonts w:hint="eastAsia"/>
          <w:lang w:val="en-US" w:eastAsia="zh-CN"/>
        </w:rPr>
        <w:t>37、</w:t>
      </w:r>
      <w:r>
        <w:rPr>
          <w:rFonts w:hint="eastAsia"/>
        </w:rPr>
        <w:t>《建筑废弃物再生工厂设计标准》（</w:t>
      </w:r>
      <w:r>
        <w:rPr>
          <w:rFonts w:hint="default"/>
        </w:rPr>
        <w:t>GB 51322-2018</w:t>
      </w:r>
      <w:r>
        <w:rPr>
          <w:rFonts w:hint="eastAsia"/>
        </w:rPr>
        <w:t>）；</w:t>
      </w:r>
    </w:p>
    <w:p w14:paraId="395BE76D">
      <w:pPr>
        <w:pageBreakBefore w:val="0"/>
        <w:kinsoku/>
        <w:wordWrap w:val="0"/>
        <w:overflowPunct/>
        <w:topLinePunct w:val="0"/>
        <w:autoSpaceDE/>
        <w:autoSpaceDN/>
        <w:bidi w:val="0"/>
        <w:adjustRightInd/>
        <w:snapToGrid/>
        <w:rPr>
          <w:rFonts w:hint="default"/>
        </w:rPr>
      </w:pPr>
      <w:r>
        <w:rPr>
          <w:rFonts w:hint="eastAsia"/>
          <w:lang w:val="en-US" w:eastAsia="zh-CN"/>
        </w:rPr>
        <w:t>38、</w:t>
      </w:r>
      <w:r>
        <w:rPr>
          <w:rFonts w:hint="eastAsia"/>
        </w:rPr>
        <w:t>《湖南省建筑垃圾资源化利用发展规划（</w:t>
      </w:r>
      <w:r>
        <w:rPr>
          <w:rFonts w:hint="default"/>
        </w:rPr>
        <w:t>2020-2030</w:t>
      </w:r>
      <w:r>
        <w:rPr>
          <w:rFonts w:hint="eastAsia"/>
        </w:rPr>
        <w:t>）》（湘建建〔</w:t>
      </w:r>
      <w:r>
        <w:rPr>
          <w:rFonts w:hint="default"/>
        </w:rPr>
        <w:t>2020</w:t>
      </w:r>
      <w:r>
        <w:rPr>
          <w:rFonts w:hint="eastAsia"/>
        </w:rPr>
        <w:t>〕</w:t>
      </w:r>
      <w:r>
        <w:rPr>
          <w:rFonts w:hint="default"/>
        </w:rPr>
        <w:t>52</w:t>
      </w:r>
      <w:r>
        <w:rPr>
          <w:rFonts w:hint="eastAsia"/>
        </w:rPr>
        <w:t>号）；</w:t>
      </w:r>
    </w:p>
    <w:p w14:paraId="132633D2">
      <w:pPr>
        <w:pageBreakBefore w:val="0"/>
        <w:kinsoku/>
        <w:wordWrap w:val="0"/>
        <w:overflowPunct/>
        <w:topLinePunct w:val="0"/>
        <w:autoSpaceDE/>
        <w:autoSpaceDN/>
        <w:bidi w:val="0"/>
        <w:adjustRightInd/>
        <w:snapToGrid/>
        <w:rPr>
          <w:rFonts w:hint="eastAsia" w:eastAsia="仿宋"/>
          <w:lang w:eastAsia="zh-CN"/>
        </w:rPr>
      </w:pPr>
      <w:r>
        <w:rPr>
          <w:rFonts w:hint="eastAsia"/>
          <w:lang w:val="en-US" w:eastAsia="zh-CN"/>
        </w:rPr>
        <w:t>39、</w:t>
      </w:r>
      <w:r>
        <w:rPr>
          <w:rFonts w:hint="eastAsia"/>
        </w:rPr>
        <w:t>《</w:t>
      </w:r>
      <w:r>
        <w:rPr>
          <w:rFonts w:hint="eastAsia"/>
          <w:lang w:val="en-US" w:eastAsia="zh-CN"/>
        </w:rPr>
        <w:t>桃江</w:t>
      </w:r>
      <w:r>
        <w:rPr>
          <w:rFonts w:hint="eastAsia"/>
        </w:rPr>
        <w:t>县国土空间总体规划（</w:t>
      </w:r>
      <w:r>
        <w:rPr>
          <w:rFonts w:hint="default"/>
        </w:rPr>
        <w:t>2021-2035</w:t>
      </w:r>
      <w:r>
        <w:rPr>
          <w:rFonts w:hint="eastAsia"/>
        </w:rPr>
        <w:t>）》</w:t>
      </w:r>
      <w:r>
        <w:rPr>
          <w:rFonts w:hint="eastAsia"/>
          <w:lang w:eastAsia="zh-CN"/>
        </w:rPr>
        <w:t>。</w:t>
      </w:r>
    </w:p>
    <w:p w14:paraId="4D2E0222">
      <w:pPr>
        <w:pStyle w:val="3"/>
        <w:bidi w:val="0"/>
        <w:rPr>
          <w:rFonts w:hint="eastAsia" w:ascii="楷体" w:hAnsi="楷体" w:eastAsia="楷体" w:cs="楷体"/>
          <w:sz w:val="28"/>
          <w:szCs w:val="28"/>
        </w:rPr>
      </w:pPr>
      <w:bookmarkStart w:id="73" w:name="_Toc8605"/>
      <w:r>
        <w:rPr>
          <w:rFonts w:hint="eastAsia" w:ascii="楷体" w:hAnsi="楷体" w:eastAsia="楷体" w:cs="楷体"/>
          <w:sz w:val="28"/>
          <w:szCs w:val="28"/>
        </w:rPr>
        <w:t>（五）规划</w:t>
      </w:r>
      <w:r>
        <w:rPr>
          <w:rFonts w:hint="eastAsia" w:ascii="楷体" w:hAnsi="楷体" w:eastAsia="楷体" w:cs="楷体"/>
          <w:sz w:val="28"/>
          <w:szCs w:val="28"/>
          <w:lang w:val="en-US" w:eastAsia="zh-CN"/>
        </w:rPr>
        <w:t>范围和</w:t>
      </w:r>
      <w:r>
        <w:rPr>
          <w:rFonts w:hint="eastAsia" w:ascii="楷体" w:hAnsi="楷体" w:eastAsia="楷体" w:cs="楷体"/>
          <w:sz w:val="28"/>
          <w:szCs w:val="28"/>
        </w:rPr>
        <w:t>期限</w:t>
      </w:r>
      <w:bookmarkEnd w:id="73"/>
    </w:p>
    <w:p w14:paraId="3BB87833">
      <w:pPr>
        <w:bidi w:val="0"/>
      </w:pPr>
      <w:r>
        <w:t>本次规划范围为桃江县下辖1</w:t>
      </w:r>
      <w:r>
        <w:rPr>
          <w:rFonts w:hint="eastAsia"/>
          <w:lang w:val="en-US" w:eastAsia="zh-CN"/>
        </w:rPr>
        <w:t>5</w:t>
      </w:r>
      <w:r>
        <w:t>个</w:t>
      </w:r>
      <w:r>
        <w:rPr>
          <w:rFonts w:hint="eastAsia"/>
          <w:lang w:val="en-US" w:eastAsia="zh-CN"/>
        </w:rPr>
        <w:t>乡</w:t>
      </w:r>
      <w:r>
        <w:t>镇，分别为修山镇、鸬鹚渡镇、石牛江镇、牛田镇、松木塘镇、桃花江镇、灰山港镇、武潭镇、马迹塘镇、三堂街镇、大栗港镇、沾溪镇、</w:t>
      </w:r>
      <w:r>
        <w:rPr>
          <w:rFonts w:hint="eastAsia"/>
          <w:lang w:eastAsia="zh-CN"/>
        </w:rPr>
        <w:t>灰山港</w:t>
      </w:r>
      <w:r>
        <w:t>镇、鲊埠回族乡、浮丘山乡，总面积2068平方公里。</w:t>
      </w:r>
    </w:p>
    <w:p w14:paraId="4C40EA2B">
      <w:pPr>
        <w:bidi w:val="0"/>
      </w:pPr>
      <w:r>
        <w:t>本规划基准年为202</w:t>
      </w:r>
      <w:r>
        <w:rPr>
          <w:rFonts w:hint="eastAsia"/>
          <w:lang w:val="en-US" w:eastAsia="zh-CN"/>
        </w:rPr>
        <w:t>5</w:t>
      </w:r>
      <w:r>
        <w:t>年，规划期限为：202</w:t>
      </w:r>
      <w:r>
        <w:rPr>
          <w:rFonts w:hint="eastAsia"/>
          <w:lang w:val="en-US" w:eastAsia="zh-CN"/>
        </w:rPr>
        <w:t>5</w:t>
      </w:r>
      <w:r>
        <w:t>～203</w:t>
      </w:r>
      <w:r>
        <w:rPr>
          <w:rFonts w:hint="eastAsia"/>
          <w:lang w:val="en-US" w:eastAsia="zh-CN"/>
        </w:rPr>
        <w:t>5</w:t>
      </w:r>
      <w:r>
        <w:t>年。其中，</w:t>
      </w:r>
      <w:bookmarkStart w:id="74" w:name="_Hlk19785404"/>
      <w:r>
        <w:t>近期为202</w:t>
      </w:r>
      <w:r>
        <w:rPr>
          <w:rFonts w:hint="eastAsia"/>
          <w:lang w:val="en-US" w:eastAsia="zh-CN"/>
        </w:rPr>
        <w:t>5</w:t>
      </w:r>
      <w:r>
        <w:t>～20</w:t>
      </w:r>
      <w:r>
        <w:rPr>
          <w:rFonts w:hint="eastAsia"/>
          <w:lang w:val="en-US" w:eastAsia="zh-CN"/>
        </w:rPr>
        <w:t>30</w:t>
      </w:r>
      <w:r>
        <w:t>年</w:t>
      </w:r>
      <w:bookmarkEnd w:id="74"/>
      <w:r>
        <w:t>，远期为20</w:t>
      </w:r>
      <w:r>
        <w:rPr>
          <w:rFonts w:hint="eastAsia"/>
          <w:lang w:val="en-US" w:eastAsia="zh-CN"/>
        </w:rPr>
        <w:t>31</w:t>
      </w:r>
      <w:r>
        <w:t>～203</w:t>
      </w:r>
      <w:r>
        <w:rPr>
          <w:rFonts w:hint="eastAsia"/>
          <w:lang w:val="en-US" w:eastAsia="zh-CN"/>
        </w:rPr>
        <w:t>5</w:t>
      </w:r>
      <w:r>
        <w:t>年。</w:t>
      </w:r>
    </w:p>
    <w:p w14:paraId="78C6B538">
      <w:pPr>
        <w:pStyle w:val="3"/>
        <w:bidi w:val="0"/>
        <w:rPr>
          <w:rFonts w:hint="eastAsia" w:ascii="楷体" w:hAnsi="楷体" w:eastAsia="楷体" w:cs="楷体"/>
          <w:sz w:val="28"/>
          <w:szCs w:val="28"/>
          <w:lang w:eastAsia="zh-CN"/>
        </w:rPr>
      </w:pPr>
      <w:bookmarkStart w:id="75" w:name="_Toc30470"/>
      <w:bookmarkStart w:id="76" w:name="OLE_LINK31"/>
      <w:r>
        <w:rPr>
          <w:rFonts w:hint="eastAsia" w:ascii="楷体" w:hAnsi="楷体" w:eastAsia="楷体" w:cs="楷体"/>
          <w:sz w:val="28"/>
          <w:szCs w:val="28"/>
        </w:rPr>
        <w:t>（</w:t>
      </w:r>
      <w:r>
        <w:rPr>
          <w:rFonts w:hint="eastAsia" w:ascii="楷体" w:hAnsi="楷体" w:eastAsia="楷体" w:cs="楷体"/>
          <w:sz w:val="28"/>
          <w:szCs w:val="28"/>
          <w:lang w:val="en-US" w:eastAsia="zh-CN"/>
        </w:rPr>
        <w:t>六</w:t>
      </w:r>
      <w:r>
        <w:rPr>
          <w:rFonts w:hint="eastAsia" w:ascii="楷体" w:hAnsi="楷体" w:eastAsia="楷体" w:cs="楷体"/>
          <w:sz w:val="28"/>
          <w:szCs w:val="28"/>
        </w:rPr>
        <w:t>）</w:t>
      </w:r>
      <w:bookmarkStart w:id="77" w:name="OLE_LINK7"/>
      <w:r>
        <w:rPr>
          <w:rFonts w:hint="eastAsia" w:ascii="楷体" w:hAnsi="楷体" w:eastAsia="楷体" w:cs="楷体"/>
          <w:sz w:val="28"/>
          <w:szCs w:val="28"/>
        </w:rPr>
        <w:t>规划</w:t>
      </w:r>
      <w:r>
        <w:rPr>
          <w:rFonts w:hint="eastAsia" w:ascii="楷体" w:hAnsi="楷体" w:eastAsia="楷体" w:cs="楷体"/>
          <w:sz w:val="28"/>
          <w:szCs w:val="28"/>
          <w:lang w:val="en-US" w:eastAsia="zh-CN"/>
        </w:rPr>
        <w:t>目标</w:t>
      </w:r>
      <w:bookmarkEnd w:id="75"/>
      <w:bookmarkEnd w:id="77"/>
    </w:p>
    <w:p w14:paraId="00C3682C">
      <w:pPr>
        <w:bidi w:val="0"/>
        <w:rPr>
          <w:rFonts w:hint="eastAsia"/>
          <w:lang w:val="en-US" w:eastAsia="zh-CN"/>
        </w:rPr>
      </w:pPr>
      <w:bookmarkStart w:id="78" w:name="OLE_LINK26"/>
      <w:r>
        <w:rPr>
          <w:rFonts w:hint="eastAsia"/>
          <w:lang w:val="en-US" w:eastAsia="zh-CN"/>
        </w:rPr>
        <w:t>以建筑垃圾综合利用理念为引领，以减量化、资源化、无害化为目标，逐步建立科学有效的建筑垃圾全过程管理体系。</w:t>
      </w:r>
    </w:p>
    <w:bookmarkEnd w:id="78"/>
    <w:p w14:paraId="13854683">
      <w:pPr>
        <w:bidi w:val="0"/>
        <w:rPr>
          <w:rFonts w:hint="default"/>
          <w:lang w:val="en-US" w:eastAsia="zh-CN"/>
        </w:rPr>
      </w:pPr>
      <w:r>
        <w:rPr>
          <w:rFonts w:hint="default"/>
          <w:lang w:val="en-US" w:eastAsia="zh-CN"/>
        </w:rPr>
        <w:t>近期目标：基本建成“统筹规划、源头减量、规范收运、资源利用、合法处置、过程监管”的建筑垃圾治理体系。</w:t>
      </w:r>
      <w:r>
        <w:rPr>
          <w:rFonts w:hint="default"/>
          <w:u w:val="single"/>
          <w:lang w:val="en-US" w:eastAsia="zh-CN"/>
        </w:rPr>
        <w:t>到20</w:t>
      </w:r>
      <w:r>
        <w:rPr>
          <w:rFonts w:hint="eastAsia"/>
          <w:u w:val="single"/>
          <w:lang w:val="en-US" w:eastAsia="zh-CN"/>
        </w:rPr>
        <w:t>30</w:t>
      </w:r>
      <w:r>
        <w:rPr>
          <w:rFonts w:hint="default"/>
          <w:u w:val="single"/>
          <w:lang w:val="en-US" w:eastAsia="zh-CN"/>
        </w:rPr>
        <w:t>年底，实现</w:t>
      </w:r>
      <w:r>
        <w:rPr>
          <w:rFonts w:hint="eastAsia"/>
          <w:u w:val="single"/>
        </w:rPr>
        <w:t>建筑垃圾安全处置率</w:t>
      </w:r>
      <w:r>
        <w:rPr>
          <w:rFonts w:hint="eastAsia"/>
          <w:u w:val="single"/>
          <w:lang w:val="en-US" w:eastAsia="zh-CN"/>
        </w:rPr>
        <w:t>100%</w:t>
      </w:r>
      <w:r>
        <w:rPr>
          <w:rFonts w:hint="eastAsia"/>
          <w:u w:val="single"/>
          <w:lang w:eastAsia="zh-CN"/>
        </w:rPr>
        <w:t>，</w:t>
      </w:r>
      <w:r>
        <w:rPr>
          <w:rFonts w:hint="eastAsia"/>
          <w:u w:val="single"/>
        </w:rPr>
        <w:t>建筑垃圾综合利用率</w:t>
      </w:r>
      <w:r>
        <w:rPr>
          <w:rFonts w:hint="eastAsia"/>
          <w:u w:val="single"/>
          <w:lang w:val="en-US" w:eastAsia="zh-CN"/>
        </w:rPr>
        <w:t>85%</w:t>
      </w:r>
      <w:r>
        <w:rPr>
          <w:rFonts w:hint="eastAsia"/>
          <w:u w:val="single"/>
          <w:lang w:eastAsia="zh-CN"/>
        </w:rPr>
        <w:t>，</w:t>
      </w:r>
      <w:r>
        <w:rPr>
          <w:rFonts w:hint="eastAsia"/>
          <w:u w:val="single"/>
        </w:rPr>
        <w:t>建筑垃圾资源化利用率</w:t>
      </w:r>
      <w:r>
        <w:rPr>
          <w:rFonts w:hint="eastAsia"/>
          <w:u w:val="single"/>
          <w:lang w:val="en-US" w:eastAsia="zh-CN"/>
        </w:rPr>
        <w:t>65%</w:t>
      </w:r>
      <w:r>
        <w:rPr>
          <w:rFonts w:hint="eastAsia"/>
          <w:u w:val="single"/>
          <w:lang w:eastAsia="zh-CN"/>
        </w:rPr>
        <w:t>，</w:t>
      </w:r>
      <w:r>
        <w:rPr>
          <w:rFonts w:hint="eastAsia"/>
          <w:u w:val="single"/>
        </w:rPr>
        <w:t>建筑垃圾在线监管率</w:t>
      </w:r>
      <w:r>
        <w:rPr>
          <w:rFonts w:hint="eastAsia"/>
          <w:u w:val="single"/>
          <w:lang w:val="en-US" w:eastAsia="zh-CN"/>
        </w:rPr>
        <w:t>85%</w:t>
      </w:r>
      <w:r>
        <w:rPr>
          <w:rFonts w:hint="eastAsia"/>
          <w:u w:val="single"/>
          <w:lang w:eastAsia="zh-CN"/>
        </w:rPr>
        <w:t>，</w:t>
      </w:r>
      <w:r>
        <w:rPr>
          <w:rFonts w:hint="eastAsia"/>
          <w:u w:val="single"/>
        </w:rPr>
        <w:t>建筑垃圾密闭化运输率</w:t>
      </w:r>
      <w:r>
        <w:rPr>
          <w:rFonts w:hint="eastAsia"/>
          <w:u w:val="single"/>
          <w:lang w:val="en-US" w:eastAsia="zh-CN"/>
        </w:rPr>
        <w:t>100%</w:t>
      </w:r>
      <w:r>
        <w:rPr>
          <w:rFonts w:hint="eastAsia"/>
          <w:u w:val="single"/>
          <w:lang w:eastAsia="zh-CN"/>
        </w:rPr>
        <w:t>，</w:t>
      </w:r>
      <w:r>
        <w:rPr>
          <w:rFonts w:hint="eastAsia"/>
          <w:u w:val="single"/>
        </w:rPr>
        <w:t>新建建筑施工现场建筑垃圾排放量（不包括工程渣土、工程泥浆）≤</w:t>
      </w:r>
      <w:r>
        <w:rPr>
          <w:u w:val="single"/>
        </w:rPr>
        <w:t>300</w:t>
      </w:r>
      <w:r>
        <w:rPr>
          <w:rFonts w:hint="eastAsia"/>
          <w:u w:val="single"/>
        </w:rPr>
        <w:t>吨</w:t>
      </w:r>
      <w:r>
        <w:rPr>
          <w:u w:val="single"/>
        </w:rPr>
        <w:t>/</w:t>
      </w:r>
      <w:r>
        <w:rPr>
          <w:rFonts w:hint="eastAsia"/>
          <w:u w:val="single"/>
        </w:rPr>
        <w:t>万平方米</w:t>
      </w:r>
      <w:r>
        <w:rPr>
          <w:rFonts w:hint="eastAsia"/>
          <w:u w:val="single"/>
          <w:lang w:eastAsia="zh-CN"/>
        </w:rPr>
        <w:t>，</w:t>
      </w:r>
      <w:r>
        <w:rPr>
          <w:rFonts w:hint="eastAsia"/>
          <w:u w:val="single"/>
        </w:rPr>
        <w:t>装配式建筑施工现场建筑垃圾排放量（不包括工程渣土、工程泥浆）≤</w:t>
      </w:r>
      <w:r>
        <w:rPr>
          <w:u w:val="single"/>
        </w:rPr>
        <w:t>200</w:t>
      </w:r>
      <w:r>
        <w:rPr>
          <w:rFonts w:hint="eastAsia"/>
          <w:u w:val="single"/>
        </w:rPr>
        <w:t>吨</w:t>
      </w:r>
      <w:r>
        <w:rPr>
          <w:u w:val="single"/>
        </w:rPr>
        <w:t>/</w:t>
      </w:r>
      <w:r>
        <w:rPr>
          <w:rFonts w:hint="eastAsia"/>
          <w:u w:val="single"/>
        </w:rPr>
        <w:t>万平方米</w:t>
      </w:r>
      <w:r>
        <w:rPr>
          <w:rFonts w:hint="eastAsia"/>
          <w:u w:val="single"/>
          <w:lang w:eastAsia="zh-CN"/>
        </w:rPr>
        <w:t>，</w:t>
      </w:r>
      <w:r>
        <w:rPr>
          <w:rFonts w:hint="eastAsia"/>
          <w:u w:val="single"/>
        </w:rPr>
        <w:t>建筑垃圾运输车辆行驶及装卸记录仪安装率</w:t>
      </w:r>
      <w:r>
        <w:rPr>
          <w:rFonts w:hint="eastAsia"/>
          <w:u w:val="single"/>
          <w:lang w:val="en-US" w:eastAsia="zh-CN"/>
        </w:rPr>
        <w:t>100%。</w:t>
      </w:r>
      <w:r>
        <w:rPr>
          <w:rFonts w:hint="default"/>
          <w:lang w:val="en-US" w:eastAsia="zh-CN"/>
        </w:rPr>
        <w:t>源头减量初见成效，加大处置利用设施建设力度，循环利用体系初步形成，资源化利用和综合利用水平显著提高，系统平台基本建成运行，规章制度有序出台，保障城市安全运行底线。</w:t>
      </w:r>
    </w:p>
    <w:p w14:paraId="6913CE87">
      <w:pPr>
        <w:bidi w:val="0"/>
        <w:rPr>
          <w:rFonts w:hint="eastAsia"/>
          <w:lang w:val="en-US" w:eastAsia="zh-CN"/>
        </w:rPr>
      </w:pPr>
      <w:r>
        <w:rPr>
          <w:rFonts w:hint="eastAsia"/>
          <w:highlight w:val="none"/>
          <w:lang w:val="en-US" w:eastAsia="zh-CN"/>
        </w:rPr>
        <w:t>远期目标：</w:t>
      </w:r>
      <w:bookmarkStart w:id="79" w:name="OLE_LINK8"/>
      <w:r>
        <w:rPr>
          <w:rFonts w:hint="default"/>
          <w:highlight w:val="none"/>
          <w:u w:val="single"/>
          <w:lang w:val="en-US" w:eastAsia="zh-CN"/>
        </w:rPr>
        <w:t>到2035年，建成、运营合规的</w:t>
      </w:r>
      <w:r>
        <w:rPr>
          <w:rFonts w:hint="eastAsia"/>
          <w:highlight w:val="none"/>
          <w:u w:val="single"/>
          <w:lang w:val="en-US" w:eastAsia="zh-CN"/>
        </w:rPr>
        <w:t>建筑垃圾填埋处理厂2处、转运调配厂3处</w:t>
      </w:r>
      <w:r>
        <w:rPr>
          <w:rFonts w:hint="default"/>
          <w:highlight w:val="none"/>
          <w:u w:val="single"/>
          <w:lang w:val="en-US" w:eastAsia="zh-CN"/>
        </w:rPr>
        <w:t>；</w:t>
      </w:r>
      <w:r>
        <w:rPr>
          <w:rFonts w:hint="eastAsia"/>
          <w:highlight w:val="none"/>
          <w:u w:val="single"/>
        </w:rPr>
        <w:t>建筑垃圾安全处置率</w:t>
      </w:r>
      <w:r>
        <w:rPr>
          <w:rFonts w:hint="eastAsia"/>
          <w:highlight w:val="none"/>
          <w:u w:val="single"/>
          <w:lang w:val="en-US" w:eastAsia="zh-CN"/>
        </w:rPr>
        <w:t>100%</w:t>
      </w:r>
      <w:r>
        <w:rPr>
          <w:rFonts w:hint="eastAsia"/>
          <w:highlight w:val="none"/>
          <w:u w:val="single"/>
          <w:lang w:eastAsia="zh-CN"/>
        </w:rPr>
        <w:t>，</w:t>
      </w:r>
      <w:r>
        <w:rPr>
          <w:rFonts w:hint="eastAsia"/>
          <w:highlight w:val="none"/>
          <w:u w:val="single"/>
        </w:rPr>
        <w:t>建筑垃圾综合利用率</w:t>
      </w:r>
      <w:r>
        <w:rPr>
          <w:rFonts w:hint="eastAsia"/>
          <w:highlight w:val="none"/>
          <w:u w:val="single"/>
          <w:lang w:val="en-US" w:eastAsia="zh-CN"/>
        </w:rPr>
        <w:t>95%</w:t>
      </w:r>
      <w:r>
        <w:rPr>
          <w:rFonts w:hint="eastAsia"/>
          <w:highlight w:val="none"/>
          <w:u w:val="single"/>
          <w:lang w:eastAsia="zh-CN"/>
        </w:rPr>
        <w:t>，</w:t>
      </w:r>
      <w:r>
        <w:rPr>
          <w:rFonts w:hint="eastAsia"/>
          <w:highlight w:val="none"/>
          <w:u w:val="single"/>
        </w:rPr>
        <w:t>建筑垃圾资源化利用率</w:t>
      </w:r>
      <w:r>
        <w:rPr>
          <w:rFonts w:hint="eastAsia"/>
          <w:highlight w:val="none"/>
          <w:u w:val="single"/>
          <w:lang w:val="en-US" w:eastAsia="zh-CN"/>
        </w:rPr>
        <w:t>80%</w:t>
      </w:r>
      <w:r>
        <w:rPr>
          <w:rFonts w:hint="eastAsia"/>
          <w:highlight w:val="none"/>
          <w:u w:val="single"/>
          <w:lang w:eastAsia="zh-CN"/>
        </w:rPr>
        <w:t>，</w:t>
      </w:r>
      <w:r>
        <w:rPr>
          <w:rFonts w:hint="eastAsia"/>
          <w:highlight w:val="none"/>
          <w:u w:val="single"/>
        </w:rPr>
        <w:t>建筑垃圾在线监管率</w:t>
      </w:r>
      <w:r>
        <w:rPr>
          <w:rFonts w:hint="eastAsia"/>
          <w:highlight w:val="none"/>
          <w:u w:val="single"/>
          <w:lang w:val="en-US" w:eastAsia="zh-CN"/>
        </w:rPr>
        <w:t>100%</w:t>
      </w:r>
      <w:r>
        <w:rPr>
          <w:rFonts w:hint="eastAsia"/>
          <w:highlight w:val="none"/>
          <w:u w:val="single"/>
          <w:lang w:eastAsia="zh-CN"/>
        </w:rPr>
        <w:t>，</w:t>
      </w:r>
      <w:r>
        <w:rPr>
          <w:rFonts w:hint="eastAsia"/>
          <w:highlight w:val="none"/>
          <w:u w:val="single"/>
        </w:rPr>
        <w:t>建筑垃圾密闭化运输率</w:t>
      </w:r>
      <w:r>
        <w:rPr>
          <w:rFonts w:hint="eastAsia"/>
          <w:highlight w:val="none"/>
          <w:u w:val="single"/>
          <w:lang w:val="en-US" w:eastAsia="zh-CN"/>
        </w:rPr>
        <w:t>100%</w:t>
      </w:r>
      <w:r>
        <w:rPr>
          <w:rFonts w:hint="eastAsia"/>
          <w:highlight w:val="none"/>
          <w:u w:val="single"/>
          <w:lang w:eastAsia="zh-CN"/>
        </w:rPr>
        <w:t>，</w:t>
      </w:r>
      <w:r>
        <w:rPr>
          <w:rFonts w:hint="eastAsia"/>
          <w:highlight w:val="none"/>
          <w:u w:val="single"/>
        </w:rPr>
        <w:t>新建建筑施工现场建筑垃圾排放量（不包括工程渣土、工程泥浆）≤</w:t>
      </w:r>
      <w:r>
        <w:rPr>
          <w:rFonts w:hint="eastAsia"/>
          <w:highlight w:val="none"/>
          <w:u w:val="single"/>
          <w:lang w:val="en-US" w:eastAsia="zh-CN"/>
        </w:rPr>
        <w:t>280</w:t>
      </w:r>
      <w:r>
        <w:rPr>
          <w:rFonts w:hint="eastAsia"/>
          <w:highlight w:val="none"/>
          <w:u w:val="single"/>
        </w:rPr>
        <w:t>吨</w:t>
      </w:r>
      <w:r>
        <w:rPr>
          <w:highlight w:val="none"/>
          <w:u w:val="single"/>
        </w:rPr>
        <w:t>/</w:t>
      </w:r>
      <w:r>
        <w:rPr>
          <w:rFonts w:hint="eastAsia"/>
          <w:highlight w:val="none"/>
          <w:u w:val="single"/>
        </w:rPr>
        <w:t>万平方米</w:t>
      </w:r>
      <w:r>
        <w:rPr>
          <w:rFonts w:hint="eastAsia"/>
          <w:highlight w:val="none"/>
          <w:u w:val="single"/>
          <w:lang w:eastAsia="zh-CN"/>
        </w:rPr>
        <w:t>，</w:t>
      </w:r>
      <w:r>
        <w:rPr>
          <w:rFonts w:hint="eastAsia"/>
          <w:highlight w:val="none"/>
          <w:u w:val="single"/>
        </w:rPr>
        <w:t>装配式建筑施工现场建筑垃圾排放量（不包括工程渣土、工程泥浆）≤</w:t>
      </w:r>
      <w:r>
        <w:rPr>
          <w:highlight w:val="none"/>
          <w:u w:val="single"/>
        </w:rPr>
        <w:t>200</w:t>
      </w:r>
      <w:r>
        <w:rPr>
          <w:rFonts w:hint="eastAsia"/>
          <w:highlight w:val="none"/>
          <w:u w:val="single"/>
        </w:rPr>
        <w:t>吨</w:t>
      </w:r>
      <w:r>
        <w:rPr>
          <w:highlight w:val="none"/>
          <w:u w:val="single"/>
        </w:rPr>
        <w:t>/</w:t>
      </w:r>
      <w:r>
        <w:rPr>
          <w:rFonts w:hint="eastAsia"/>
          <w:highlight w:val="none"/>
          <w:u w:val="single"/>
        </w:rPr>
        <w:t>万平方米</w:t>
      </w:r>
      <w:r>
        <w:rPr>
          <w:rFonts w:hint="eastAsia"/>
          <w:highlight w:val="none"/>
          <w:u w:val="single"/>
          <w:lang w:eastAsia="zh-CN"/>
        </w:rPr>
        <w:t>，</w:t>
      </w:r>
      <w:r>
        <w:rPr>
          <w:rFonts w:hint="eastAsia"/>
          <w:highlight w:val="none"/>
          <w:u w:val="single"/>
        </w:rPr>
        <w:t>建筑垃圾运输车辆行驶及装卸记录仪安装率</w:t>
      </w:r>
      <w:r>
        <w:rPr>
          <w:rFonts w:hint="eastAsia"/>
          <w:highlight w:val="none"/>
          <w:u w:val="single"/>
          <w:lang w:val="en-US" w:eastAsia="zh-CN"/>
        </w:rPr>
        <w:t>100%。</w:t>
      </w:r>
      <w:r>
        <w:rPr>
          <w:rFonts w:hint="default"/>
          <w:highlight w:val="none"/>
          <w:lang w:val="en-US" w:eastAsia="zh-CN"/>
        </w:rPr>
        <w:t>建筑垃圾源头减量成效明显，安全处置设施运行规范，资源化利用设施高效运行，资源化利用再生产品技术标准完善，规章制度管理办法完备，实现全过程数字化监管，形成链条完整、环境友好、良性发展的建筑垃圾产</w:t>
      </w:r>
      <w:r>
        <w:rPr>
          <w:rFonts w:hint="default"/>
          <w:lang w:val="en-US" w:eastAsia="zh-CN"/>
        </w:rPr>
        <w:t>业体系</w:t>
      </w:r>
      <w:r>
        <w:rPr>
          <w:rFonts w:hint="eastAsia"/>
          <w:lang w:val="en-US" w:eastAsia="zh-CN"/>
        </w:rPr>
        <w:t>。</w:t>
      </w:r>
    </w:p>
    <w:bookmarkEnd w:id="76"/>
    <w:p w14:paraId="4FC8A1B7">
      <w:pPr>
        <w:pStyle w:val="3"/>
        <w:bidi w:val="0"/>
        <w:rPr>
          <w:rFonts w:hint="eastAsia" w:ascii="楷体" w:hAnsi="楷体" w:eastAsia="楷体" w:cs="楷体"/>
          <w:sz w:val="28"/>
          <w:szCs w:val="28"/>
          <w:lang w:val="en-US" w:eastAsia="zh-CN"/>
        </w:rPr>
      </w:pPr>
      <w:bookmarkStart w:id="80" w:name="_Toc15022"/>
      <w:r>
        <w:rPr>
          <w:rFonts w:hint="eastAsia" w:ascii="楷体" w:hAnsi="楷体" w:eastAsia="楷体" w:cs="楷体"/>
          <w:sz w:val="28"/>
          <w:szCs w:val="28"/>
          <w:lang w:val="en-US" w:eastAsia="zh-CN"/>
        </w:rPr>
        <w:t>（七）规划名称解释</w:t>
      </w:r>
      <w:bookmarkEnd w:id="80"/>
    </w:p>
    <w:p w14:paraId="27016D5E">
      <w:pPr>
        <w:pStyle w:val="4"/>
        <w:bidi w:val="0"/>
        <w:rPr>
          <w:rFonts w:hint="default"/>
          <w:lang w:val="en-US" w:eastAsia="zh-CN"/>
        </w:rPr>
      </w:pPr>
      <w:r>
        <w:rPr>
          <w:rFonts w:hint="default"/>
          <w:lang w:val="en-US" w:eastAsia="zh-CN"/>
        </w:rPr>
        <w:t>1</w:t>
      </w:r>
      <w:r>
        <w:rPr>
          <w:rFonts w:hint="eastAsia"/>
          <w:lang w:val="en-US" w:eastAsia="zh-CN"/>
        </w:rPr>
        <w:t>、</w:t>
      </w:r>
      <w:r>
        <w:rPr>
          <w:rFonts w:hint="default"/>
          <w:lang w:val="en-US" w:eastAsia="zh-CN"/>
        </w:rPr>
        <w:t>建筑垃圾</w:t>
      </w:r>
    </w:p>
    <w:p w14:paraId="151DF401">
      <w:pPr>
        <w:bidi w:val="0"/>
      </w:pPr>
      <w:r>
        <w:t>本规划所指建筑垃圾是工程渣土、工程泥浆、工程垃圾、拆除垃圾和装修垃圾等五类的总称，包括建设、施工单位新建、改建、扩建和拆除各类建筑物、构筑物、管网等以及居民装饰装修房屋过程中所产生的弃土、弃料及其他废弃物，不包括经检验、鉴定为危险废物的建筑垃圾。</w:t>
      </w:r>
    </w:p>
    <w:p w14:paraId="4055915D">
      <w:pPr>
        <w:pStyle w:val="4"/>
        <w:bidi w:val="0"/>
        <w:rPr>
          <w:rFonts w:hint="default"/>
          <w:lang w:val="en-US" w:eastAsia="zh-CN"/>
        </w:rPr>
      </w:pPr>
      <w:r>
        <w:rPr>
          <w:rFonts w:hint="default"/>
          <w:lang w:val="en-US" w:eastAsia="zh-CN"/>
        </w:rPr>
        <w:t>2</w:t>
      </w:r>
      <w:r>
        <w:rPr>
          <w:rFonts w:hint="eastAsia"/>
          <w:lang w:val="en-US" w:eastAsia="zh-CN"/>
        </w:rPr>
        <w:t>、</w:t>
      </w:r>
      <w:r>
        <w:rPr>
          <w:rFonts w:hint="default"/>
          <w:lang w:val="en-US" w:eastAsia="zh-CN"/>
        </w:rPr>
        <w:t>工程渣土</w:t>
      </w:r>
    </w:p>
    <w:p w14:paraId="322EC006">
      <w:pPr>
        <w:bidi w:val="0"/>
        <w:rPr>
          <w:rFonts w:hint="default"/>
          <w:lang w:val="en-US" w:eastAsia="zh-CN"/>
        </w:rPr>
      </w:pPr>
      <w:r>
        <w:rPr>
          <w:rFonts w:hint="default"/>
          <w:lang w:val="en-US" w:eastAsia="zh-CN"/>
        </w:rPr>
        <w:t>各类建</w:t>
      </w:r>
      <w:bookmarkStart w:id="81" w:name="OLE_LINK9"/>
      <w:r>
        <w:rPr>
          <w:rFonts w:hint="default"/>
          <w:lang w:val="en-US" w:eastAsia="zh-CN"/>
        </w:rPr>
        <w:t>筑物、构筑物、管网等基础开挖过程中产生的弃土。</w:t>
      </w:r>
    </w:p>
    <w:p w14:paraId="0B059514">
      <w:pPr>
        <w:pStyle w:val="4"/>
        <w:bidi w:val="0"/>
      </w:pPr>
      <w:r>
        <w:rPr>
          <w:rFonts w:hint="eastAsia"/>
          <w:lang w:val="en-US" w:eastAsia="zh-CN"/>
        </w:rPr>
        <w:t>3、</w:t>
      </w:r>
      <w:r>
        <w:t>工程泥浆</w:t>
      </w:r>
    </w:p>
    <w:p w14:paraId="460D1E9C">
      <w:pPr>
        <w:bidi w:val="0"/>
      </w:pPr>
      <w:r>
        <w:t>钻孔桩基施工、地下连续墙施工、泥水盾构施工、水平定向钻及泥水顶管等施工产生的泥浆。</w:t>
      </w:r>
    </w:p>
    <w:bookmarkEnd w:id="81"/>
    <w:p w14:paraId="4801FAD5">
      <w:pPr>
        <w:pStyle w:val="4"/>
        <w:bidi w:val="0"/>
        <w:rPr>
          <w:rFonts w:hint="default"/>
          <w:lang w:val="en-US" w:eastAsia="zh-CN"/>
        </w:rPr>
      </w:pPr>
      <w:r>
        <w:rPr>
          <w:rFonts w:hint="eastAsia"/>
          <w:lang w:val="en-US" w:eastAsia="zh-CN"/>
        </w:rPr>
        <w:t>4、</w:t>
      </w:r>
      <w:r>
        <w:rPr>
          <w:rFonts w:hint="default"/>
          <w:lang w:val="en-US" w:eastAsia="zh-CN"/>
        </w:rPr>
        <w:t>工程垃圾</w:t>
      </w:r>
    </w:p>
    <w:p w14:paraId="6D1B9CE6">
      <w:pPr>
        <w:bidi w:val="0"/>
        <w:rPr>
          <w:rFonts w:hint="default"/>
          <w:lang w:val="en-US" w:eastAsia="zh-CN"/>
        </w:rPr>
      </w:pPr>
      <w:r>
        <w:rPr>
          <w:rFonts w:hint="default"/>
          <w:lang w:val="en-US" w:eastAsia="zh-CN"/>
        </w:rPr>
        <w:t>各类建筑物、构筑物等建设过程中产生的弃料。</w:t>
      </w:r>
    </w:p>
    <w:p w14:paraId="648C30CF">
      <w:pPr>
        <w:pStyle w:val="4"/>
        <w:bidi w:val="0"/>
        <w:rPr>
          <w:rFonts w:hint="default"/>
          <w:lang w:val="en-US" w:eastAsia="zh-CN"/>
        </w:rPr>
      </w:pPr>
      <w:r>
        <w:rPr>
          <w:rFonts w:hint="default"/>
          <w:lang w:val="en-US" w:eastAsia="zh-CN"/>
        </w:rPr>
        <w:t>5</w:t>
      </w:r>
      <w:r>
        <w:rPr>
          <w:rFonts w:hint="eastAsia"/>
          <w:lang w:val="en-US" w:eastAsia="zh-CN"/>
        </w:rPr>
        <w:t>、</w:t>
      </w:r>
      <w:r>
        <w:rPr>
          <w:rFonts w:hint="default"/>
          <w:lang w:val="en-US" w:eastAsia="zh-CN"/>
        </w:rPr>
        <w:t>拆除垃圾</w:t>
      </w:r>
    </w:p>
    <w:p w14:paraId="156B929B">
      <w:pPr>
        <w:bidi w:val="0"/>
        <w:rPr>
          <w:rFonts w:hint="default"/>
          <w:lang w:val="en-US" w:eastAsia="zh-CN"/>
        </w:rPr>
      </w:pPr>
      <w:r>
        <w:rPr>
          <w:rFonts w:hint="default"/>
          <w:lang w:val="en-US" w:eastAsia="zh-CN"/>
        </w:rPr>
        <w:t>各类建筑物、构筑物等拆除过程中产生的弃料。</w:t>
      </w:r>
    </w:p>
    <w:p w14:paraId="3C4913AB">
      <w:pPr>
        <w:pStyle w:val="4"/>
        <w:bidi w:val="0"/>
        <w:rPr>
          <w:rFonts w:hint="default"/>
          <w:lang w:val="en-US" w:eastAsia="zh-CN"/>
        </w:rPr>
      </w:pPr>
      <w:r>
        <w:rPr>
          <w:rFonts w:hint="default"/>
          <w:lang w:val="en-US" w:eastAsia="zh-CN"/>
        </w:rPr>
        <w:t>6</w:t>
      </w:r>
      <w:r>
        <w:rPr>
          <w:rFonts w:hint="eastAsia"/>
          <w:lang w:val="en-US" w:eastAsia="zh-CN"/>
        </w:rPr>
        <w:t>、</w:t>
      </w:r>
      <w:r>
        <w:rPr>
          <w:rFonts w:hint="default"/>
          <w:lang w:val="en-US" w:eastAsia="zh-CN"/>
        </w:rPr>
        <w:t>装修垃圾</w:t>
      </w:r>
    </w:p>
    <w:p w14:paraId="79D1A4EB">
      <w:pPr>
        <w:bidi w:val="0"/>
        <w:rPr>
          <w:rFonts w:hint="default"/>
          <w:lang w:val="en-US" w:eastAsia="zh-CN"/>
        </w:rPr>
      </w:pPr>
      <w:r>
        <w:rPr>
          <w:rFonts w:hint="default"/>
          <w:lang w:val="en-US" w:eastAsia="zh-CN"/>
        </w:rPr>
        <w:t>装饰装修房屋中产生的废弃物。</w:t>
      </w:r>
    </w:p>
    <w:p w14:paraId="00895A98">
      <w:pPr>
        <w:pStyle w:val="4"/>
        <w:bidi w:val="0"/>
      </w:pPr>
      <w:r>
        <w:rPr>
          <w:rFonts w:hint="eastAsia"/>
          <w:lang w:val="en-US" w:eastAsia="zh-CN"/>
        </w:rPr>
        <w:t>7</w:t>
      </w:r>
      <w:r>
        <w:t>、分类收集点</w:t>
      </w:r>
    </w:p>
    <w:p w14:paraId="3C35CB95">
      <w:pPr>
        <w:bidi w:val="0"/>
      </w:pPr>
      <w:r>
        <w:t>主要用于收集居民区装饰、维修及拆除等过程中产生的装修垃圾。</w:t>
      </w:r>
    </w:p>
    <w:p w14:paraId="4395013B">
      <w:pPr>
        <w:pStyle w:val="4"/>
        <w:bidi w:val="0"/>
        <w:rPr>
          <w:rFonts w:hint="default"/>
          <w:lang w:val="en-US" w:eastAsia="zh-CN"/>
        </w:rPr>
      </w:pPr>
      <w:r>
        <w:rPr>
          <w:rFonts w:hint="default"/>
          <w:lang w:val="en-US" w:eastAsia="zh-CN"/>
        </w:rPr>
        <w:t>8</w:t>
      </w:r>
      <w:r>
        <w:rPr>
          <w:rFonts w:hint="eastAsia"/>
          <w:lang w:val="en-US" w:eastAsia="zh-CN"/>
        </w:rPr>
        <w:t>、建筑垃圾</w:t>
      </w:r>
      <w:r>
        <w:rPr>
          <w:rFonts w:hint="default"/>
          <w:lang w:val="en-US" w:eastAsia="zh-CN"/>
        </w:rPr>
        <w:t>资源化利用</w:t>
      </w:r>
    </w:p>
    <w:p w14:paraId="7F7B78EB">
      <w:pPr>
        <w:bidi w:val="0"/>
        <w:rPr>
          <w:rFonts w:hint="default"/>
          <w:lang w:val="en-US" w:eastAsia="zh-CN"/>
        </w:rPr>
      </w:pPr>
      <w:bookmarkStart w:id="82" w:name="OLE_LINK10"/>
      <w:r>
        <w:rPr>
          <w:rFonts w:hint="default"/>
          <w:lang w:val="en-US" w:eastAsia="zh-CN"/>
        </w:rPr>
        <w:t>建筑垃圾经处理转化成有用物质的方法</w:t>
      </w:r>
      <w:bookmarkEnd w:id="82"/>
      <w:r>
        <w:rPr>
          <w:rFonts w:hint="eastAsia"/>
          <w:lang w:val="en-US" w:eastAsia="zh-CN"/>
        </w:rPr>
        <w:t>。</w:t>
      </w:r>
    </w:p>
    <w:p w14:paraId="5BE1EF6D">
      <w:pPr>
        <w:pStyle w:val="4"/>
        <w:bidi w:val="0"/>
        <w:rPr>
          <w:lang w:eastAsia="en-US"/>
        </w:rPr>
      </w:pPr>
      <w:r>
        <w:rPr>
          <w:rFonts w:hint="eastAsia"/>
          <w:lang w:val="en-US" w:eastAsia="zh-CN"/>
        </w:rPr>
        <w:t>9</w:t>
      </w:r>
      <w:r>
        <w:rPr>
          <w:lang w:eastAsia="en-US"/>
        </w:rPr>
        <w:t>、建筑垃圾资源化利用率</w:t>
      </w:r>
    </w:p>
    <w:p w14:paraId="10D8C31F">
      <w:pPr>
        <w:bidi w:val="0"/>
        <w:rPr>
          <w:lang w:eastAsia="en-US"/>
        </w:rPr>
      </w:pPr>
      <w:r>
        <w:rPr>
          <w:lang w:eastAsia="en-US"/>
        </w:rPr>
        <w:t>指建筑垃圾资源化利</w:t>
      </w:r>
      <w:r>
        <w:rPr>
          <w:rFonts w:hint="eastAsia"/>
          <w:lang w:eastAsia="zh-CN"/>
        </w:rPr>
        <w:t>用</w:t>
      </w:r>
      <w:r>
        <w:rPr>
          <w:lang w:eastAsia="en-US"/>
        </w:rPr>
        <w:t>、再生利用量占建筑垃圾产生量的比例。计算公式：建筑垃圾资源化利用利率（%）=工程垃圾、拆除垃圾、装修垃圾利用总量÷工程垃圾、拆除垃圾、装修垃圾产生总量× 100%。</w:t>
      </w:r>
    </w:p>
    <w:p w14:paraId="572C69C0">
      <w:pPr>
        <w:pStyle w:val="4"/>
        <w:bidi w:val="0"/>
        <w:rPr>
          <w:lang w:eastAsia="en-US"/>
        </w:rPr>
      </w:pPr>
      <w:r>
        <w:rPr>
          <w:rFonts w:hint="eastAsia"/>
          <w:lang w:val="en-US" w:eastAsia="zh-CN"/>
        </w:rPr>
        <w:t>10</w:t>
      </w:r>
      <w:r>
        <w:rPr>
          <w:lang w:eastAsia="en-US"/>
        </w:rPr>
        <w:t>、建筑垃圾综合利用率</w:t>
      </w:r>
    </w:p>
    <w:p w14:paraId="4CA5D3F5">
      <w:pPr>
        <w:bidi w:val="0"/>
        <w:rPr>
          <w:rFonts w:hint="eastAsia"/>
        </w:rPr>
      </w:pPr>
      <w:r>
        <w:rPr>
          <w:lang w:eastAsia="en-US"/>
        </w:rPr>
        <w:t>建筑垃圾回填利用、资源化利用、再</w:t>
      </w:r>
      <w:bookmarkEnd w:id="79"/>
      <w:r>
        <w:rPr>
          <w:rFonts w:hint="eastAsia"/>
        </w:rPr>
        <w:t>生利用量占建筑垃圾总产生量的比例。计算公式：建筑垃圾综合利用利率（%）=建筑垃圾综合利用总量÷建筑垃圾产生总量×100%。</w:t>
      </w:r>
    </w:p>
    <w:p w14:paraId="42000EA8">
      <w:pPr>
        <w:pStyle w:val="4"/>
        <w:bidi w:val="0"/>
        <w:rPr>
          <w:rFonts w:hint="eastAsia"/>
        </w:rPr>
      </w:pPr>
      <w:r>
        <w:rPr>
          <w:rFonts w:hint="default"/>
          <w:lang w:val="en-US" w:eastAsia="zh-CN"/>
        </w:rPr>
        <w:t>1</w:t>
      </w:r>
      <w:r>
        <w:rPr>
          <w:rFonts w:hint="eastAsia"/>
          <w:lang w:val="en-US" w:eastAsia="zh-CN"/>
        </w:rPr>
        <w:t>1、</w:t>
      </w:r>
      <w:r>
        <w:rPr>
          <w:rFonts w:hint="eastAsia"/>
        </w:rPr>
        <w:t>中心城区</w:t>
      </w:r>
    </w:p>
    <w:p w14:paraId="43634327">
      <w:pPr>
        <w:bidi w:val="0"/>
        <w:rPr>
          <w:rFonts w:hint="eastAsia"/>
        </w:rPr>
      </w:pPr>
      <w:r>
        <w:rPr>
          <w:rFonts w:hint="eastAsia"/>
        </w:rPr>
        <w:t>县城建成区及规划扩展区域，东至崆峒村、南抵近桃社区、西达浮邱山大道、北至牛潭河社区，总面积37.27平方公里。</w:t>
      </w:r>
    </w:p>
    <w:p w14:paraId="60CBF8A9">
      <w:pPr>
        <w:pStyle w:val="2"/>
        <w:bidi w:val="0"/>
        <w:rPr>
          <w:rFonts w:hint="eastAsia"/>
        </w:rPr>
      </w:pPr>
      <w:bookmarkStart w:id="83" w:name="_Toc31999"/>
      <w:r>
        <w:rPr>
          <w:rFonts w:hint="eastAsia"/>
        </w:rPr>
        <w:t>二、区域概况及相关规划</w:t>
      </w:r>
      <w:bookmarkEnd w:id="83"/>
    </w:p>
    <w:p w14:paraId="1FA785AF">
      <w:pPr>
        <w:pStyle w:val="3"/>
        <w:bidi w:val="0"/>
        <w:rPr>
          <w:rFonts w:hint="eastAsia" w:ascii="楷体" w:hAnsi="楷体" w:eastAsia="楷体" w:cs="楷体"/>
          <w:sz w:val="28"/>
          <w:szCs w:val="28"/>
        </w:rPr>
      </w:pPr>
      <w:bookmarkStart w:id="84" w:name="_Toc17242"/>
      <w:r>
        <w:rPr>
          <w:rFonts w:hint="eastAsia" w:ascii="楷体" w:hAnsi="楷体" w:eastAsia="楷体" w:cs="楷体"/>
          <w:sz w:val="28"/>
          <w:szCs w:val="28"/>
        </w:rPr>
        <w:t>（一）区域概况</w:t>
      </w:r>
      <w:bookmarkEnd w:id="84"/>
    </w:p>
    <w:p w14:paraId="0E63D9A6">
      <w:pPr>
        <w:bidi w:val="0"/>
        <w:rPr>
          <w:rFonts w:hint="eastAsia"/>
        </w:rPr>
      </w:pPr>
      <w:r>
        <w:rPr>
          <w:rFonts w:hint="eastAsia"/>
        </w:rPr>
        <w:t>桃江县位于湖南省益阳市中部偏北，地处资水中下游。东与益阳市赫山区相抵，南与宁乡市接壤，西、西南与安化县相连，西北与常德市鼎城区相接，北与汉寿县共壤，东北与益阳市资阳区相接，东西长73.3千米，南北宽51.5千米，总面积2068平方公里。全县现辖15个乡镇，包括13个镇、1个乡、1个民族乡，县政府驻桃花江镇。</w:t>
      </w:r>
    </w:p>
    <w:p w14:paraId="73C27EBF">
      <w:pPr>
        <w:bidi w:val="0"/>
        <w:rPr>
          <w:rFonts w:hint="eastAsia"/>
        </w:rPr>
      </w:pPr>
      <w:r>
        <w:rPr>
          <w:rFonts w:hint="eastAsia"/>
        </w:rPr>
        <w:t>桃江县属中亚热带大陆季风湿润气候区，其特点是：冬冷期短，夏热期长，春温多变，雨季明显，夏秋多旱，四季分明。年平均气温16.6℃，极端最高温度40℃，极端最低温度-15.5℃；年日照数1583.9小时，太阳总辐射量102.7千卡/cm</w:t>
      </w:r>
      <w:r>
        <w:rPr>
          <w:rFonts w:hint="eastAsia"/>
          <w:vertAlign w:val="superscript"/>
        </w:rPr>
        <w:t>2</w:t>
      </w:r>
      <w:r>
        <w:rPr>
          <w:rFonts w:hint="eastAsia"/>
        </w:rPr>
        <w:t>,</w:t>
      </w:r>
      <w:r>
        <w:rPr>
          <w:rFonts w:hint="eastAsia"/>
        </w:rPr>
        <w:tab/>
      </w:r>
      <w:r>
        <w:rPr>
          <w:rFonts w:hint="eastAsia"/>
        </w:rPr>
        <w:t>无霜期263天。平均年降雨量1566毫米，雨季集中在4-6月份，占全年降水总量的42%，7-9月份偏少，占24%，全县年降水总量为33亿立方米，地面蒸发量14.4亿立方米，地表径流18.8亿立方米，平均水温17.2℃，最高水温28.6℃，最低水温2℃，平均干燥度0.9，相对湿度82%。光热资源充足，温度适宜，雨量充沛。</w:t>
      </w:r>
    </w:p>
    <w:p w14:paraId="73450814">
      <w:pPr>
        <w:bidi w:val="0"/>
        <w:rPr>
          <w:rFonts w:hint="eastAsia"/>
        </w:rPr>
      </w:pPr>
      <w:r>
        <w:rPr>
          <w:rFonts w:hint="eastAsia"/>
        </w:rPr>
        <w:t>桃江县境内山丘环绕，岭谷并列，东北狭窄开口。最高海拔917.5米，最低海拔29米。地貌以山丘地岗地为主，其中山地占27.26%，丘陵占29.46%，岗地占14.7%，平原占26.35%，水面占2.22%。县域呈“六山一水二份田，一份道路和庄园”的格局。资江流经县境‌102公里‌，形成桃花江竹海、浮邱山、羞女峰等20余处自然景观。森林覆盖率‌64.15%‌，野生动植物达1584种，拥有‌桃花江国家森林公园‌、羞女湖国家湿地公园等生态保护区‌。有楠竹面积‌115万亩‌（全国第三），竹凉席、竹笋、绿茶获国家地理标志认证。现已探明有陶粒板岩、花岗石、锑等25种矿产，花岗石、石灰石储量居全国前列。建有3座大型水电站及风电场，是全国绿色能源示范县。素有“美人窝”、“楠竹之乡”、“茶叶之乡”、“建材之乡”等美誉。</w:t>
      </w:r>
    </w:p>
    <w:p w14:paraId="00F0BE78">
      <w:pPr>
        <w:bidi w:val="0"/>
        <w:rPr>
          <w:rFonts w:hint="eastAsia"/>
        </w:rPr>
      </w:pPr>
      <w:r>
        <w:rPr>
          <w:rFonts w:hint="eastAsia"/>
        </w:rPr>
        <w:t>2025年全县总人口约‌85.26万‌，常住人口67.52万‌。2024年实现地区生产总值348.4亿元左右，增长5%；固定资产投资增长7%左右，实现社会消费品零售总额145.5亿元左右，增长6.5%；完成地方一般公共预算收入11.75亿元左右增长7.5%；实现全体居民人均可支配收入31387.6元左右，增长4.8%，综合发展水平实现新提升，加快高质量发展迎来新局面。</w:t>
      </w:r>
    </w:p>
    <w:p w14:paraId="509D0C7D">
      <w:pPr>
        <w:pStyle w:val="3"/>
        <w:bidi w:val="0"/>
        <w:rPr>
          <w:rFonts w:hint="eastAsia" w:ascii="楷体" w:hAnsi="楷体" w:eastAsia="楷体" w:cs="楷体"/>
          <w:sz w:val="28"/>
          <w:szCs w:val="28"/>
        </w:rPr>
      </w:pPr>
      <w:bookmarkStart w:id="85" w:name="_Toc26834"/>
      <w:r>
        <w:rPr>
          <w:rFonts w:hint="eastAsia" w:ascii="楷体" w:hAnsi="楷体" w:eastAsia="楷体" w:cs="楷体"/>
          <w:sz w:val="28"/>
          <w:szCs w:val="28"/>
        </w:rPr>
        <w:t>（二）相关规划分析</w:t>
      </w:r>
      <w:bookmarkEnd w:id="85"/>
    </w:p>
    <w:p w14:paraId="29D8952E">
      <w:pPr>
        <w:pageBreakBefore w:val="0"/>
        <w:kinsoku/>
        <w:wordWrap w:val="0"/>
        <w:overflowPunct/>
        <w:topLinePunct w:val="0"/>
        <w:autoSpaceDE/>
        <w:autoSpaceDN/>
        <w:bidi w:val="0"/>
        <w:adjustRightInd/>
        <w:snapToGrid/>
        <w:ind w:firstLine="560"/>
        <w:rPr>
          <w:rFonts w:hint="eastAsia" w:cs="Times New Roman"/>
          <w:szCs w:val="28"/>
        </w:rPr>
      </w:pPr>
      <w:r>
        <w:rPr>
          <w:rFonts w:hint="eastAsia" w:cs="Times New Roman"/>
          <w:szCs w:val="28"/>
        </w:rPr>
        <w:t>《湖南省人民政府办公厅关于加强城市建筑垃圾管理促进资源化利用的意见》（湘政办发〔2019〕4号）要求：</w:t>
      </w:r>
      <w:r>
        <w:rPr>
          <w:rFonts w:hint="eastAsia" w:cs="Times New Roman"/>
          <w:b/>
          <w:bCs/>
          <w:szCs w:val="28"/>
        </w:rPr>
        <w:t>推进源头减量。</w:t>
      </w:r>
      <w:r>
        <w:rPr>
          <w:rFonts w:hint="eastAsia" w:cs="Times New Roman"/>
          <w:szCs w:val="28"/>
        </w:rPr>
        <w:t>工程建设单位要将建筑垃圾运输和处置费用纳入工程预算，工程施工单位应估测建筑垃圾产生量并编制处置方案。工程设计单位、施工单位应按有关规定，优化建筑设计，科学组织施工，优先就地利用、就地减量，在地形整理、工程填垫等环节合理利用建筑垃圾，鼓励和支持采用铝合金模板、装配式建筑、精装修住宅，从源头降低建筑施工和房屋装修建筑垃圾产生。</w:t>
      </w:r>
      <w:r>
        <w:rPr>
          <w:rFonts w:hint="eastAsia" w:cs="Times New Roman"/>
          <w:b/>
          <w:bCs/>
          <w:szCs w:val="28"/>
        </w:rPr>
        <w:t>推进资源化利用处置基地规划建设。</w:t>
      </w:r>
      <w:r>
        <w:rPr>
          <w:rFonts w:hint="eastAsia" w:cs="Times New Roman"/>
          <w:szCs w:val="28"/>
        </w:rPr>
        <w:t>各级人民政府要根据区域建筑垃圾产生量，按照资源就近利用原则，合理安排建筑垃圾资源化利用企业的布局、用地和规模，</w:t>
      </w:r>
      <w:r>
        <w:rPr>
          <w:rFonts w:hint="eastAsia" w:cs="Times New Roman"/>
          <w:szCs w:val="28"/>
          <w:lang w:val="en-US" w:eastAsia="zh-CN"/>
        </w:rPr>
        <w:t>在</w:t>
      </w:r>
      <w:r>
        <w:rPr>
          <w:rFonts w:hint="eastAsia" w:cs="Times New Roman"/>
          <w:szCs w:val="28"/>
          <w:lang w:eastAsia="zh-CN"/>
        </w:rPr>
        <w:t>国土空间规划</w:t>
      </w:r>
      <w:r>
        <w:rPr>
          <w:rFonts w:hint="eastAsia" w:cs="Times New Roman"/>
          <w:szCs w:val="28"/>
          <w:lang w:val="en-US" w:eastAsia="zh-CN"/>
        </w:rPr>
        <w:t>的框架内</w:t>
      </w:r>
      <w:r>
        <w:rPr>
          <w:rFonts w:hint="eastAsia" w:cs="Times New Roman"/>
          <w:szCs w:val="28"/>
        </w:rPr>
        <w:t>科学编制建筑垃圾资源化利用发展规划，确保建筑垃圾资源化利用的科学性和有效性。</w:t>
      </w:r>
      <w:r>
        <w:rPr>
          <w:rFonts w:hint="eastAsia" w:cs="Times New Roman"/>
          <w:b/>
          <w:bCs/>
          <w:szCs w:val="28"/>
        </w:rPr>
        <w:t>加快</w:t>
      </w:r>
      <w:r>
        <w:rPr>
          <w:rFonts w:hint="eastAsia" w:cs="Times New Roman"/>
          <w:b/>
          <w:bCs/>
          <w:szCs w:val="28"/>
          <w:highlight w:val="none"/>
        </w:rPr>
        <w:t>建设</w:t>
      </w:r>
      <w:r>
        <w:rPr>
          <w:rFonts w:hint="eastAsia" w:cs="Times New Roman"/>
          <w:b/>
          <w:bCs/>
          <w:szCs w:val="28"/>
        </w:rPr>
        <w:t>垃圾资源化利用设施。</w:t>
      </w:r>
      <w:r>
        <w:rPr>
          <w:rFonts w:hint="eastAsia" w:cs="Times New Roman"/>
          <w:szCs w:val="28"/>
        </w:rPr>
        <w:t>建筑垃圾消纳或资源化利用设施是重要的市政基础设施。各地要根据建筑垃圾产生量及其分布，合理规划布局建筑垃圾资源化利用设施，满足城市建筑垃圾资源化利用要求。采取固定与移动、厂区和现场相结合的资源化利用处置方式，尽可能实现就地处理、就地就近回用，最大限度地降低运输成本。建筑垃圾资源化处置设施要严格控制废气、废水、粉尘、噪音污染，符合环境保护要求。</w:t>
      </w:r>
    </w:p>
    <w:p w14:paraId="151CAFA0">
      <w:pPr>
        <w:pageBreakBefore w:val="0"/>
        <w:kinsoku/>
        <w:wordWrap w:val="0"/>
        <w:overflowPunct/>
        <w:topLinePunct w:val="0"/>
        <w:autoSpaceDE/>
        <w:autoSpaceDN/>
        <w:bidi w:val="0"/>
        <w:adjustRightInd/>
        <w:snapToGrid/>
        <w:ind w:firstLine="560"/>
        <w:rPr>
          <w:rFonts w:hint="eastAsia" w:cs="Times New Roman"/>
          <w:szCs w:val="28"/>
        </w:rPr>
      </w:pPr>
      <w:r>
        <w:rPr>
          <w:rFonts w:hint="eastAsia" w:cs="Times New Roman"/>
          <w:szCs w:val="28"/>
        </w:rPr>
        <w:t>《湖南省人民政府办公厅关于印发&lt;湖南省“十四五”生态环境保护规划&gt;的通知》（湘政办发〔2021〕61号）要求：</w:t>
      </w:r>
      <w:r>
        <w:rPr>
          <w:rFonts w:hint="eastAsia" w:cs="Times New Roman"/>
          <w:b/>
          <w:bCs/>
          <w:szCs w:val="28"/>
        </w:rPr>
        <w:t>推动建筑垃圾资源化利用。</w:t>
      </w:r>
      <w:r>
        <w:rPr>
          <w:rFonts w:hint="eastAsia" w:cs="Times New Roman"/>
          <w:szCs w:val="28"/>
        </w:rPr>
        <w:t>推动构建建筑垃圾资源化利用标准体系，形成建筑垃圾处理处置、再生材料研发、生产及利用等方面自主知识产权，打通建筑垃圾到再生材料之间的技术壁垒。推动建立省级建筑垃圾资源化示范城市、资源化示范工程、资源化利用基地，全面提升建筑垃圾资源化率。到2025年，建筑垃圾资源化率达到50%以上，建成2—3个省级建筑垃圾资源化示范城市，建成10个以上建筑垃圾资源化示范工程，建设30个建筑垃圾资源化利用基地。</w:t>
      </w:r>
    </w:p>
    <w:p w14:paraId="3CB4D992">
      <w:pPr>
        <w:pageBreakBefore w:val="0"/>
        <w:kinsoku/>
        <w:wordWrap w:val="0"/>
        <w:overflowPunct/>
        <w:topLinePunct w:val="0"/>
        <w:autoSpaceDE/>
        <w:autoSpaceDN/>
        <w:bidi w:val="0"/>
        <w:adjustRightInd/>
        <w:snapToGrid/>
        <w:ind w:firstLine="560"/>
        <w:rPr>
          <w:rFonts w:hint="eastAsia" w:cs="Times New Roman"/>
          <w:b/>
          <w:bCs/>
          <w:szCs w:val="28"/>
        </w:rPr>
      </w:pPr>
      <w:r>
        <w:rPr>
          <w:rFonts w:hint="eastAsia" w:cs="Times New Roman"/>
          <w:szCs w:val="28"/>
        </w:rPr>
        <w:t>《湖南省住房和城乡建设厅关于印发&lt;湖南省城市建筑垃圾管理实施细则&gt;的通知》（湘建建〔2024〕9号）要求：各市州、县市区人民政府市容环境卫生主管部门或住房城乡建设部门负责</w:t>
      </w:r>
      <w:r>
        <w:rPr>
          <w:rFonts w:hint="eastAsia" w:cs="Times New Roman"/>
          <w:b/>
          <w:bCs/>
          <w:szCs w:val="28"/>
        </w:rPr>
        <w:t>牵头本行政区域内建筑垃圾管理和资源化利用工作，建立健全本级协同监管工作机制。</w:t>
      </w:r>
    </w:p>
    <w:p w14:paraId="4985D3EC">
      <w:pPr>
        <w:pageBreakBefore w:val="0"/>
        <w:kinsoku/>
        <w:wordWrap w:val="0"/>
        <w:overflowPunct/>
        <w:topLinePunct w:val="0"/>
        <w:autoSpaceDE/>
        <w:autoSpaceDN/>
        <w:bidi w:val="0"/>
        <w:adjustRightInd/>
        <w:snapToGrid/>
        <w:ind w:firstLine="560"/>
        <w:rPr>
          <w:rFonts w:hint="eastAsia" w:cs="Times New Roman"/>
          <w:szCs w:val="28"/>
        </w:rPr>
      </w:pPr>
      <w:r>
        <w:rPr>
          <w:rFonts w:hint="eastAsia" w:cs="Times New Roman"/>
          <w:szCs w:val="28"/>
        </w:rPr>
        <w:t>《湖南省住房和城乡建设厅关于印发&lt;城市建筑垃圾污染环境防治工作规划编制大纲&gt;的通知》（湘建执函〔2025〕109号）要求：科学、合理指定规划，</w:t>
      </w:r>
      <w:r>
        <w:rPr>
          <w:rFonts w:hint="eastAsia" w:cs="Times New Roman"/>
          <w:b/>
          <w:bCs/>
          <w:szCs w:val="28"/>
        </w:rPr>
        <w:t>提高建筑垃圾处理资源化、减量化、无害化水平，</w:t>
      </w:r>
      <w:r>
        <w:rPr>
          <w:rFonts w:hint="eastAsia" w:cs="Times New Roman"/>
          <w:szCs w:val="28"/>
        </w:rPr>
        <w:t>逐步建立县域统筹、布局合理、技术先进、资源得到有效利用的建筑垃圾处理体系；构建规范有序、安全卫生、全程可控的建筑垃圾收运系统；形成链条完整、环境友好良性发展的建筑垃圾产业体系。</w:t>
      </w:r>
    </w:p>
    <w:p w14:paraId="6677342B">
      <w:pPr>
        <w:pageBreakBefore w:val="0"/>
        <w:kinsoku/>
        <w:wordWrap w:val="0"/>
        <w:overflowPunct/>
        <w:topLinePunct w:val="0"/>
        <w:autoSpaceDE/>
        <w:autoSpaceDN/>
        <w:bidi w:val="0"/>
        <w:adjustRightInd/>
        <w:snapToGrid/>
        <w:ind w:firstLine="560"/>
        <w:rPr>
          <w:rFonts w:hint="eastAsia" w:cs="Times New Roman"/>
          <w:szCs w:val="28"/>
        </w:rPr>
      </w:pPr>
      <w:r>
        <w:rPr>
          <w:rFonts w:hint="eastAsia" w:cs="Times New Roman"/>
          <w:szCs w:val="28"/>
        </w:rPr>
        <w:t>《桃江县国土空间总体规划（2021—2035年）》提出：　本次规划范围为桃江县行政辖区全域国土空间，分为县域和中心城区2个空间层次。</w:t>
      </w:r>
      <w:r>
        <w:rPr>
          <w:rFonts w:hint="eastAsia" w:cs="Times New Roman"/>
          <w:b/>
          <w:bCs/>
          <w:szCs w:val="28"/>
        </w:rPr>
        <w:t>县域层次：</w:t>
      </w:r>
      <w:r>
        <w:rPr>
          <w:rFonts w:hint="eastAsia" w:cs="Times New Roman"/>
          <w:szCs w:val="28"/>
        </w:rPr>
        <w:t>桃江县行政管辖范围，总面积2068.15平方公里。</w:t>
      </w:r>
      <w:r>
        <w:rPr>
          <w:rFonts w:hint="eastAsia" w:cs="Times New Roman"/>
          <w:b/>
          <w:bCs/>
          <w:szCs w:val="28"/>
        </w:rPr>
        <w:t>中心城区层次：</w:t>
      </w:r>
      <w:r>
        <w:rPr>
          <w:rFonts w:hint="eastAsia" w:cs="Times New Roman"/>
          <w:szCs w:val="28"/>
        </w:rPr>
        <w:t>县城建成区及规划扩展区域，东至崆峒村、南抵近桃社区、西达浮邱山大道、北至牛潭河社区，总面积37.27平方公里。统筹各类资源要素配置，积极融入益沅桃城镇群和长株潭都市圈，科学布局生产、生活、生态空间，聚焦《桃江县国民经济和社会发展第十四个五年规划和2035年远景目标纲要》发展战略与定位，突出“楠竹之乡”城市特色，将桃江建设成为千亿竹产业核心引领区、环长株潭“竹美”文旅康养城市、益阳城市副中心。落实主体功能区优化战略，构建</w:t>
      </w:r>
      <w:r>
        <w:rPr>
          <w:rFonts w:hint="eastAsia" w:cs="Times New Roman"/>
          <w:b/>
          <w:bCs/>
          <w:szCs w:val="28"/>
        </w:rPr>
        <w:t>“一体两翼四轴，一链两屏三区”</w:t>
      </w:r>
      <w:r>
        <w:rPr>
          <w:rFonts w:hint="eastAsia" w:cs="Times New Roman"/>
          <w:szCs w:val="28"/>
        </w:rPr>
        <w:t>的县域国土空间总体格局。</w:t>
      </w:r>
      <w:r>
        <w:rPr>
          <w:rFonts w:hint="eastAsia" w:cs="Times New Roman"/>
          <w:b/>
          <w:bCs/>
          <w:szCs w:val="28"/>
        </w:rPr>
        <w:t>一体：</w:t>
      </w:r>
      <w:r>
        <w:rPr>
          <w:rFonts w:hint="eastAsia" w:cs="Times New Roman"/>
          <w:szCs w:val="28"/>
        </w:rPr>
        <w:t>以桃花江镇为中心，以浮邱山乡为拓展，形成“两镇一体化”的组合型中心城区。</w:t>
      </w:r>
      <w:r>
        <w:rPr>
          <w:rFonts w:hint="eastAsia" w:cs="Times New Roman"/>
          <w:b/>
          <w:bCs/>
          <w:szCs w:val="28"/>
        </w:rPr>
        <w:t>两翼：</w:t>
      </w:r>
      <w:r>
        <w:rPr>
          <w:rFonts w:hint="eastAsia" w:cs="Times New Roman"/>
          <w:szCs w:val="28"/>
        </w:rPr>
        <w:t>灰山港镇和马武地区（马迹塘镇、武潭镇）两个县域次中心。</w:t>
      </w:r>
      <w:r>
        <w:rPr>
          <w:rFonts w:hint="eastAsia" w:cs="Times New Roman"/>
          <w:b/>
          <w:bCs/>
          <w:szCs w:val="28"/>
        </w:rPr>
        <w:t>四轴：</w:t>
      </w:r>
      <w:r>
        <w:rPr>
          <w:rFonts w:hint="eastAsia" w:cs="Times New Roman"/>
          <w:szCs w:val="28"/>
        </w:rPr>
        <w:t>沿二广高速公路、G207城镇发展轴，沿平洞高速公路、G536城镇发展轴，沿S319城镇发展轴和沿S223城镇发展轴四条轴线，支撑带动全县域的社会经济发展。</w:t>
      </w:r>
      <w:r>
        <w:rPr>
          <w:rFonts w:hint="eastAsia" w:cs="Times New Roman"/>
          <w:b/>
          <w:bCs/>
          <w:szCs w:val="28"/>
        </w:rPr>
        <w:t>一链：</w:t>
      </w:r>
      <w:r>
        <w:rPr>
          <w:rFonts w:hint="eastAsia" w:cs="Times New Roman"/>
          <w:szCs w:val="28"/>
        </w:rPr>
        <w:t>资江生态蓝链。</w:t>
      </w:r>
      <w:r>
        <w:rPr>
          <w:rFonts w:hint="eastAsia" w:cs="Times New Roman"/>
          <w:b/>
          <w:bCs/>
          <w:szCs w:val="28"/>
        </w:rPr>
        <w:t>两屏：</w:t>
      </w:r>
      <w:r>
        <w:rPr>
          <w:rFonts w:hint="eastAsia" w:cs="Times New Roman"/>
          <w:szCs w:val="28"/>
        </w:rPr>
        <w:t>江北雪峰山余脉、江南雪峰山余脉两处生态屏障。</w:t>
      </w:r>
      <w:r>
        <w:rPr>
          <w:rFonts w:hint="eastAsia" w:cs="Times New Roman"/>
          <w:b/>
          <w:bCs/>
          <w:szCs w:val="28"/>
        </w:rPr>
        <w:t>三区：</w:t>
      </w:r>
      <w:r>
        <w:rPr>
          <w:rFonts w:hint="eastAsia" w:cs="Times New Roman"/>
          <w:szCs w:val="28"/>
        </w:rPr>
        <w:t>东部生态与休闲观光农业区、东南部高效现代农业区、西部及南部的特色生态农业区。</w:t>
      </w:r>
    </w:p>
    <w:p w14:paraId="73FD5763">
      <w:pPr>
        <w:pageBreakBefore w:val="0"/>
        <w:kinsoku/>
        <w:wordWrap w:val="0"/>
        <w:overflowPunct/>
        <w:topLinePunct w:val="0"/>
        <w:autoSpaceDE/>
        <w:autoSpaceDN/>
        <w:bidi w:val="0"/>
        <w:adjustRightInd/>
        <w:snapToGrid/>
        <w:ind w:firstLine="560"/>
        <w:rPr>
          <w:rFonts w:hint="eastAsia" w:cs="Times New Roman"/>
          <w:szCs w:val="28"/>
        </w:rPr>
      </w:pPr>
    </w:p>
    <w:p w14:paraId="1D5D6458">
      <w:pPr>
        <w:pageBreakBefore w:val="0"/>
        <w:kinsoku/>
        <w:wordWrap w:val="0"/>
        <w:overflowPunct/>
        <w:topLinePunct w:val="0"/>
        <w:autoSpaceDE/>
        <w:autoSpaceDN/>
        <w:bidi w:val="0"/>
        <w:adjustRightInd/>
        <w:snapToGrid/>
        <w:ind w:firstLine="560"/>
        <w:rPr>
          <w:rFonts w:hint="eastAsia" w:cs="Times New Roman"/>
          <w:szCs w:val="28"/>
        </w:rPr>
      </w:pPr>
    </w:p>
    <w:p w14:paraId="00BA75DE">
      <w:pPr>
        <w:pageBreakBefore w:val="0"/>
        <w:kinsoku/>
        <w:wordWrap w:val="0"/>
        <w:overflowPunct/>
        <w:topLinePunct w:val="0"/>
        <w:autoSpaceDE/>
        <w:autoSpaceDN/>
        <w:bidi w:val="0"/>
        <w:adjustRightInd/>
        <w:snapToGrid/>
        <w:ind w:firstLine="560"/>
        <w:rPr>
          <w:rFonts w:hint="eastAsia" w:cs="Times New Roman"/>
          <w:szCs w:val="28"/>
        </w:rPr>
      </w:pPr>
    </w:p>
    <w:p w14:paraId="096282D6">
      <w:pPr>
        <w:pageBreakBefore w:val="0"/>
        <w:kinsoku/>
        <w:wordWrap w:val="0"/>
        <w:overflowPunct/>
        <w:topLinePunct w:val="0"/>
        <w:autoSpaceDE/>
        <w:autoSpaceDN/>
        <w:bidi w:val="0"/>
        <w:adjustRightInd/>
        <w:snapToGrid/>
        <w:ind w:firstLine="560"/>
        <w:rPr>
          <w:rFonts w:hint="eastAsia" w:cs="Times New Roman"/>
          <w:szCs w:val="28"/>
        </w:rPr>
      </w:pPr>
    </w:p>
    <w:p w14:paraId="683CF497">
      <w:pPr>
        <w:pageBreakBefore w:val="0"/>
        <w:kinsoku/>
        <w:wordWrap w:val="0"/>
        <w:overflowPunct/>
        <w:topLinePunct w:val="0"/>
        <w:autoSpaceDE/>
        <w:autoSpaceDN/>
        <w:bidi w:val="0"/>
        <w:adjustRightInd/>
        <w:snapToGrid/>
        <w:ind w:firstLine="560"/>
        <w:rPr>
          <w:rFonts w:hint="eastAsia" w:cs="Times New Roman"/>
          <w:szCs w:val="28"/>
        </w:rPr>
      </w:pPr>
    </w:p>
    <w:p w14:paraId="2EDF3898">
      <w:pPr>
        <w:pageBreakBefore w:val="0"/>
        <w:kinsoku/>
        <w:wordWrap w:val="0"/>
        <w:overflowPunct/>
        <w:topLinePunct w:val="0"/>
        <w:autoSpaceDE/>
        <w:autoSpaceDN/>
        <w:bidi w:val="0"/>
        <w:adjustRightInd/>
        <w:snapToGrid/>
        <w:ind w:firstLine="560"/>
        <w:rPr>
          <w:rFonts w:hint="eastAsia" w:cs="Times New Roman"/>
          <w:szCs w:val="28"/>
        </w:rPr>
      </w:pPr>
    </w:p>
    <w:p w14:paraId="70B15E44">
      <w:pPr>
        <w:pageBreakBefore w:val="0"/>
        <w:kinsoku/>
        <w:wordWrap w:val="0"/>
        <w:overflowPunct/>
        <w:topLinePunct w:val="0"/>
        <w:autoSpaceDE/>
        <w:autoSpaceDN/>
        <w:bidi w:val="0"/>
        <w:adjustRightInd/>
        <w:snapToGrid/>
        <w:ind w:firstLine="560"/>
        <w:rPr>
          <w:rFonts w:hint="eastAsia" w:cs="Times New Roman"/>
          <w:szCs w:val="28"/>
        </w:rPr>
      </w:pPr>
    </w:p>
    <w:p w14:paraId="28E7D005">
      <w:pPr>
        <w:pageBreakBefore w:val="0"/>
        <w:kinsoku/>
        <w:wordWrap w:val="0"/>
        <w:overflowPunct/>
        <w:topLinePunct w:val="0"/>
        <w:autoSpaceDE/>
        <w:autoSpaceDN/>
        <w:bidi w:val="0"/>
        <w:adjustRightInd/>
        <w:snapToGrid/>
        <w:ind w:firstLine="560"/>
        <w:rPr>
          <w:rFonts w:hint="eastAsia" w:cs="Times New Roman"/>
          <w:szCs w:val="28"/>
        </w:rPr>
      </w:pPr>
      <w:r>
        <w:rPr>
          <w:rFonts w:hint="eastAsia" w:ascii="微软雅黑" w:hAnsi="微软雅黑" w:eastAsia="微软雅黑" w:cs="微软雅黑"/>
          <w:i w:val="0"/>
          <w:iCs w:val="0"/>
          <w:caps w:val="0"/>
          <w:color w:val="333333"/>
          <w:spacing w:val="0"/>
          <w:sz w:val="24"/>
          <w:szCs w:val="24"/>
          <w:shd w:val="clear" w:color="auto" w:fill="FFFFFF"/>
        </w:rPr>
        <w:drawing>
          <wp:anchor distT="0" distB="0" distL="114300" distR="114300" simplePos="0" relativeHeight="251659264" behindDoc="1" locked="0" layoutInCell="1" allowOverlap="1">
            <wp:simplePos x="0" y="0"/>
            <wp:positionH relativeFrom="column">
              <wp:posOffset>109220</wp:posOffset>
            </wp:positionH>
            <wp:positionV relativeFrom="paragraph">
              <wp:posOffset>59690</wp:posOffset>
            </wp:positionV>
            <wp:extent cx="5112385" cy="3625850"/>
            <wp:effectExtent l="0" t="0" r="8255" b="1270"/>
            <wp:wrapNone/>
            <wp:docPr id="5" name="图片 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8"/>
                    <pic:cNvPicPr>
                      <a:picLocks noChangeAspect="1"/>
                    </pic:cNvPicPr>
                  </pic:nvPicPr>
                  <pic:blipFill>
                    <a:blip r:embed="rId17"/>
                    <a:stretch>
                      <a:fillRect/>
                    </a:stretch>
                  </pic:blipFill>
                  <pic:spPr>
                    <a:xfrm>
                      <a:off x="0" y="0"/>
                      <a:ext cx="5112385" cy="3625850"/>
                    </a:xfrm>
                    <a:prstGeom prst="rect">
                      <a:avLst/>
                    </a:prstGeom>
                    <a:noFill/>
                    <a:ln>
                      <a:noFill/>
                    </a:ln>
                  </pic:spPr>
                </pic:pic>
              </a:graphicData>
            </a:graphic>
          </wp:anchor>
        </w:drawing>
      </w:r>
    </w:p>
    <w:p w14:paraId="311AF0B4">
      <w:pPr>
        <w:pageBreakBefore w:val="0"/>
        <w:kinsoku/>
        <w:wordWrap w:val="0"/>
        <w:overflowPunct/>
        <w:topLinePunct w:val="0"/>
        <w:autoSpaceDE/>
        <w:autoSpaceDN/>
        <w:bidi w:val="0"/>
        <w:adjustRightInd/>
        <w:snapToGrid/>
        <w:ind w:firstLine="560"/>
        <w:rPr>
          <w:rFonts w:hint="eastAsia" w:cs="Times New Roman"/>
          <w:szCs w:val="28"/>
        </w:rPr>
      </w:pPr>
    </w:p>
    <w:p w14:paraId="62C697D9">
      <w:pPr>
        <w:pageBreakBefore w:val="0"/>
        <w:kinsoku/>
        <w:wordWrap w:val="0"/>
        <w:overflowPunct/>
        <w:topLinePunct w:val="0"/>
        <w:autoSpaceDE/>
        <w:autoSpaceDN/>
        <w:bidi w:val="0"/>
        <w:adjustRightInd/>
        <w:snapToGrid/>
        <w:ind w:firstLine="560"/>
        <w:rPr>
          <w:rFonts w:hint="eastAsia" w:cs="Times New Roman"/>
          <w:szCs w:val="28"/>
        </w:rPr>
      </w:pPr>
    </w:p>
    <w:p w14:paraId="01FF8125">
      <w:pPr>
        <w:pageBreakBefore w:val="0"/>
        <w:kinsoku/>
        <w:wordWrap w:val="0"/>
        <w:overflowPunct/>
        <w:topLinePunct w:val="0"/>
        <w:autoSpaceDE/>
        <w:autoSpaceDN/>
        <w:bidi w:val="0"/>
        <w:adjustRightInd/>
        <w:snapToGrid/>
        <w:ind w:firstLine="560"/>
        <w:rPr>
          <w:rFonts w:hint="eastAsia" w:cs="Times New Roman"/>
          <w:szCs w:val="28"/>
        </w:rPr>
      </w:pPr>
    </w:p>
    <w:p w14:paraId="2FEF9403">
      <w:pPr>
        <w:pageBreakBefore w:val="0"/>
        <w:kinsoku/>
        <w:wordWrap w:val="0"/>
        <w:overflowPunct/>
        <w:topLinePunct w:val="0"/>
        <w:autoSpaceDE/>
        <w:autoSpaceDN/>
        <w:bidi w:val="0"/>
        <w:adjustRightInd/>
        <w:snapToGrid/>
        <w:ind w:firstLine="560"/>
        <w:rPr>
          <w:rFonts w:hint="eastAsia" w:cs="Times New Roman"/>
          <w:szCs w:val="28"/>
        </w:rPr>
      </w:pPr>
    </w:p>
    <w:p w14:paraId="36EDB2B3">
      <w:pPr>
        <w:pageBreakBefore w:val="0"/>
        <w:kinsoku/>
        <w:wordWrap w:val="0"/>
        <w:overflowPunct/>
        <w:topLinePunct w:val="0"/>
        <w:autoSpaceDE/>
        <w:autoSpaceDN/>
        <w:bidi w:val="0"/>
        <w:adjustRightInd/>
        <w:snapToGrid/>
        <w:ind w:firstLine="560"/>
        <w:rPr>
          <w:rFonts w:hint="eastAsia" w:cs="Times New Roman"/>
          <w:szCs w:val="28"/>
        </w:rPr>
      </w:pPr>
    </w:p>
    <w:p w14:paraId="1848BDB5">
      <w:pPr>
        <w:pageBreakBefore w:val="0"/>
        <w:kinsoku/>
        <w:wordWrap w:val="0"/>
        <w:overflowPunct/>
        <w:topLinePunct w:val="0"/>
        <w:autoSpaceDE/>
        <w:autoSpaceDN/>
        <w:bidi w:val="0"/>
        <w:adjustRightInd/>
        <w:snapToGrid/>
        <w:ind w:firstLine="560"/>
        <w:rPr>
          <w:rFonts w:hint="eastAsia" w:cs="Times New Roman"/>
          <w:szCs w:val="28"/>
        </w:rPr>
      </w:pPr>
    </w:p>
    <w:p w14:paraId="6A33822F">
      <w:pPr>
        <w:pageBreakBefore w:val="0"/>
        <w:kinsoku/>
        <w:wordWrap w:val="0"/>
        <w:overflowPunct/>
        <w:topLinePunct w:val="0"/>
        <w:autoSpaceDE/>
        <w:autoSpaceDN/>
        <w:bidi w:val="0"/>
        <w:adjustRightInd/>
        <w:snapToGrid/>
        <w:ind w:firstLine="560"/>
        <w:rPr>
          <w:rFonts w:hint="eastAsia" w:cs="Times New Roman"/>
          <w:szCs w:val="28"/>
        </w:rPr>
      </w:pPr>
    </w:p>
    <w:p w14:paraId="39E82062">
      <w:pPr>
        <w:pageBreakBefore w:val="0"/>
        <w:kinsoku/>
        <w:wordWrap w:val="0"/>
        <w:overflowPunct/>
        <w:topLinePunct w:val="0"/>
        <w:autoSpaceDE/>
        <w:autoSpaceDN/>
        <w:bidi w:val="0"/>
        <w:adjustRightInd/>
        <w:snapToGrid/>
        <w:ind w:firstLine="560"/>
        <w:rPr>
          <w:rFonts w:hint="eastAsia" w:cs="Times New Roman"/>
          <w:szCs w:val="28"/>
        </w:rPr>
      </w:pPr>
    </w:p>
    <w:p w14:paraId="21504B9A">
      <w:pPr>
        <w:pageBreakBefore w:val="0"/>
        <w:kinsoku/>
        <w:wordWrap w:val="0"/>
        <w:overflowPunct/>
        <w:topLinePunct w:val="0"/>
        <w:autoSpaceDE/>
        <w:autoSpaceDN/>
        <w:bidi w:val="0"/>
        <w:adjustRightInd/>
        <w:snapToGrid/>
        <w:ind w:firstLine="560"/>
        <w:rPr>
          <w:rFonts w:hint="eastAsia" w:cs="Times New Roman"/>
          <w:szCs w:val="28"/>
        </w:rPr>
      </w:pPr>
    </w:p>
    <w:p w14:paraId="511490CF">
      <w:pPr>
        <w:pageBreakBefore w:val="0"/>
        <w:kinsoku/>
        <w:wordWrap w:val="0"/>
        <w:overflowPunct/>
        <w:topLinePunct w:val="0"/>
        <w:autoSpaceDE/>
        <w:autoSpaceDN/>
        <w:bidi w:val="0"/>
        <w:adjustRightInd/>
        <w:snapToGrid/>
        <w:ind w:firstLine="560"/>
        <w:rPr>
          <w:rFonts w:hint="eastAsia" w:cs="Times New Roman"/>
          <w:szCs w:val="28"/>
        </w:rPr>
      </w:pPr>
    </w:p>
    <w:p w14:paraId="37C62A33">
      <w:pPr>
        <w:pageBreakBefore w:val="0"/>
        <w:kinsoku/>
        <w:wordWrap w:val="0"/>
        <w:overflowPunct/>
        <w:topLinePunct w:val="0"/>
        <w:autoSpaceDE/>
        <w:autoSpaceDN/>
        <w:bidi w:val="0"/>
        <w:adjustRightInd/>
        <w:snapToGrid/>
        <w:ind w:firstLine="560"/>
        <w:rPr>
          <w:rFonts w:hint="eastAsia" w:cs="Times New Roman"/>
          <w:szCs w:val="28"/>
        </w:rPr>
      </w:pPr>
    </w:p>
    <w:p w14:paraId="1D375089">
      <w:pPr>
        <w:pageBreakBefore w:val="0"/>
        <w:kinsoku/>
        <w:wordWrap w:val="0"/>
        <w:overflowPunct/>
        <w:topLinePunct w:val="0"/>
        <w:autoSpaceDE/>
        <w:autoSpaceDN/>
        <w:bidi w:val="0"/>
        <w:adjustRightInd/>
        <w:snapToGrid/>
        <w:ind w:left="0" w:leftChars="0" w:firstLine="0" w:firstLineChars="0"/>
        <w:jc w:val="center"/>
        <w:rPr>
          <w:rFonts w:hint="eastAsia" w:cs="Times New Roman"/>
          <w:szCs w:val="28"/>
        </w:rPr>
      </w:pPr>
      <w:r>
        <w:rPr>
          <w:rFonts w:hint="eastAsia" w:cs="Times New Roman"/>
          <w:szCs w:val="28"/>
          <w:lang w:val="en-US" w:eastAsia="zh-CN"/>
        </w:rPr>
        <w:t xml:space="preserve">图2-1 </w:t>
      </w:r>
      <w:r>
        <w:rPr>
          <w:rFonts w:hint="eastAsia" w:cs="Times New Roman"/>
          <w:szCs w:val="28"/>
        </w:rPr>
        <w:t>桃江县县域国土空间总体格局规划图</w:t>
      </w:r>
    </w:p>
    <w:p w14:paraId="0FCA738A">
      <w:pPr>
        <w:pStyle w:val="2"/>
        <w:bidi w:val="0"/>
        <w:rPr>
          <w:rFonts w:hint="eastAsia"/>
        </w:rPr>
      </w:pPr>
      <w:bookmarkStart w:id="86" w:name="_Toc28035"/>
      <w:r>
        <w:rPr>
          <w:rFonts w:hint="eastAsia"/>
        </w:rPr>
        <w:t>三、建筑垃圾治理现状及分析</w:t>
      </w:r>
      <w:bookmarkEnd w:id="86"/>
    </w:p>
    <w:p w14:paraId="480DA5A7">
      <w:pPr>
        <w:pStyle w:val="3"/>
        <w:bidi w:val="0"/>
        <w:rPr>
          <w:rFonts w:hint="eastAsia" w:ascii="楷体" w:hAnsi="楷体" w:eastAsia="楷体" w:cs="楷体"/>
          <w:sz w:val="28"/>
          <w:szCs w:val="28"/>
        </w:rPr>
      </w:pPr>
      <w:bookmarkStart w:id="87" w:name="_Toc9238"/>
      <w:r>
        <w:rPr>
          <w:rFonts w:hint="eastAsia" w:ascii="楷体" w:hAnsi="楷体" w:eastAsia="楷体" w:cs="楷体"/>
          <w:sz w:val="28"/>
          <w:szCs w:val="28"/>
        </w:rPr>
        <w:t>（一）建筑垃圾产生情况</w:t>
      </w:r>
      <w:bookmarkEnd w:id="87"/>
    </w:p>
    <w:p w14:paraId="4ABC802E">
      <w:pPr>
        <w:bidi w:val="0"/>
        <w:rPr>
          <w:rFonts w:hint="eastAsia"/>
        </w:rPr>
      </w:pPr>
      <w:r>
        <w:rPr>
          <w:rFonts w:hint="eastAsia"/>
          <w:lang w:val="en-US" w:eastAsia="zh-CN"/>
        </w:rPr>
        <w:t>桃江县建筑垃圾来源主要为新建建筑、老旧小区改造、违章建筑拆除、新房装修</w:t>
      </w:r>
      <w:r>
        <w:t>以及市政基础设施建设等产生的建筑垃圾。</w:t>
      </w:r>
      <w:r>
        <w:rPr>
          <w:rFonts w:hint="eastAsia"/>
          <w:lang w:val="en-US" w:eastAsia="zh-CN"/>
        </w:rPr>
        <w:t>参考2021年至2025年政府工作报告、</w:t>
      </w:r>
      <w:bookmarkStart w:id="88" w:name="OLE_LINK16"/>
      <w:r>
        <w:rPr>
          <w:rFonts w:hint="eastAsia"/>
        </w:rPr>
        <w:t>桃江县202</w:t>
      </w:r>
      <w:r>
        <w:rPr>
          <w:rFonts w:hint="eastAsia"/>
          <w:lang w:val="en-US" w:eastAsia="zh-CN"/>
        </w:rPr>
        <w:t>0</w:t>
      </w:r>
      <w:r>
        <w:rPr>
          <w:rFonts w:hint="eastAsia"/>
        </w:rPr>
        <w:t>年</w:t>
      </w:r>
      <w:r>
        <w:rPr>
          <w:rFonts w:hint="eastAsia"/>
          <w:lang w:val="en-US" w:eastAsia="zh-CN"/>
        </w:rPr>
        <w:t>至2024年</w:t>
      </w:r>
      <w:r>
        <w:rPr>
          <w:rFonts w:hint="eastAsia"/>
        </w:rPr>
        <w:t>国民经济和社会发展统计公报</w:t>
      </w:r>
      <w:bookmarkEnd w:id="88"/>
      <w:r>
        <w:rPr>
          <w:rFonts w:hint="eastAsia"/>
          <w:lang w:eastAsia="zh-CN"/>
        </w:rPr>
        <w:t>，</w:t>
      </w:r>
      <w:r>
        <w:rPr>
          <w:rFonts w:hint="eastAsia"/>
          <w:lang w:val="en-US" w:eastAsia="zh-CN"/>
        </w:rPr>
        <w:t>桃江县中心城区近</w:t>
      </w:r>
      <w:r>
        <w:rPr>
          <w:rFonts w:hint="eastAsia"/>
        </w:rPr>
        <w:t>5年建筑垃圾产生情况</w:t>
      </w:r>
      <w:r>
        <w:rPr>
          <w:rFonts w:hint="eastAsia"/>
          <w:lang w:val="en-US" w:eastAsia="zh-CN"/>
        </w:rPr>
        <w:t>如表3-1所示。</w:t>
      </w:r>
    </w:p>
    <w:p w14:paraId="3F5771A6">
      <w:pPr>
        <w:bidi w:val="0"/>
        <w:rPr>
          <w:rFonts w:hint="eastAsia"/>
          <w:lang w:val="en-US" w:eastAsia="zh-CN"/>
        </w:rPr>
      </w:pPr>
      <w:r>
        <w:rPr>
          <w:rFonts w:hint="eastAsia"/>
          <w:lang w:val="en-US" w:eastAsia="zh-CN"/>
        </w:rPr>
        <w:t>2020年，</w:t>
      </w:r>
      <w:r>
        <w:rPr>
          <w:rFonts w:hint="eastAsia"/>
        </w:rPr>
        <w:t>完成建筑施</w:t>
      </w:r>
      <w:bookmarkStart w:id="89" w:name="OLE_LINK13"/>
      <w:r>
        <w:rPr>
          <w:rFonts w:hint="eastAsia"/>
        </w:rPr>
        <w:t>工面积</w:t>
      </w:r>
      <w:r>
        <w:rPr>
          <w:rFonts w:hint="eastAsia"/>
          <w:lang w:val="en-US" w:eastAsia="zh-CN"/>
        </w:rPr>
        <w:t>419</w:t>
      </w:r>
      <w:r>
        <w:rPr>
          <w:rFonts w:hint="eastAsia"/>
        </w:rPr>
        <w:t>万平方米</w:t>
      </w:r>
      <w:r>
        <w:rPr>
          <w:rFonts w:hint="eastAsia"/>
          <w:lang w:eastAsia="zh-CN"/>
        </w:rPr>
        <w:t>，</w:t>
      </w:r>
      <w:r>
        <w:rPr>
          <w:rFonts w:hint="eastAsia"/>
          <w:lang w:val="en-US" w:eastAsia="zh-CN"/>
        </w:rPr>
        <w:t>育英巷东片区棚改拆除建筑物4.74万平方米，</w:t>
      </w:r>
      <w:r>
        <w:rPr>
          <w:rFonts w:hint="eastAsia"/>
        </w:rPr>
        <w:t>商品房屋销售面积48.36万平方米，拆除各类违建5.7万平方米</w:t>
      </w:r>
      <w:bookmarkStart w:id="90" w:name="OLE_LINK14"/>
      <w:r>
        <w:rPr>
          <w:rFonts w:hint="eastAsia"/>
        </w:rPr>
        <w:t>。</w:t>
      </w:r>
    </w:p>
    <w:bookmarkEnd w:id="89"/>
    <w:bookmarkEnd w:id="90"/>
    <w:p w14:paraId="36B09715">
      <w:pPr>
        <w:bidi w:val="0"/>
        <w:rPr>
          <w:rFonts w:hint="eastAsia"/>
        </w:rPr>
      </w:pPr>
      <w:bookmarkStart w:id="91" w:name="OLE_LINK19"/>
      <w:r>
        <w:rPr>
          <w:rFonts w:hint="eastAsia"/>
          <w:lang w:val="en-US" w:eastAsia="zh-CN"/>
        </w:rPr>
        <w:t>2021年，</w:t>
      </w:r>
      <w:r>
        <w:rPr>
          <w:rFonts w:hint="default"/>
          <w:lang w:val="en-US" w:eastAsia="zh-CN"/>
        </w:rPr>
        <w:t>建筑施工面积406.72万平方米，</w:t>
      </w:r>
      <w:r>
        <w:rPr>
          <w:rFonts w:hint="eastAsia"/>
          <w:lang w:val="en-US" w:eastAsia="zh-CN"/>
        </w:rPr>
        <w:t>弄溪桥片区棚改项目拆除建筑物8.62万平方米，</w:t>
      </w:r>
      <w:r>
        <w:rPr>
          <w:rFonts w:hint="default"/>
          <w:lang w:val="en-US" w:eastAsia="zh-CN"/>
        </w:rPr>
        <w:t>商品</w:t>
      </w:r>
      <w:bookmarkStart w:id="92" w:name="OLE_LINK15"/>
      <w:r>
        <w:rPr>
          <w:rFonts w:hint="default"/>
          <w:lang w:val="en-US" w:eastAsia="zh-CN"/>
        </w:rPr>
        <w:t>房屋销售面积38.16万平方米，</w:t>
      </w:r>
      <w:r>
        <w:rPr>
          <w:rFonts w:hint="eastAsia"/>
        </w:rPr>
        <w:t>拆除违建4.1万平方米</w:t>
      </w:r>
      <w:bookmarkEnd w:id="92"/>
      <w:r>
        <w:rPr>
          <w:rFonts w:hint="eastAsia"/>
          <w:lang w:eastAsia="zh-CN"/>
        </w:rPr>
        <w:t>。</w:t>
      </w:r>
    </w:p>
    <w:p w14:paraId="016A7FC7">
      <w:pPr>
        <w:bidi w:val="0"/>
        <w:rPr>
          <w:rFonts w:hint="eastAsia"/>
          <w:lang w:val="en-US" w:eastAsia="zh-CN"/>
        </w:rPr>
      </w:pPr>
      <w:r>
        <w:rPr>
          <w:rFonts w:hint="eastAsia"/>
          <w:lang w:val="en-US" w:eastAsia="zh-CN"/>
        </w:rPr>
        <w:t>2022年，建筑施工面积</w:t>
      </w:r>
      <w:r>
        <w:rPr>
          <w:rFonts w:hint="default"/>
          <w:lang w:val="en-US" w:eastAsia="zh-CN"/>
        </w:rPr>
        <w:t>402.33</w:t>
      </w:r>
      <w:r>
        <w:rPr>
          <w:rFonts w:hint="eastAsia"/>
          <w:lang w:val="en-US" w:eastAsia="zh-CN"/>
        </w:rPr>
        <w:t>万平方米，商品房屋销售面积</w:t>
      </w:r>
      <w:r>
        <w:rPr>
          <w:rFonts w:hint="default"/>
          <w:lang w:val="en-US" w:eastAsia="zh-CN"/>
        </w:rPr>
        <w:t>31.87</w:t>
      </w:r>
      <w:r>
        <w:rPr>
          <w:rFonts w:hint="eastAsia"/>
          <w:lang w:val="en-US" w:eastAsia="zh-CN"/>
        </w:rPr>
        <w:t>万平方米，</w:t>
      </w:r>
      <w:r>
        <w:rPr>
          <w:rFonts w:hint="eastAsia"/>
        </w:rPr>
        <w:t>拆除违建</w:t>
      </w:r>
      <w:r>
        <w:rPr>
          <w:rFonts w:hint="default"/>
        </w:rPr>
        <w:t>2.6</w:t>
      </w:r>
      <w:r>
        <w:rPr>
          <w:rFonts w:hint="eastAsia"/>
        </w:rPr>
        <w:t>万平方米</w:t>
      </w:r>
      <w:r>
        <w:rPr>
          <w:rFonts w:hint="eastAsia"/>
          <w:lang w:eastAsia="zh-CN"/>
        </w:rPr>
        <w:t>。</w:t>
      </w:r>
    </w:p>
    <w:p w14:paraId="7B91907E">
      <w:pPr>
        <w:bidi w:val="0"/>
        <w:rPr>
          <w:rFonts w:hint="eastAsia"/>
          <w:lang w:val="en-US" w:eastAsia="zh-CN"/>
        </w:rPr>
      </w:pPr>
      <w:r>
        <w:rPr>
          <w:rFonts w:hint="eastAsia"/>
          <w:lang w:val="en-US" w:eastAsia="zh-CN"/>
        </w:rPr>
        <w:t>2023年，</w:t>
      </w:r>
      <w:r>
        <w:rPr>
          <w:rFonts w:hint="default"/>
          <w:lang w:val="en-US" w:eastAsia="zh-CN"/>
        </w:rPr>
        <w:t>建筑施工面积</w:t>
      </w:r>
      <w:r>
        <w:rPr>
          <w:rFonts w:hint="eastAsia"/>
          <w:lang w:val="en-US" w:eastAsia="zh-CN"/>
        </w:rPr>
        <w:t>355.95</w:t>
      </w:r>
      <w:r>
        <w:rPr>
          <w:rFonts w:hint="default"/>
          <w:lang w:val="en-US" w:eastAsia="zh-CN"/>
        </w:rPr>
        <w:t>万平方米，商品房屋销售面积21.09万平方米，</w:t>
      </w:r>
      <w:r>
        <w:rPr>
          <w:rFonts w:hint="eastAsia"/>
          <w:lang w:val="en-US" w:eastAsia="zh-CN"/>
        </w:rPr>
        <w:t>完成11个老旧小区改造、拆除违建1.9万平方米。</w:t>
      </w:r>
    </w:p>
    <w:p w14:paraId="1D384F83">
      <w:pPr>
        <w:bidi w:val="0"/>
        <w:rPr>
          <w:rFonts w:hint="eastAsia"/>
          <w:lang w:val="en-US" w:eastAsia="zh-CN"/>
        </w:rPr>
      </w:pPr>
      <w:r>
        <w:rPr>
          <w:rFonts w:hint="eastAsia"/>
          <w:lang w:val="en-US" w:eastAsia="zh-CN"/>
        </w:rPr>
        <w:t>2024年，建筑施工面积</w:t>
      </w:r>
      <w:r>
        <w:rPr>
          <w:rFonts w:hint="default"/>
          <w:lang w:val="en-US" w:eastAsia="zh-CN"/>
        </w:rPr>
        <w:t>345.16</w:t>
      </w:r>
      <w:r>
        <w:rPr>
          <w:rFonts w:hint="eastAsia"/>
          <w:lang w:val="en-US" w:eastAsia="zh-CN"/>
        </w:rPr>
        <w:t>万平方米，商品房屋销售面积</w:t>
      </w:r>
      <w:r>
        <w:rPr>
          <w:rFonts w:hint="default"/>
          <w:lang w:val="en-US" w:eastAsia="zh-CN"/>
        </w:rPr>
        <w:t>16.12</w:t>
      </w:r>
      <w:r>
        <w:rPr>
          <w:rFonts w:hint="eastAsia"/>
          <w:lang w:val="en-US" w:eastAsia="zh-CN"/>
        </w:rPr>
        <w:t>万平方米，拆除违建4992.3平方米</w:t>
      </w:r>
      <w:bookmarkStart w:id="93" w:name="OLE_LINK18"/>
      <w:r>
        <w:rPr>
          <w:rFonts w:hint="eastAsia"/>
          <w:lang w:val="en-US" w:eastAsia="zh-CN"/>
        </w:rPr>
        <w:t>，</w:t>
      </w:r>
      <w:r>
        <w:rPr>
          <w:rFonts w:hint="eastAsia"/>
        </w:rPr>
        <w:t>清理陈年建筑装修垃圾800吨</w:t>
      </w:r>
      <w:bookmarkEnd w:id="93"/>
      <w:r>
        <w:rPr>
          <w:rFonts w:hint="eastAsia"/>
          <w:lang w:eastAsia="zh-CN"/>
        </w:rPr>
        <w:t>。</w:t>
      </w:r>
      <w:bookmarkEnd w:id="91"/>
    </w:p>
    <w:p w14:paraId="7614CD75">
      <w:pPr>
        <w:bidi w:val="0"/>
        <w:jc w:val="center"/>
        <w:rPr>
          <w:b/>
          <w:bCs/>
        </w:rPr>
      </w:pPr>
      <w:r>
        <w:rPr>
          <w:rFonts w:hint="eastAsia"/>
          <w:b/>
          <w:bCs/>
          <w:lang w:val="en-US" w:eastAsia="zh-CN"/>
        </w:rPr>
        <w:t>表3-1  桃江县年建筑垃圾清运处置量统计表（万t）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856"/>
        <w:gridCol w:w="997"/>
        <w:gridCol w:w="997"/>
        <w:gridCol w:w="997"/>
        <w:gridCol w:w="997"/>
        <w:gridCol w:w="997"/>
      </w:tblGrid>
      <w:tr w14:paraId="6701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F12AE7D">
            <w:pPr>
              <w:bidi w:val="0"/>
              <w:ind w:left="0" w:leftChars="0" w:firstLine="0" w:firstLineChars="0"/>
              <w:jc w:val="center"/>
              <w:rPr>
                <w:rFonts w:hint="default"/>
                <w:b/>
                <w:bCs/>
                <w:sz w:val="24"/>
                <w:szCs w:val="24"/>
                <w:lang w:val="en-US" w:eastAsia="zh-CN"/>
              </w:rPr>
            </w:pPr>
            <w:r>
              <w:rPr>
                <w:rFonts w:hint="eastAsia"/>
                <w:b/>
                <w:bCs/>
                <w:sz w:val="24"/>
                <w:szCs w:val="24"/>
                <w:lang w:val="en-US" w:eastAsia="zh-CN"/>
              </w:rPr>
              <w:t>序号</w:t>
            </w:r>
          </w:p>
        </w:tc>
        <w:tc>
          <w:tcPr>
            <w:tcW w:w="0" w:type="auto"/>
            <w:vAlign w:val="center"/>
          </w:tcPr>
          <w:p w14:paraId="76D6DCC3">
            <w:pPr>
              <w:bidi w:val="0"/>
              <w:ind w:left="0" w:leftChars="0" w:firstLine="0" w:firstLineChars="0"/>
              <w:jc w:val="center"/>
              <w:rPr>
                <w:rFonts w:hint="default"/>
                <w:b/>
                <w:bCs/>
                <w:sz w:val="24"/>
                <w:szCs w:val="24"/>
                <w:lang w:val="en-US" w:eastAsia="zh-CN"/>
              </w:rPr>
            </w:pPr>
            <w:r>
              <w:rPr>
                <w:rFonts w:hint="eastAsia"/>
                <w:b/>
                <w:bCs/>
                <w:sz w:val="24"/>
                <w:szCs w:val="24"/>
                <w:lang w:val="en-US" w:eastAsia="zh-CN"/>
              </w:rPr>
              <w:t>建筑垃圾类别</w:t>
            </w:r>
          </w:p>
        </w:tc>
        <w:tc>
          <w:tcPr>
            <w:tcW w:w="0" w:type="auto"/>
            <w:vAlign w:val="center"/>
          </w:tcPr>
          <w:p w14:paraId="546F198C">
            <w:pPr>
              <w:bidi w:val="0"/>
              <w:ind w:left="0" w:leftChars="0" w:firstLine="0" w:firstLineChars="0"/>
              <w:jc w:val="center"/>
              <w:rPr>
                <w:rFonts w:hint="default"/>
                <w:b/>
                <w:bCs/>
                <w:sz w:val="24"/>
                <w:szCs w:val="24"/>
                <w:lang w:val="en-US" w:eastAsia="zh-CN"/>
              </w:rPr>
            </w:pPr>
            <w:r>
              <w:rPr>
                <w:rFonts w:hint="eastAsia"/>
                <w:b/>
                <w:bCs/>
                <w:sz w:val="24"/>
                <w:szCs w:val="24"/>
                <w:lang w:val="en-US" w:eastAsia="zh-CN"/>
              </w:rPr>
              <w:t>2020年</w:t>
            </w:r>
          </w:p>
        </w:tc>
        <w:tc>
          <w:tcPr>
            <w:tcW w:w="0" w:type="auto"/>
            <w:vAlign w:val="center"/>
          </w:tcPr>
          <w:p w14:paraId="134B33F5">
            <w:pPr>
              <w:bidi w:val="0"/>
              <w:ind w:left="0" w:leftChars="0" w:firstLine="0" w:firstLineChars="0"/>
              <w:jc w:val="center"/>
              <w:rPr>
                <w:rFonts w:hint="eastAsia"/>
                <w:b/>
                <w:bCs/>
                <w:sz w:val="24"/>
                <w:szCs w:val="24"/>
              </w:rPr>
            </w:pPr>
            <w:r>
              <w:rPr>
                <w:rFonts w:hint="eastAsia"/>
                <w:b/>
                <w:bCs/>
                <w:sz w:val="24"/>
                <w:szCs w:val="24"/>
                <w:lang w:val="en-US" w:eastAsia="zh-CN"/>
              </w:rPr>
              <w:t>2021年</w:t>
            </w:r>
          </w:p>
        </w:tc>
        <w:tc>
          <w:tcPr>
            <w:tcW w:w="0" w:type="auto"/>
            <w:vAlign w:val="center"/>
          </w:tcPr>
          <w:p w14:paraId="60FCBCFC">
            <w:pPr>
              <w:bidi w:val="0"/>
              <w:ind w:left="0" w:leftChars="0" w:firstLine="0" w:firstLineChars="0"/>
              <w:jc w:val="center"/>
              <w:rPr>
                <w:rFonts w:hint="eastAsia"/>
                <w:b/>
                <w:bCs/>
                <w:sz w:val="24"/>
                <w:szCs w:val="24"/>
              </w:rPr>
            </w:pPr>
            <w:r>
              <w:rPr>
                <w:rFonts w:hint="eastAsia"/>
                <w:b/>
                <w:bCs/>
                <w:sz w:val="24"/>
                <w:szCs w:val="24"/>
                <w:lang w:val="en-US" w:eastAsia="zh-CN"/>
              </w:rPr>
              <w:t>2022年</w:t>
            </w:r>
          </w:p>
        </w:tc>
        <w:tc>
          <w:tcPr>
            <w:tcW w:w="0" w:type="auto"/>
            <w:vAlign w:val="center"/>
          </w:tcPr>
          <w:p w14:paraId="70DFFF67">
            <w:pPr>
              <w:bidi w:val="0"/>
              <w:ind w:left="0" w:leftChars="0" w:firstLine="0" w:firstLineChars="0"/>
              <w:jc w:val="center"/>
              <w:rPr>
                <w:rFonts w:hint="eastAsia"/>
                <w:b/>
                <w:bCs/>
                <w:sz w:val="24"/>
                <w:szCs w:val="24"/>
              </w:rPr>
            </w:pPr>
            <w:r>
              <w:rPr>
                <w:rFonts w:hint="eastAsia"/>
                <w:b/>
                <w:bCs/>
                <w:sz w:val="24"/>
                <w:szCs w:val="24"/>
                <w:lang w:val="en-US" w:eastAsia="zh-CN"/>
              </w:rPr>
              <w:t>2023年</w:t>
            </w:r>
          </w:p>
        </w:tc>
        <w:tc>
          <w:tcPr>
            <w:tcW w:w="0" w:type="auto"/>
            <w:vAlign w:val="center"/>
          </w:tcPr>
          <w:p w14:paraId="6126D888">
            <w:pPr>
              <w:bidi w:val="0"/>
              <w:ind w:left="0" w:leftChars="0" w:firstLine="0" w:firstLineChars="0"/>
              <w:jc w:val="center"/>
              <w:rPr>
                <w:rFonts w:hint="eastAsia"/>
                <w:b/>
                <w:bCs/>
                <w:sz w:val="24"/>
                <w:szCs w:val="24"/>
              </w:rPr>
            </w:pPr>
            <w:r>
              <w:rPr>
                <w:rFonts w:hint="eastAsia"/>
                <w:b/>
                <w:bCs/>
                <w:sz w:val="24"/>
                <w:szCs w:val="24"/>
                <w:lang w:val="en-US" w:eastAsia="zh-CN"/>
              </w:rPr>
              <w:t>2024年</w:t>
            </w:r>
          </w:p>
        </w:tc>
      </w:tr>
      <w:tr w14:paraId="587F0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01D4467">
            <w:pPr>
              <w:bidi w:val="0"/>
              <w:ind w:left="0" w:leftChars="0" w:firstLine="0" w:firstLineChars="0"/>
              <w:jc w:val="center"/>
              <w:rPr>
                <w:rFonts w:hint="default"/>
                <w:sz w:val="24"/>
                <w:szCs w:val="24"/>
                <w:lang w:val="en-US" w:eastAsia="zh-CN"/>
              </w:rPr>
            </w:pPr>
            <w:r>
              <w:rPr>
                <w:rFonts w:hint="eastAsia"/>
                <w:sz w:val="24"/>
                <w:szCs w:val="24"/>
                <w:lang w:val="en-US" w:eastAsia="zh-CN"/>
              </w:rPr>
              <w:t>1</w:t>
            </w:r>
          </w:p>
        </w:tc>
        <w:tc>
          <w:tcPr>
            <w:tcW w:w="0" w:type="auto"/>
            <w:vAlign w:val="center"/>
          </w:tcPr>
          <w:p w14:paraId="718152B8">
            <w:pPr>
              <w:bidi w:val="0"/>
              <w:ind w:left="0" w:leftChars="0" w:firstLine="0" w:firstLineChars="0"/>
              <w:jc w:val="center"/>
              <w:rPr>
                <w:rFonts w:hint="default"/>
                <w:sz w:val="24"/>
                <w:szCs w:val="24"/>
                <w:lang w:val="en-US" w:eastAsia="zh-CN"/>
              </w:rPr>
            </w:pPr>
            <w:r>
              <w:rPr>
                <w:rFonts w:hint="eastAsia"/>
                <w:sz w:val="24"/>
                <w:szCs w:val="24"/>
                <w:lang w:val="en-US" w:eastAsia="zh-CN"/>
              </w:rPr>
              <w:t>工程渣土（含工程泥浆）</w:t>
            </w:r>
          </w:p>
        </w:tc>
        <w:tc>
          <w:tcPr>
            <w:tcW w:w="0" w:type="auto"/>
            <w:vAlign w:val="center"/>
          </w:tcPr>
          <w:p w14:paraId="5CB4B48E">
            <w:pPr>
              <w:bidi w:val="0"/>
              <w:ind w:left="0" w:leftChars="0" w:firstLine="0" w:firstLineChars="0"/>
              <w:jc w:val="center"/>
              <w:rPr>
                <w:rFonts w:hint="eastAsia"/>
                <w:sz w:val="24"/>
                <w:szCs w:val="24"/>
              </w:rPr>
            </w:pPr>
            <w:r>
              <w:rPr>
                <w:rFonts w:hint="eastAsia"/>
                <w:sz w:val="24"/>
                <w:szCs w:val="24"/>
                <w:lang w:val="en-US" w:eastAsia="zh-CN"/>
              </w:rPr>
              <w:t>83.8</w:t>
            </w:r>
          </w:p>
        </w:tc>
        <w:tc>
          <w:tcPr>
            <w:tcW w:w="0" w:type="auto"/>
            <w:vAlign w:val="center"/>
          </w:tcPr>
          <w:p w14:paraId="464A51A6">
            <w:pPr>
              <w:bidi w:val="0"/>
              <w:ind w:left="0" w:leftChars="0" w:firstLine="0" w:firstLineChars="0"/>
              <w:jc w:val="center"/>
              <w:rPr>
                <w:rFonts w:hint="eastAsia"/>
                <w:sz w:val="24"/>
                <w:szCs w:val="24"/>
              </w:rPr>
            </w:pPr>
            <w:r>
              <w:rPr>
                <w:rFonts w:hint="eastAsia"/>
                <w:sz w:val="24"/>
                <w:szCs w:val="24"/>
                <w:lang w:val="en-US" w:eastAsia="zh-CN"/>
              </w:rPr>
              <w:t>81.34</w:t>
            </w:r>
          </w:p>
        </w:tc>
        <w:tc>
          <w:tcPr>
            <w:tcW w:w="0" w:type="auto"/>
            <w:vAlign w:val="center"/>
          </w:tcPr>
          <w:p w14:paraId="6616A649">
            <w:pPr>
              <w:bidi w:val="0"/>
              <w:ind w:left="0" w:leftChars="0" w:firstLine="0" w:firstLineChars="0"/>
              <w:jc w:val="center"/>
              <w:rPr>
                <w:rFonts w:hint="eastAsia"/>
                <w:sz w:val="24"/>
                <w:szCs w:val="24"/>
              </w:rPr>
            </w:pPr>
            <w:r>
              <w:rPr>
                <w:rFonts w:hint="eastAsia"/>
                <w:sz w:val="24"/>
                <w:szCs w:val="24"/>
                <w:lang w:val="en-US" w:eastAsia="zh-CN"/>
              </w:rPr>
              <w:t>80.47</w:t>
            </w:r>
          </w:p>
        </w:tc>
        <w:tc>
          <w:tcPr>
            <w:tcW w:w="0" w:type="auto"/>
            <w:vAlign w:val="center"/>
          </w:tcPr>
          <w:p w14:paraId="5741282D">
            <w:pPr>
              <w:bidi w:val="0"/>
              <w:ind w:left="0" w:leftChars="0" w:firstLine="0" w:firstLineChars="0"/>
              <w:jc w:val="center"/>
              <w:rPr>
                <w:rFonts w:hint="eastAsia"/>
                <w:sz w:val="24"/>
                <w:szCs w:val="24"/>
              </w:rPr>
            </w:pPr>
            <w:r>
              <w:rPr>
                <w:rFonts w:hint="eastAsia"/>
                <w:sz w:val="24"/>
                <w:szCs w:val="24"/>
                <w:lang w:val="en-US" w:eastAsia="zh-CN"/>
              </w:rPr>
              <w:t>71.19</w:t>
            </w:r>
          </w:p>
        </w:tc>
        <w:tc>
          <w:tcPr>
            <w:tcW w:w="0" w:type="auto"/>
            <w:vAlign w:val="center"/>
          </w:tcPr>
          <w:p w14:paraId="7A3A8C7B">
            <w:pPr>
              <w:bidi w:val="0"/>
              <w:ind w:left="0" w:leftChars="0" w:firstLine="0" w:firstLineChars="0"/>
              <w:jc w:val="center"/>
              <w:rPr>
                <w:rFonts w:hint="default"/>
                <w:sz w:val="24"/>
                <w:szCs w:val="24"/>
                <w:lang w:val="en-US"/>
              </w:rPr>
            </w:pPr>
            <w:r>
              <w:rPr>
                <w:rFonts w:hint="eastAsia"/>
                <w:sz w:val="24"/>
                <w:szCs w:val="24"/>
                <w:lang w:val="en-US" w:eastAsia="zh-CN"/>
              </w:rPr>
              <w:t>69.03</w:t>
            </w:r>
          </w:p>
        </w:tc>
      </w:tr>
      <w:tr w14:paraId="0140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1326DAF">
            <w:pPr>
              <w:bidi w:val="0"/>
              <w:ind w:left="0" w:leftChars="0" w:firstLine="0" w:firstLineChars="0"/>
              <w:jc w:val="center"/>
              <w:rPr>
                <w:rFonts w:hint="default"/>
                <w:sz w:val="24"/>
                <w:szCs w:val="24"/>
                <w:lang w:val="en-US" w:eastAsia="zh-CN"/>
              </w:rPr>
            </w:pPr>
            <w:r>
              <w:rPr>
                <w:rFonts w:hint="eastAsia"/>
                <w:sz w:val="24"/>
                <w:szCs w:val="24"/>
                <w:lang w:val="en-US" w:eastAsia="zh-CN"/>
              </w:rPr>
              <w:t>3</w:t>
            </w:r>
          </w:p>
        </w:tc>
        <w:tc>
          <w:tcPr>
            <w:tcW w:w="0" w:type="auto"/>
            <w:vAlign w:val="center"/>
          </w:tcPr>
          <w:p w14:paraId="4E7CEED6">
            <w:pPr>
              <w:bidi w:val="0"/>
              <w:ind w:left="0" w:leftChars="0" w:firstLine="0" w:firstLineChars="0"/>
              <w:jc w:val="center"/>
              <w:rPr>
                <w:rFonts w:hint="default"/>
                <w:sz w:val="24"/>
                <w:szCs w:val="24"/>
                <w:lang w:val="en-US" w:eastAsia="zh-CN"/>
              </w:rPr>
            </w:pPr>
            <w:r>
              <w:rPr>
                <w:rFonts w:hint="eastAsia"/>
                <w:sz w:val="24"/>
                <w:szCs w:val="24"/>
                <w:lang w:val="en-US" w:eastAsia="zh-CN"/>
              </w:rPr>
              <w:t>工程垃圾</w:t>
            </w:r>
          </w:p>
        </w:tc>
        <w:tc>
          <w:tcPr>
            <w:tcW w:w="0" w:type="auto"/>
            <w:vAlign w:val="center"/>
          </w:tcPr>
          <w:p w14:paraId="474D6A68">
            <w:pPr>
              <w:bidi w:val="0"/>
              <w:ind w:left="0" w:leftChars="0" w:firstLine="0" w:firstLineChars="0"/>
              <w:jc w:val="center"/>
              <w:rPr>
                <w:rFonts w:hint="eastAsia"/>
                <w:sz w:val="24"/>
                <w:szCs w:val="24"/>
              </w:rPr>
            </w:pPr>
            <w:r>
              <w:rPr>
                <w:rFonts w:hint="eastAsia"/>
                <w:sz w:val="24"/>
                <w:szCs w:val="24"/>
                <w:lang w:val="en-US" w:eastAsia="zh-CN"/>
              </w:rPr>
              <w:t>12.57</w:t>
            </w:r>
          </w:p>
        </w:tc>
        <w:tc>
          <w:tcPr>
            <w:tcW w:w="0" w:type="auto"/>
            <w:vAlign w:val="center"/>
          </w:tcPr>
          <w:p w14:paraId="6D2C70B2">
            <w:pPr>
              <w:bidi w:val="0"/>
              <w:ind w:left="0" w:leftChars="0" w:firstLine="0" w:firstLineChars="0"/>
              <w:jc w:val="center"/>
              <w:rPr>
                <w:rFonts w:hint="eastAsia"/>
                <w:sz w:val="24"/>
                <w:szCs w:val="24"/>
              </w:rPr>
            </w:pPr>
            <w:r>
              <w:rPr>
                <w:rFonts w:hint="eastAsia"/>
                <w:sz w:val="24"/>
                <w:szCs w:val="24"/>
                <w:lang w:val="en-US" w:eastAsia="zh-CN"/>
              </w:rPr>
              <w:t>12.2</w:t>
            </w:r>
          </w:p>
        </w:tc>
        <w:tc>
          <w:tcPr>
            <w:tcW w:w="0" w:type="auto"/>
            <w:vAlign w:val="center"/>
          </w:tcPr>
          <w:p w14:paraId="741D22D8">
            <w:pPr>
              <w:bidi w:val="0"/>
              <w:ind w:left="0" w:leftChars="0" w:firstLine="0" w:firstLineChars="0"/>
              <w:jc w:val="center"/>
              <w:rPr>
                <w:rFonts w:hint="eastAsia"/>
                <w:sz w:val="24"/>
                <w:szCs w:val="24"/>
              </w:rPr>
            </w:pPr>
            <w:r>
              <w:rPr>
                <w:rFonts w:hint="eastAsia"/>
                <w:sz w:val="24"/>
                <w:szCs w:val="24"/>
                <w:lang w:val="en-US" w:eastAsia="zh-CN"/>
              </w:rPr>
              <w:t>12.07</w:t>
            </w:r>
          </w:p>
        </w:tc>
        <w:tc>
          <w:tcPr>
            <w:tcW w:w="0" w:type="auto"/>
            <w:vAlign w:val="center"/>
          </w:tcPr>
          <w:p w14:paraId="3F728E61">
            <w:pPr>
              <w:bidi w:val="0"/>
              <w:ind w:left="0" w:leftChars="0" w:firstLine="0" w:firstLineChars="0"/>
              <w:jc w:val="center"/>
              <w:rPr>
                <w:rFonts w:hint="eastAsia"/>
                <w:sz w:val="24"/>
                <w:szCs w:val="24"/>
              </w:rPr>
            </w:pPr>
            <w:r>
              <w:rPr>
                <w:rFonts w:hint="eastAsia"/>
                <w:sz w:val="24"/>
                <w:szCs w:val="24"/>
                <w:lang w:val="en-US" w:eastAsia="zh-CN"/>
              </w:rPr>
              <w:t>10.68</w:t>
            </w:r>
          </w:p>
        </w:tc>
        <w:tc>
          <w:tcPr>
            <w:tcW w:w="0" w:type="auto"/>
            <w:vAlign w:val="center"/>
          </w:tcPr>
          <w:p w14:paraId="70AE4233">
            <w:pPr>
              <w:bidi w:val="0"/>
              <w:ind w:left="0" w:leftChars="0" w:firstLine="0" w:firstLineChars="0"/>
              <w:jc w:val="center"/>
              <w:rPr>
                <w:rFonts w:hint="eastAsia"/>
                <w:sz w:val="24"/>
                <w:szCs w:val="24"/>
              </w:rPr>
            </w:pPr>
            <w:r>
              <w:rPr>
                <w:rFonts w:hint="eastAsia"/>
                <w:sz w:val="24"/>
                <w:szCs w:val="24"/>
                <w:lang w:val="en-US" w:eastAsia="zh-CN"/>
              </w:rPr>
              <w:t>10.35</w:t>
            </w:r>
          </w:p>
        </w:tc>
      </w:tr>
      <w:tr w14:paraId="2E43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0A7EB469">
            <w:pPr>
              <w:bidi w:val="0"/>
              <w:ind w:left="0" w:leftChars="0" w:firstLine="0" w:firstLineChars="0"/>
              <w:jc w:val="center"/>
              <w:rPr>
                <w:rFonts w:hint="default"/>
                <w:sz w:val="24"/>
                <w:szCs w:val="24"/>
                <w:lang w:val="en-US" w:eastAsia="zh-CN"/>
              </w:rPr>
            </w:pPr>
            <w:r>
              <w:rPr>
                <w:rFonts w:hint="eastAsia"/>
                <w:sz w:val="24"/>
                <w:szCs w:val="24"/>
                <w:lang w:val="en-US" w:eastAsia="zh-CN"/>
              </w:rPr>
              <w:t>4</w:t>
            </w:r>
          </w:p>
        </w:tc>
        <w:tc>
          <w:tcPr>
            <w:tcW w:w="0" w:type="auto"/>
            <w:vAlign w:val="center"/>
          </w:tcPr>
          <w:p w14:paraId="59629D9E">
            <w:pPr>
              <w:bidi w:val="0"/>
              <w:ind w:left="0" w:leftChars="0" w:firstLine="0" w:firstLineChars="0"/>
              <w:jc w:val="center"/>
              <w:rPr>
                <w:rFonts w:hint="default"/>
                <w:sz w:val="24"/>
                <w:szCs w:val="24"/>
                <w:lang w:val="en-US" w:eastAsia="zh-CN"/>
              </w:rPr>
            </w:pPr>
            <w:r>
              <w:rPr>
                <w:rFonts w:hint="eastAsia"/>
                <w:sz w:val="24"/>
                <w:szCs w:val="24"/>
                <w:lang w:val="en-US" w:eastAsia="zh-CN"/>
              </w:rPr>
              <w:t>拆除垃圾</w:t>
            </w:r>
          </w:p>
        </w:tc>
        <w:tc>
          <w:tcPr>
            <w:tcW w:w="0" w:type="auto"/>
            <w:vAlign w:val="center"/>
          </w:tcPr>
          <w:p w14:paraId="3EC1D001">
            <w:pPr>
              <w:bidi w:val="0"/>
              <w:ind w:left="0" w:leftChars="0" w:firstLine="0" w:firstLineChars="0"/>
              <w:jc w:val="center"/>
              <w:rPr>
                <w:rFonts w:hint="default"/>
                <w:sz w:val="24"/>
                <w:szCs w:val="24"/>
                <w:lang w:val="en-US"/>
              </w:rPr>
            </w:pPr>
            <w:r>
              <w:rPr>
                <w:rFonts w:hint="eastAsia"/>
                <w:sz w:val="24"/>
                <w:szCs w:val="24"/>
                <w:lang w:val="en-US" w:eastAsia="zh-CN"/>
              </w:rPr>
              <w:t>10.44</w:t>
            </w:r>
          </w:p>
        </w:tc>
        <w:tc>
          <w:tcPr>
            <w:tcW w:w="0" w:type="auto"/>
            <w:vAlign w:val="center"/>
          </w:tcPr>
          <w:p w14:paraId="204D945A">
            <w:pPr>
              <w:bidi w:val="0"/>
              <w:ind w:left="0" w:leftChars="0" w:firstLine="0" w:firstLineChars="0"/>
              <w:jc w:val="center"/>
              <w:rPr>
                <w:rFonts w:hint="default"/>
                <w:sz w:val="24"/>
                <w:szCs w:val="24"/>
                <w:lang w:val="en-US"/>
              </w:rPr>
            </w:pPr>
            <w:r>
              <w:rPr>
                <w:rFonts w:hint="eastAsia"/>
                <w:sz w:val="24"/>
                <w:szCs w:val="24"/>
                <w:lang w:val="en-US" w:eastAsia="zh-CN"/>
              </w:rPr>
              <w:t>12.72</w:t>
            </w:r>
          </w:p>
        </w:tc>
        <w:tc>
          <w:tcPr>
            <w:tcW w:w="0" w:type="auto"/>
            <w:vAlign w:val="center"/>
          </w:tcPr>
          <w:p w14:paraId="0289C9E5">
            <w:pPr>
              <w:bidi w:val="0"/>
              <w:ind w:left="0" w:leftChars="0" w:firstLine="0" w:firstLineChars="0"/>
              <w:jc w:val="center"/>
              <w:rPr>
                <w:rFonts w:hint="default"/>
                <w:sz w:val="24"/>
                <w:szCs w:val="24"/>
                <w:lang w:val="en-US"/>
              </w:rPr>
            </w:pPr>
            <w:r>
              <w:rPr>
                <w:rFonts w:hint="eastAsia"/>
                <w:sz w:val="24"/>
                <w:szCs w:val="24"/>
                <w:lang w:val="en-US" w:eastAsia="zh-CN"/>
              </w:rPr>
              <w:t>10.65</w:t>
            </w:r>
          </w:p>
        </w:tc>
        <w:tc>
          <w:tcPr>
            <w:tcW w:w="0" w:type="auto"/>
            <w:vAlign w:val="center"/>
          </w:tcPr>
          <w:p w14:paraId="0F0C65B1">
            <w:pPr>
              <w:bidi w:val="0"/>
              <w:ind w:left="0" w:leftChars="0" w:firstLine="0" w:firstLineChars="0"/>
              <w:jc w:val="center"/>
              <w:rPr>
                <w:rFonts w:hint="default"/>
                <w:sz w:val="24"/>
                <w:szCs w:val="24"/>
                <w:lang w:val="en-US"/>
              </w:rPr>
            </w:pPr>
            <w:r>
              <w:rPr>
                <w:rFonts w:hint="eastAsia"/>
                <w:sz w:val="24"/>
                <w:szCs w:val="24"/>
                <w:lang w:val="en-US" w:eastAsia="zh-CN"/>
              </w:rPr>
              <w:t>9.02</w:t>
            </w:r>
          </w:p>
        </w:tc>
        <w:tc>
          <w:tcPr>
            <w:tcW w:w="0" w:type="auto"/>
            <w:vAlign w:val="center"/>
          </w:tcPr>
          <w:p w14:paraId="5AC57FAC">
            <w:pPr>
              <w:bidi w:val="0"/>
              <w:ind w:left="0" w:leftChars="0" w:firstLine="0" w:firstLineChars="0"/>
              <w:jc w:val="center"/>
              <w:rPr>
                <w:rFonts w:hint="default"/>
                <w:sz w:val="24"/>
                <w:szCs w:val="24"/>
                <w:lang w:val="en-US"/>
              </w:rPr>
            </w:pPr>
            <w:r>
              <w:rPr>
                <w:rFonts w:hint="eastAsia"/>
                <w:sz w:val="24"/>
                <w:szCs w:val="24"/>
                <w:lang w:val="en-US" w:eastAsia="zh-CN"/>
              </w:rPr>
              <w:t>7.4</w:t>
            </w:r>
          </w:p>
        </w:tc>
      </w:tr>
      <w:tr w14:paraId="6055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9B08EFF">
            <w:pPr>
              <w:bidi w:val="0"/>
              <w:ind w:left="0" w:leftChars="0" w:firstLine="0" w:firstLineChars="0"/>
              <w:jc w:val="center"/>
              <w:rPr>
                <w:rFonts w:hint="default"/>
                <w:sz w:val="24"/>
                <w:szCs w:val="24"/>
                <w:lang w:val="en-US" w:eastAsia="zh-CN"/>
              </w:rPr>
            </w:pPr>
            <w:r>
              <w:rPr>
                <w:rFonts w:hint="eastAsia"/>
                <w:sz w:val="24"/>
                <w:szCs w:val="24"/>
                <w:lang w:val="en-US" w:eastAsia="zh-CN"/>
              </w:rPr>
              <w:t>5</w:t>
            </w:r>
          </w:p>
        </w:tc>
        <w:tc>
          <w:tcPr>
            <w:tcW w:w="0" w:type="auto"/>
            <w:vAlign w:val="center"/>
          </w:tcPr>
          <w:p w14:paraId="22D47A7B">
            <w:pPr>
              <w:bidi w:val="0"/>
              <w:ind w:left="0" w:leftChars="0" w:firstLine="0" w:firstLineChars="0"/>
              <w:jc w:val="center"/>
              <w:rPr>
                <w:rFonts w:hint="default"/>
                <w:sz w:val="24"/>
                <w:szCs w:val="24"/>
                <w:lang w:val="en-US" w:eastAsia="zh-CN"/>
              </w:rPr>
            </w:pPr>
            <w:r>
              <w:rPr>
                <w:rFonts w:hint="eastAsia"/>
                <w:sz w:val="24"/>
                <w:szCs w:val="24"/>
                <w:lang w:val="en-US" w:eastAsia="zh-CN"/>
              </w:rPr>
              <w:t>装修垃圾</w:t>
            </w:r>
          </w:p>
        </w:tc>
        <w:tc>
          <w:tcPr>
            <w:tcW w:w="0" w:type="auto"/>
            <w:vAlign w:val="center"/>
          </w:tcPr>
          <w:p w14:paraId="65266DCC">
            <w:pPr>
              <w:bidi w:val="0"/>
              <w:ind w:left="0" w:leftChars="0" w:firstLine="0" w:firstLineChars="0"/>
              <w:jc w:val="center"/>
              <w:rPr>
                <w:rFonts w:hint="eastAsia"/>
                <w:sz w:val="24"/>
                <w:szCs w:val="24"/>
              </w:rPr>
            </w:pPr>
            <w:r>
              <w:rPr>
                <w:rFonts w:hint="eastAsia"/>
                <w:sz w:val="24"/>
                <w:szCs w:val="24"/>
                <w:lang w:val="en-US" w:eastAsia="zh-CN"/>
              </w:rPr>
              <w:t>13.5</w:t>
            </w:r>
          </w:p>
        </w:tc>
        <w:tc>
          <w:tcPr>
            <w:tcW w:w="0" w:type="auto"/>
            <w:vAlign w:val="center"/>
          </w:tcPr>
          <w:p w14:paraId="73CBB76A">
            <w:pPr>
              <w:bidi w:val="0"/>
              <w:ind w:left="0" w:leftChars="0" w:firstLine="0" w:firstLineChars="0"/>
              <w:jc w:val="center"/>
              <w:rPr>
                <w:rFonts w:hint="eastAsia"/>
                <w:sz w:val="24"/>
                <w:szCs w:val="24"/>
              </w:rPr>
            </w:pPr>
            <w:r>
              <w:rPr>
                <w:rFonts w:hint="eastAsia"/>
                <w:sz w:val="24"/>
                <w:szCs w:val="24"/>
                <w:lang w:val="en-US" w:eastAsia="zh-CN"/>
              </w:rPr>
              <w:t>13.1</w:t>
            </w:r>
          </w:p>
        </w:tc>
        <w:tc>
          <w:tcPr>
            <w:tcW w:w="0" w:type="auto"/>
            <w:vAlign w:val="center"/>
          </w:tcPr>
          <w:p w14:paraId="65243F3C">
            <w:pPr>
              <w:bidi w:val="0"/>
              <w:ind w:left="0" w:leftChars="0" w:firstLine="0" w:firstLineChars="0"/>
              <w:jc w:val="center"/>
              <w:rPr>
                <w:rFonts w:hint="eastAsia"/>
                <w:sz w:val="24"/>
                <w:szCs w:val="24"/>
              </w:rPr>
            </w:pPr>
            <w:r>
              <w:rPr>
                <w:rFonts w:hint="eastAsia"/>
                <w:sz w:val="24"/>
                <w:szCs w:val="24"/>
                <w:lang w:val="en-US" w:eastAsia="zh-CN"/>
              </w:rPr>
              <w:t>12</w:t>
            </w:r>
          </w:p>
        </w:tc>
        <w:tc>
          <w:tcPr>
            <w:tcW w:w="0" w:type="auto"/>
            <w:vAlign w:val="center"/>
          </w:tcPr>
          <w:p w14:paraId="5462AE11">
            <w:pPr>
              <w:bidi w:val="0"/>
              <w:ind w:left="0" w:leftChars="0" w:firstLine="0" w:firstLineChars="0"/>
              <w:jc w:val="center"/>
              <w:rPr>
                <w:rFonts w:hint="eastAsia"/>
                <w:sz w:val="24"/>
                <w:szCs w:val="24"/>
              </w:rPr>
            </w:pPr>
            <w:r>
              <w:rPr>
                <w:rFonts w:hint="eastAsia"/>
                <w:sz w:val="24"/>
                <w:szCs w:val="24"/>
                <w:lang w:val="en-US" w:eastAsia="zh-CN"/>
              </w:rPr>
              <w:t>11.76</w:t>
            </w:r>
          </w:p>
        </w:tc>
        <w:tc>
          <w:tcPr>
            <w:tcW w:w="0" w:type="auto"/>
            <w:vAlign w:val="center"/>
          </w:tcPr>
          <w:p w14:paraId="0C9F90B9">
            <w:pPr>
              <w:bidi w:val="0"/>
              <w:ind w:left="0" w:leftChars="0" w:firstLine="0" w:firstLineChars="0"/>
              <w:jc w:val="center"/>
              <w:rPr>
                <w:rFonts w:hint="eastAsia"/>
                <w:sz w:val="24"/>
                <w:szCs w:val="24"/>
              </w:rPr>
            </w:pPr>
            <w:r>
              <w:rPr>
                <w:rFonts w:hint="eastAsia"/>
                <w:sz w:val="24"/>
                <w:szCs w:val="24"/>
                <w:lang w:val="en-US" w:eastAsia="zh-CN"/>
              </w:rPr>
              <w:t>11.5</w:t>
            </w:r>
          </w:p>
        </w:tc>
      </w:tr>
      <w:tr w14:paraId="77E7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98892BB">
            <w:pPr>
              <w:bidi w:val="0"/>
              <w:jc w:val="center"/>
              <w:rPr>
                <w:rFonts w:hint="eastAsia"/>
                <w:sz w:val="24"/>
                <w:szCs w:val="24"/>
                <w:lang w:val="en-US" w:eastAsia="zh-CN"/>
              </w:rPr>
            </w:pPr>
          </w:p>
        </w:tc>
        <w:tc>
          <w:tcPr>
            <w:tcW w:w="0" w:type="auto"/>
            <w:vAlign w:val="center"/>
          </w:tcPr>
          <w:p w14:paraId="227463AD">
            <w:pPr>
              <w:bidi w:val="0"/>
              <w:ind w:left="0" w:leftChars="0" w:firstLine="0" w:firstLineChars="0"/>
              <w:jc w:val="center"/>
              <w:rPr>
                <w:rFonts w:hint="eastAsia"/>
                <w:sz w:val="24"/>
                <w:szCs w:val="24"/>
                <w:lang w:val="en-US" w:eastAsia="zh-CN"/>
              </w:rPr>
            </w:pPr>
            <w:r>
              <w:rPr>
                <w:rFonts w:hint="eastAsia"/>
                <w:sz w:val="24"/>
                <w:szCs w:val="24"/>
                <w:lang w:val="en-US" w:eastAsia="zh-CN"/>
              </w:rPr>
              <w:t>总量</w:t>
            </w:r>
          </w:p>
        </w:tc>
        <w:tc>
          <w:tcPr>
            <w:tcW w:w="0" w:type="auto"/>
            <w:vAlign w:val="center"/>
          </w:tcPr>
          <w:p w14:paraId="589330E3">
            <w:pPr>
              <w:bidi w:val="0"/>
              <w:ind w:left="0" w:leftChars="0" w:firstLine="0" w:firstLineChars="0"/>
              <w:jc w:val="center"/>
              <w:rPr>
                <w:rFonts w:hint="default" w:eastAsia="仿宋"/>
                <w:sz w:val="24"/>
                <w:szCs w:val="24"/>
                <w:lang w:val="en-US" w:eastAsia="zh-CN"/>
              </w:rPr>
            </w:pPr>
            <w:r>
              <w:rPr>
                <w:rFonts w:hint="eastAsia"/>
                <w:sz w:val="24"/>
                <w:szCs w:val="24"/>
                <w:lang w:val="en-US" w:eastAsia="zh-CN"/>
              </w:rPr>
              <w:t>120.31</w:t>
            </w:r>
          </w:p>
        </w:tc>
        <w:tc>
          <w:tcPr>
            <w:tcW w:w="0" w:type="auto"/>
            <w:shd w:val="clear" w:color="auto" w:fill="auto"/>
            <w:vAlign w:val="center"/>
          </w:tcPr>
          <w:p w14:paraId="53B02691">
            <w:pPr>
              <w:bidi w:val="0"/>
              <w:ind w:left="0" w:leftChars="0" w:firstLine="0" w:firstLineChars="0"/>
              <w:jc w:val="center"/>
              <w:rPr>
                <w:rFonts w:hint="default" w:ascii="Times New Roman" w:hAnsi="Times New Roman" w:eastAsia="仿宋" w:cstheme="minorBidi"/>
                <w:kern w:val="2"/>
                <w:sz w:val="24"/>
                <w:szCs w:val="24"/>
                <w:lang w:val="en-US" w:eastAsia="zh-CN" w:bidi="ar-SA"/>
              </w:rPr>
            </w:pPr>
            <w:r>
              <w:rPr>
                <w:rFonts w:hint="eastAsia"/>
                <w:sz w:val="24"/>
                <w:szCs w:val="24"/>
                <w:lang w:val="en-US" w:eastAsia="zh-CN"/>
              </w:rPr>
              <w:t>119.36</w:t>
            </w:r>
          </w:p>
        </w:tc>
        <w:tc>
          <w:tcPr>
            <w:tcW w:w="0" w:type="auto"/>
            <w:shd w:val="clear" w:color="auto" w:fill="auto"/>
            <w:vAlign w:val="center"/>
          </w:tcPr>
          <w:p w14:paraId="7E355646">
            <w:pPr>
              <w:bidi w:val="0"/>
              <w:ind w:left="0" w:leftChars="0" w:firstLine="0" w:firstLineChars="0"/>
              <w:jc w:val="center"/>
              <w:rPr>
                <w:rFonts w:hint="default" w:ascii="Times New Roman" w:hAnsi="Times New Roman" w:eastAsia="仿宋" w:cstheme="minorBidi"/>
                <w:kern w:val="2"/>
                <w:sz w:val="24"/>
                <w:szCs w:val="24"/>
                <w:lang w:val="en-US" w:eastAsia="zh-CN" w:bidi="ar-SA"/>
              </w:rPr>
            </w:pPr>
            <w:r>
              <w:rPr>
                <w:rFonts w:hint="eastAsia"/>
                <w:sz w:val="24"/>
                <w:szCs w:val="24"/>
                <w:lang w:val="en-US" w:eastAsia="zh-CN"/>
              </w:rPr>
              <w:t>115.19</w:t>
            </w:r>
          </w:p>
        </w:tc>
        <w:tc>
          <w:tcPr>
            <w:tcW w:w="0" w:type="auto"/>
            <w:shd w:val="clear" w:color="auto" w:fill="auto"/>
            <w:vAlign w:val="center"/>
          </w:tcPr>
          <w:p w14:paraId="778E0171">
            <w:pPr>
              <w:bidi w:val="0"/>
              <w:ind w:left="0" w:leftChars="0" w:firstLine="0" w:firstLineChars="0"/>
              <w:jc w:val="center"/>
              <w:rPr>
                <w:rFonts w:hint="default" w:ascii="Times New Roman" w:hAnsi="Times New Roman" w:eastAsia="仿宋" w:cstheme="minorBidi"/>
                <w:kern w:val="2"/>
                <w:sz w:val="24"/>
                <w:szCs w:val="24"/>
                <w:lang w:val="en-US" w:eastAsia="zh-CN" w:bidi="ar-SA"/>
              </w:rPr>
            </w:pPr>
            <w:r>
              <w:rPr>
                <w:rFonts w:hint="eastAsia"/>
                <w:sz w:val="24"/>
                <w:szCs w:val="24"/>
                <w:lang w:val="en-US" w:eastAsia="zh-CN"/>
              </w:rPr>
              <w:t>102.65</w:t>
            </w:r>
          </w:p>
        </w:tc>
        <w:tc>
          <w:tcPr>
            <w:tcW w:w="0" w:type="auto"/>
            <w:shd w:val="clear" w:color="auto" w:fill="auto"/>
            <w:vAlign w:val="center"/>
          </w:tcPr>
          <w:p w14:paraId="39841E13">
            <w:pPr>
              <w:bidi w:val="0"/>
              <w:ind w:left="0" w:leftChars="0" w:firstLine="0" w:firstLineChars="0"/>
              <w:jc w:val="center"/>
              <w:rPr>
                <w:rFonts w:hint="eastAsia" w:ascii="Times New Roman" w:hAnsi="Times New Roman" w:eastAsia="仿宋" w:cstheme="minorBidi"/>
                <w:kern w:val="2"/>
                <w:sz w:val="24"/>
                <w:szCs w:val="24"/>
                <w:lang w:val="en-US" w:eastAsia="zh-CN" w:bidi="ar-SA"/>
              </w:rPr>
            </w:pPr>
            <w:r>
              <w:rPr>
                <w:rFonts w:hint="eastAsia"/>
                <w:sz w:val="24"/>
                <w:szCs w:val="24"/>
                <w:lang w:val="en-US" w:eastAsia="zh-CN"/>
              </w:rPr>
              <w:t>98.28</w:t>
            </w:r>
          </w:p>
        </w:tc>
      </w:tr>
    </w:tbl>
    <w:p w14:paraId="505F0240">
      <w:pPr>
        <w:pageBreakBefore w:val="0"/>
        <w:kinsoku/>
        <w:wordWrap w:val="0"/>
        <w:overflowPunct/>
        <w:topLinePunct w:val="0"/>
        <w:autoSpaceDE/>
        <w:autoSpaceDN/>
        <w:bidi w:val="0"/>
        <w:adjustRightInd/>
        <w:snapToGrid/>
        <w:ind w:firstLine="560"/>
        <w:rPr>
          <w:rFonts w:hint="eastAsia" w:cs="Times New Roman"/>
          <w:szCs w:val="28"/>
          <w:highlight w:val="cyan"/>
        </w:rPr>
      </w:pPr>
    </w:p>
    <w:p w14:paraId="12926435">
      <w:pPr>
        <w:pStyle w:val="3"/>
        <w:bidi w:val="0"/>
        <w:rPr>
          <w:rFonts w:hint="eastAsia" w:ascii="楷体" w:hAnsi="楷体" w:eastAsia="楷体" w:cs="楷体"/>
          <w:sz w:val="28"/>
          <w:szCs w:val="28"/>
        </w:rPr>
      </w:pPr>
      <w:bookmarkStart w:id="94" w:name="_Toc1688"/>
      <w:r>
        <w:rPr>
          <w:rFonts w:hint="eastAsia" w:ascii="楷体" w:hAnsi="楷体" w:eastAsia="楷体" w:cs="楷体"/>
          <w:sz w:val="28"/>
          <w:szCs w:val="28"/>
        </w:rPr>
        <w:t>（二）建筑垃圾收运现状</w:t>
      </w:r>
      <w:bookmarkEnd w:id="94"/>
    </w:p>
    <w:p w14:paraId="61D39B4B">
      <w:pPr>
        <w:bidi w:val="0"/>
      </w:pPr>
      <w:r>
        <w:rPr>
          <w:rFonts w:hint="eastAsia"/>
          <w:lang w:val="en-US" w:eastAsia="zh-CN"/>
        </w:rPr>
        <w:t>桃江县</w:t>
      </w:r>
      <w:r>
        <w:t>建筑垃圾运输服务企业</w:t>
      </w:r>
      <w:r>
        <w:rPr>
          <w:rFonts w:hint="eastAsia"/>
          <w:lang w:val="en-US" w:eastAsia="zh-CN"/>
        </w:rPr>
        <w:t>向桃江</w:t>
      </w:r>
      <w:r>
        <w:t>县城市管理和综合执法局</w:t>
      </w:r>
      <w:r>
        <w:rPr>
          <w:rFonts w:hint="eastAsia"/>
          <w:lang w:val="en-US" w:eastAsia="zh-CN"/>
        </w:rPr>
        <w:t>提出申请，</w:t>
      </w:r>
      <w:r>
        <w:t>获得建筑垃圾</w:t>
      </w:r>
      <w:r>
        <w:rPr>
          <w:rFonts w:hint="eastAsia"/>
          <w:lang w:val="en-US" w:eastAsia="zh-CN"/>
        </w:rPr>
        <w:t>运输</w:t>
      </w:r>
      <w:r>
        <w:t>核准后，方可运输建筑垃圾。运输车辆需按照城市管理和综合执法主管部门确定的时间、路线运输到指定地点，不得乱倾乱倒。</w:t>
      </w:r>
      <w:r>
        <w:rPr>
          <w:rFonts w:hint="eastAsia"/>
          <w:lang w:val="en-US" w:eastAsia="zh-CN"/>
        </w:rPr>
        <w:t>桃江县</w:t>
      </w:r>
      <w:r>
        <w:t>现状建筑垃圾运输企业以渣土运输企业为主，建筑垃圾收运主要采用直运模式，建筑垃圾产生单位将建筑垃圾统一整理后由建筑垃圾收运企业收集或渣土运输公司进行运送。</w:t>
      </w:r>
    </w:p>
    <w:p w14:paraId="0C7EB69D">
      <w:pPr>
        <w:bidi w:val="0"/>
      </w:pPr>
      <w:r>
        <w:t>现有建筑垃圾运输车辆颜色为绿色，有部分为老式运输车辆，新型智能环保运输车辆普及率相对较低，车载智能管控设备配置率待提升。</w:t>
      </w:r>
    </w:p>
    <w:p w14:paraId="7A6AD9EE">
      <w:pPr>
        <w:pStyle w:val="3"/>
        <w:bidi w:val="0"/>
        <w:rPr>
          <w:rFonts w:hint="eastAsia" w:ascii="楷体" w:hAnsi="楷体" w:eastAsia="楷体" w:cs="楷体"/>
          <w:sz w:val="28"/>
          <w:szCs w:val="28"/>
        </w:rPr>
      </w:pPr>
      <w:bookmarkStart w:id="95" w:name="_Toc4051"/>
      <w:r>
        <w:rPr>
          <w:rFonts w:hint="eastAsia" w:ascii="楷体" w:hAnsi="楷体" w:eastAsia="楷体" w:cs="楷体"/>
          <w:sz w:val="28"/>
          <w:szCs w:val="28"/>
          <w:lang w:val="en-US" w:eastAsia="zh-CN"/>
        </w:rPr>
        <w:t>（三）</w:t>
      </w:r>
      <w:r>
        <w:rPr>
          <w:rFonts w:hint="eastAsia" w:ascii="楷体" w:hAnsi="楷体" w:eastAsia="楷体" w:cs="楷体"/>
          <w:sz w:val="28"/>
          <w:szCs w:val="28"/>
        </w:rPr>
        <w:t>建筑垃圾处理处置现状</w:t>
      </w:r>
      <w:bookmarkEnd w:id="95"/>
    </w:p>
    <w:p w14:paraId="113C03EB">
      <w:pPr>
        <w:pStyle w:val="4"/>
        <w:bidi w:val="0"/>
      </w:pPr>
      <w:r>
        <w:t>1、建筑垃圾处置方式</w:t>
      </w:r>
    </w:p>
    <w:p w14:paraId="1A491236">
      <w:pPr>
        <w:bidi w:val="0"/>
        <w:rPr>
          <w:strike w:val="0"/>
          <w:dstrike w:val="0"/>
          <w:highlight w:val="none"/>
          <w:u w:val="single"/>
        </w:rPr>
      </w:pPr>
      <w:bookmarkStart w:id="96" w:name="bookmark146"/>
      <w:bookmarkEnd w:id="96"/>
      <w:r>
        <w:rPr>
          <w:rFonts w:hint="eastAsia"/>
          <w:lang w:val="en-US" w:eastAsia="zh-CN"/>
        </w:rPr>
        <w:t>桃江县</w:t>
      </w:r>
      <w:r>
        <w:t>建筑垃圾分类处理方式主要包括工程回填、堆填、资源化利用等方式。其中，工程渣土通常直接用于低洼地块或待填高地块的回填利用、绿化造景、农田复垦等；工程垃圾和拆除垃圾具有一定的强度，资源化利用价值高，常直接用于回填、铺筑道路和加工制备再生骨料；装修垃圾具有轻质、组分复杂的特点，目前</w:t>
      </w:r>
      <w:r>
        <w:rPr>
          <w:rFonts w:hint="eastAsia"/>
          <w:lang w:val="en-US" w:eastAsia="zh-CN"/>
        </w:rPr>
        <w:t>桃江县</w:t>
      </w:r>
      <w:r>
        <w:t>装修垃圾主要通过分拣筛选后进行分类处理，其中筛出的金属、塑料、玻璃等进行资源化再生利用，废布、木头等可作为燃物利用，剩余垃圾进行堆填消纳。</w:t>
      </w:r>
      <w:r>
        <w:rPr>
          <w:strike w:val="0"/>
          <w:dstrike w:val="0"/>
          <w:highlight w:val="none"/>
          <w:u w:val="single"/>
        </w:rPr>
        <w:t>2024年，</w:t>
      </w:r>
      <w:r>
        <w:rPr>
          <w:rFonts w:hint="eastAsia"/>
          <w:strike w:val="0"/>
          <w:dstrike w:val="0"/>
          <w:highlight w:val="none"/>
          <w:u w:val="single"/>
          <w:lang w:val="en-US" w:eastAsia="zh-CN"/>
        </w:rPr>
        <w:t>桃江县</w:t>
      </w:r>
      <w:r>
        <w:rPr>
          <w:strike w:val="0"/>
          <w:dstrike w:val="0"/>
          <w:highlight w:val="none"/>
          <w:u w:val="single"/>
        </w:rPr>
        <w:t>资源化利用建筑垃圾量约</w:t>
      </w:r>
      <w:r>
        <w:rPr>
          <w:rFonts w:hint="eastAsia"/>
          <w:strike w:val="0"/>
          <w:dstrike w:val="0"/>
          <w:highlight w:val="none"/>
          <w:u w:val="single"/>
          <w:lang w:val="en-US" w:eastAsia="zh-CN"/>
        </w:rPr>
        <w:t>68.78</w:t>
      </w:r>
      <w:r>
        <w:rPr>
          <w:strike w:val="0"/>
          <w:dstrike w:val="0"/>
          <w:highlight w:val="none"/>
          <w:u w:val="single"/>
        </w:rPr>
        <w:t>万吨，建筑垃圾资源化利用率约为</w:t>
      </w:r>
      <w:r>
        <w:rPr>
          <w:rFonts w:hint="eastAsia"/>
          <w:strike w:val="0"/>
          <w:dstrike w:val="0"/>
          <w:highlight w:val="none"/>
          <w:u w:val="single"/>
          <w:lang w:val="en-US" w:eastAsia="zh-CN"/>
        </w:rPr>
        <w:t>70</w:t>
      </w:r>
      <w:r>
        <w:rPr>
          <w:strike w:val="0"/>
          <w:dstrike w:val="0"/>
          <w:highlight w:val="none"/>
          <w:u w:val="single"/>
        </w:rPr>
        <w:t>%。</w:t>
      </w:r>
    </w:p>
    <w:p w14:paraId="559B9846">
      <w:pPr>
        <w:pStyle w:val="4"/>
        <w:bidi w:val="0"/>
      </w:pPr>
      <w:r>
        <w:t>2、建筑垃圾处理设施现状</w:t>
      </w:r>
    </w:p>
    <w:p w14:paraId="32A60B3D">
      <w:pPr>
        <w:bidi w:val="0"/>
      </w:pPr>
      <w:r>
        <w:rPr>
          <w:rFonts w:hint="eastAsia"/>
          <w:lang w:val="en-US" w:eastAsia="zh-CN"/>
        </w:rPr>
        <w:t>桃江县</w:t>
      </w:r>
      <w:r>
        <w:t>现状建筑垃圾处理设施主要为资源化利用</w:t>
      </w:r>
      <w:r>
        <w:rPr>
          <w:rFonts w:hint="eastAsia"/>
          <w:lang w:val="en-US" w:eastAsia="zh-CN"/>
        </w:rPr>
        <w:t>厂</w:t>
      </w:r>
      <w:r>
        <w:t>和堆填场，</w:t>
      </w:r>
      <w:bookmarkStart w:id="97" w:name="OLE_LINK57"/>
      <w:r>
        <w:t>资源化利用</w:t>
      </w:r>
      <w:r>
        <w:rPr>
          <w:rFonts w:hint="eastAsia"/>
          <w:lang w:val="en-US" w:eastAsia="zh-CN"/>
        </w:rPr>
        <w:t>厂</w:t>
      </w:r>
      <w:r>
        <w:t>包括</w:t>
      </w:r>
      <w:bookmarkEnd w:id="97"/>
      <w:bookmarkStart w:id="98" w:name="OLE_LINK111"/>
      <w:r>
        <w:rPr>
          <w:rFonts w:hint="eastAsia"/>
        </w:rPr>
        <w:t>益阳方成建筑新材料有限公司</w:t>
      </w:r>
      <w:r>
        <w:rPr>
          <w:rFonts w:hint="eastAsia"/>
          <w:lang w:eastAsia="zh-CN"/>
        </w:rPr>
        <w:t>、</w:t>
      </w:r>
      <w:r>
        <w:rPr>
          <w:rFonts w:hint="eastAsia"/>
          <w:lang w:val="en-US" w:eastAsia="zh-CN"/>
        </w:rPr>
        <w:t>桃江县晓亿建材有限责任公司、</w:t>
      </w:r>
      <w:r>
        <w:rPr>
          <w:rFonts w:hint="eastAsia"/>
        </w:rPr>
        <w:t>桃江惠强环保建材有限公司</w:t>
      </w:r>
      <w:bookmarkEnd w:id="98"/>
      <w:r>
        <w:rPr>
          <w:rFonts w:hint="eastAsia"/>
          <w:lang w:eastAsia="zh-CN"/>
        </w:rPr>
        <w:t>；</w:t>
      </w:r>
      <w:r>
        <w:t>建筑垃圾堆填场包括</w:t>
      </w:r>
      <w:r>
        <w:rPr>
          <w:rFonts w:hint="eastAsia"/>
          <w:lang w:val="en-US" w:eastAsia="zh-CN"/>
        </w:rPr>
        <w:t>浮邱山垃圾堆场，但目前已停用，本规划设计新建2个建筑垃圾填埋消纳场、3个建筑垃圾转运调配场。</w:t>
      </w:r>
    </w:p>
    <w:p w14:paraId="036A758D">
      <w:pPr>
        <w:bidi w:val="0"/>
        <w:rPr>
          <w:rFonts w:hint="eastAsia"/>
        </w:rPr>
      </w:pPr>
      <w:r>
        <w:rPr>
          <w:rFonts w:hint="eastAsia"/>
        </w:rPr>
        <w:t>益阳方成建筑新材料有限公司年处理100万吨建筑垃圾(固体废料)综合处理利用项目</w:t>
      </w:r>
      <w:r>
        <w:rPr>
          <w:rFonts w:hint="eastAsia"/>
          <w:lang w:val="en-US" w:eastAsia="zh-CN"/>
        </w:rPr>
        <w:t>位于</w:t>
      </w:r>
      <w:r>
        <w:rPr>
          <w:rFonts w:hint="eastAsia"/>
        </w:rPr>
        <w:t>桃江县浮邱山乡人形山村，用地面积46666.9m</w:t>
      </w:r>
      <w:r>
        <w:rPr>
          <w:rFonts w:hint="eastAsia"/>
          <w:vertAlign w:val="superscript"/>
        </w:rPr>
        <w:t>2</w:t>
      </w:r>
      <w:r>
        <w:rPr>
          <w:rFonts w:hint="eastAsia"/>
        </w:rPr>
        <w:t>（合70亩），年处理建筑垃圾(固体废料)100万吨，年生产各类路面景观砖60万m</w:t>
      </w:r>
      <w:r>
        <w:rPr>
          <w:rFonts w:hint="eastAsia"/>
          <w:vertAlign w:val="superscript"/>
        </w:rPr>
        <w:t>2</w:t>
      </w:r>
      <w:r>
        <w:rPr>
          <w:rFonts w:hint="eastAsia"/>
        </w:rPr>
        <w:t>、干粉砂浆20万吨、稳定层料90万吨。</w:t>
      </w:r>
    </w:p>
    <w:p w14:paraId="58D8B054">
      <w:pPr>
        <w:bidi w:val="0"/>
        <w:rPr>
          <w:rFonts w:hint="eastAsia"/>
        </w:rPr>
      </w:pPr>
      <w:r>
        <w:rPr>
          <w:rFonts w:hint="eastAsia"/>
        </w:rPr>
        <w:t>桃江惠强环保建材有限公司污泥、淤泥、废弃土无害化处理与再生利用基地建设项目</w:t>
      </w:r>
      <w:r>
        <w:rPr>
          <w:rFonts w:hint="eastAsia"/>
          <w:lang w:val="en-US" w:eastAsia="zh-CN"/>
        </w:rPr>
        <w:t>位于</w:t>
      </w:r>
      <w:r>
        <w:rPr>
          <w:rFonts w:hint="eastAsia"/>
        </w:rPr>
        <w:t>桃江县浮邱山乡人形山村丁家湾组，桃花江大道（G536）南侧。项目规划用地面积63064.01m</w:t>
      </w:r>
      <w:r>
        <w:rPr>
          <w:rFonts w:hint="eastAsia"/>
          <w:vertAlign w:val="superscript"/>
        </w:rPr>
        <w:t>2</w:t>
      </w:r>
      <w:r>
        <w:rPr>
          <w:rFonts w:hint="eastAsia"/>
        </w:rPr>
        <w:t>（合94.6亩）</w:t>
      </w:r>
      <w:r>
        <w:rPr>
          <w:rFonts w:hint="eastAsia"/>
          <w:lang w:eastAsia="zh-CN"/>
        </w:rPr>
        <w:t>，</w:t>
      </w:r>
      <w:r>
        <w:rPr>
          <w:rFonts w:hint="eastAsia"/>
        </w:rPr>
        <w:t>年处理污泥、废弃土、建筑废渣粉尘9.2万吨（其中污泥7.3万吨），</w:t>
      </w:r>
      <w:r>
        <w:t>年</w:t>
      </w:r>
      <w:r>
        <w:rPr>
          <w:rFonts w:hint="eastAsia"/>
        </w:rPr>
        <w:t>生</w:t>
      </w:r>
      <w:r>
        <w:t>产烧结保温</w:t>
      </w:r>
      <w:r>
        <w:rPr>
          <w:rFonts w:hint="eastAsia"/>
        </w:rPr>
        <w:t>空心</w:t>
      </w:r>
      <w:r>
        <w:t>砌块30万</w:t>
      </w:r>
      <w:r>
        <w:rPr>
          <w:rFonts w:hint="eastAsia"/>
        </w:rPr>
        <w:t>m</w:t>
      </w:r>
      <w:r>
        <w:rPr>
          <w:rFonts w:hint="eastAsia"/>
          <w:vertAlign w:val="superscript"/>
        </w:rPr>
        <w:t>3</w:t>
      </w:r>
      <w:r>
        <w:rPr>
          <w:rFonts w:hint="eastAsia"/>
        </w:rPr>
        <w:t>（折合标砖20000万块）</w:t>
      </w:r>
      <w:r>
        <w:t>。</w:t>
      </w:r>
    </w:p>
    <w:p w14:paraId="1314A0E5">
      <w:pPr>
        <w:bidi w:val="0"/>
      </w:pPr>
      <w:r>
        <w:rPr>
          <w:rFonts w:hint="eastAsia"/>
        </w:rPr>
        <w:t>桃江县晓亿建材有限责任公司年处理60万吨建筑垃圾建设项目</w:t>
      </w:r>
      <w:r>
        <w:rPr>
          <w:rFonts w:hint="eastAsia"/>
          <w:lang w:val="en-US" w:eastAsia="zh-CN"/>
        </w:rPr>
        <w:t>位于</w:t>
      </w:r>
      <w:r>
        <w:rPr>
          <w:rFonts w:hint="eastAsia"/>
        </w:rPr>
        <w:t>桃江县石牛江镇增塘村鱼形山组和莲花组</w:t>
      </w:r>
      <w:r>
        <w:rPr>
          <w:rFonts w:hint="eastAsia"/>
          <w:lang w:eastAsia="zh-CN"/>
        </w:rPr>
        <w:t>，</w:t>
      </w:r>
      <w:r>
        <w:rPr>
          <w:rFonts w:hint="eastAsia"/>
        </w:rPr>
        <w:t>项目用地面积13334平方米(20亩)，年处理建筑垃圾60万吨，年生产骨料51万吨、环保砖32万吨、水稳料25万吨。</w:t>
      </w:r>
    </w:p>
    <w:p w14:paraId="11816BD3">
      <w:pPr>
        <w:pStyle w:val="3"/>
        <w:bidi w:val="0"/>
        <w:rPr>
          <w:rFonts w:hint="eastAsia" w:ascii="楷体" w:hAnsi="楷体" w:eastAsia="楷体" w:cs="楷体"/>
          <w:sz w:val="28"/>
          <w:szCs w:val="28"/>
        </w:rPr>
      </w:pPr>
      <w:bookmarkStart w:id="99" w:name="bookmark32"/>
      <w:bookmarkEnd w:id="99"/>
      <w:bookmarkStart w:id="100" w:name="bookmark33"/>
      <w:bookmarkEnd w:id="100"/>
      <w:bookmarkStart w:id="101" w:name="_Toc22412"/>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四</w:t>
      </w:r>
      <w:r>
        <w:rPr>
          <w:rFonts w:hint="eastAsia" w:ascii="楷体" w:hAnsi="楷体" w:eastAsia="楷体" w:cs="楷体"/>
          <w:sz w:val="28"/>
          <w:szCs w:val="28"/>
          <w:lang w:eastAsia="zh-CN"/>
        </w:rPr>
        <w:t>）</w:t>
      </w:r>
      <w:r>
        <w:rPr>
          <w:rFonts w:hint="eastAsia" w:ascii="楷体" w:hAnsi="楷体" w:eastAsia="楷体" w:cs="楷体"/>
          <w:sz w:val="28"/>
          <w:szCs w:val="28"/>
        </w:rPr>
        <w:t>建筑垃圾监管现状</w:t>
      </w:r>
      <w:bookmarkEnd w:id="101"/>
    </w:p>
    <w:p w14:paraId="29AEF105">
      <w:pPr>
        <w:bidi w:val="0"/>
      </w:pPr>
      <w:r>
        <w:t>根据《桃江县加强建筑</w:t>
      </w:r>
      <w:r>
        <w:rPr>
          <w:rFonts w:hint="eastAsia"/>
        </w:rPr>
        <w:t>垃圾管理促进</w:t>
      </w:r>
      <w:r>
        <w:t>资源化利用工作实施方案》</w:t>
      </w:r>
      <w:r>
        <w:rPr>
          <w:rFonts w:hint="eastAsia"/>
          <w:lang w:eastAsia="zh-CN"/>
        </w:rPr>
        <w:t>、</w:t>
      </w:r>
      <w:r>
        <w:t>《桃江县城市建筑消纳治理和资源化利用特许经营实施方案》，城市管理和综合执法主管部门负责</w:t>
      </w:r>
      <w:r>
        <w:rPr>
          <w:rFonts w:hint="eastAsia"/>
          <w:lang w:val="en-US" w:eastAsia="zh-CN"/>
        </w:rPr>
        <w:t>县域</w:t>
      </w:r>
      <w:r>
        <w:t>范围内的建筑垃圾处置核准许可和行政执法工作，</w:t>
      </w:r>
      <w:bookmarkStart w:id="102" w:name="OLE_LINK60"/>
      <w:r>
        <w:t>县住房和城乡建设局</w:t>
      </w:r>
      <w:r>
        <w:rPr>
          <w:rFonts w:hint="eastAsia"/>
          <w:lang w:val="en-US" w:eastAsia="zh-CN"/>
        </w:rPr>
        <w:t>和</w:t>
      </w:r>
      <w:r>
        <w:rPr>
          <w:rFonts w:hint="eastAsia"/>
        </w:rPr>
        <w:t>县城市管理和综合执法局</w:t>
      </w:r>
      <w:r>
        <w:rPr>
          <w:rFonts w:hint="eastAsia"/>
          <w:lang w:val="en-US" w:eastAsia="zh-CN"/>
        </w:rPr>
        <w:t>共同</w:t>
      </w:r>
      <w:r>
        <w:t>指导、协调、监督、考</w:t>
      </w:r>
      <w:bookmarkEnd w:id="102"/>
      <w:r>
        <w:t>核</w:t>
      </w:r>
      <w:r>
        <w:rPr>
          <w:rFonts w:hint="eastAsia"/>
          <w:lang w:val="en-US" w:eastAsia="zh-CN"/>
        </w:rPr>
        <w:t>全县</w:t>
      </w:r>
      <w:r>
        <w:t>建筑垃圾管理工作。建筑垃圾处置单位应当向城市管理和综合执法主管部门提出申请，获得建筑垃圾处置核准后方可处置，建筑垃圾处置管理相关许可事项实行联合办理制度。建筑垃圾运输实行市场准入和专业化运输制度，市城市管理和综合执法主管部门负责对运输企业进入市中心城区建筑垃圾运输市场的条件进行认定，对符合条件的运输企业核发城市建筑垃圾运输核准证件，并纳入市中心城区建筑垃圾运输企业名录。</w:t>
      </w:r>
    </w:p>
    <w:p w14:paraId="5307AB87">
      <w:pPr>
        <w:bidi w:val="0"/>
      </w:pPr>
      <w:r>
        <w:t>从</w:t>
      </w:r>
      <w:r>
        <w:rPr>
          <w:rFonts w:hint="eastAsia"/>
          <w:lang w:val="en-US" w:eastAsia="zh-CN"/>
        </w:rPr>
        <w:t>桃江县域情况</w:t>
      </w:r>
      <w:r>
        <w:t>来看，</w:t>
      </w:r>
      <w:r>
        <w:rPr>
          <w:rFonts w:hint="eastAsia"/>
          <w:lang w:val="en-US" w:eastAsia="zh-CN"/>
        </w:rPr>
        <w:t>桃江县</w:t>
      </w:r>
      <w:r>
        <w:t>下辖乡镇建筑垃圾管理存在一定管理漏洞，乡镇尚未设立镇级建筑垃圾管理部门，各乡镇的建筑垃圾管理工作无人监管。从信息化管理水平来看，目前</w:t>
      </w:r>
      <w:r>
        <w:rPr>
          <w:rFonts w:hint="eastAsia"/>
          <w:lang w:val="en-US" w:eastAsia="zh-CN"/>
        </w:rPr>
        <w:t>桃江县中心城区</w:t>
      </w:r>
      <w:r>
        <w:t>已经建立建筑垃圾信息化管理平台，初步实现建筑垃圾的产生、运输和处置全过程监管，但尚未建立面向企业和公众的应用界面，建筑垃圾的全过程联单管理制度尚未有效执行，建筑垃圾处置的智能化水平和监管效率待提升。</w:t>
      </w:r>
    </w:p>
    <w:p w14:paraId="50EC4376">
      <w:pPr>
        <w:pStyle w:val="3"/>
        <w:bidi w:val="0"/>
        <w:rPr>
          <w:rFonts w:hint="eastAsia" w:ascii="楷体" w:hAnsi="楷体" w:eastAsia="楷体" w:cs="楷体"/>
          <w:sz w:val="28"/>
          <w:szCs w:val="28"/>
          <w:lang w:val="en-US" w:eastAsia="zh-CN"/>
        </w:rPr>
      </w:pPr>
      <w:bookmarkStart w:id="103" w:name="_Toc13586"/>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五</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建筑垃圾利用市场现状</w:t>
      </w:r>
      <w:bookmarkEnd w:id="103"/>
    </w:p>
    <w:p w14:paraId="079C2149">
      <w:pPr>
        <w:bidi w:val="0"/>
        <w:rPr>
          <w:rFonts w:hint="eastAsia"/>
          <w:lang w:eastAsia="zh-CN"/>
        </w:rPr>
      </w:pPr>
      <w:r>
        <w:t>我县作为建筑垃圾治理和资源化利用工作的试点县，积极推行建筑垃圾管理处措，大力推进建筑垃圾资源化利用，着力健全完善制度，强化各方责任，</w:t>
      </w:r>
      <w:r>
        <w:rPr>
          <w:rFonts w:hint="eastAsia"/>
          <w:lang w:val="en-US" w:eastAsia="zh-CN"/>
        </w:rPr>
        <w:t>目前</w:t>
      </w:r>
      <w:r>
        <w:t>已建成桃江慧强环</w:t>
      </w:r>
      <w:r>
        <w:rPr>
          <w:rFonts w:hint="eastAsia"/>
        </w:rPr>
        <w:t>保</w:t>
      </w:r>
      <w:r>
        <w:t>建材有限责任公司、益阳方成建筑材料有限责任公司和桃江晓亿建材有限责任公司</w:t>
      </w:r>
      <w:r>
        <w:rPr>
          <w:rFonts w:hint="eastAsia"/>
          <w:lang w:val="en-US" w:eastAsia="zh-CN"/>
        </w:rPr>
        <w:t>3</w:t>
      </w:r>
      <w:r>
        <w:t>家企业建筑垃</w:t>
      </w:r>
      <w:bookmarkStart w:id="104" w:name="OLE_LINK62"/>
      <w:r>
        <w:t>圾处理企业</w:t>
      </w:r>
      <w:r>
        <w:rPr>
          <w:rFonts w:hint="eastAsia"/>
          <w:lang w:eastAsia="zh-CN"/>
        </w:rPr>
        <w:t>。</w:t>
      </w:r>
    </w:p>
    <w:p w14:paraId="14B75014">
      <w:pPr>
        <w:bidi w:val="0"/>
      </w:pPr>
      <w:r>
        <w:t>生</w:t>
      </w:r>
      <w:bookmarkEnd w:id="104"/>
      <w:r>
        <w:t>产各类市政产品及构件，其生产的粘土空心砖广泛用于各在建项目中。</w:t>
      </w:r>
      <w:r>
        <w:rPr>
          <w:rFonts w:hint="eastAsia"/>
          <w:lang w:val="en-US" w:eastAsia="zh-CN"/>
        </w:rPr>
        <w:t>3家企业</w:t>
      </w:r>
      <w:r>
        <w:rPr>
          <w:rFonts w:hint="eastAsia"/>
        </w:rPr>
        <w:t>均采用国</w:t>
      </w:r>
      <w:r>
        <w:rPr>
          <w:rFonts w:hint="eastAsia"/>
          <w:lang w:val="en-US" w:eastAsia="zh-CN"/>
        </w:rPr>
        <w:t>内目前处理建筑垃圾的最新技术，其中方成公司、晓亿建材主营处理骨料</w:t>
      </w:r>
      <w:r>
        <w:rPr>
          <w:rFonts w:hint="eastAsia"/>
        </w:rPr>
        <w:t>、砌块及装修垃圾等硬垃圾，</w:t>
      </w:r>
      <w:r>
        <w:rPr>
          <w:rFonts w:hint="eastAsia"/>
          <w:lang w:val="en-US" w:eastAsia="zh-CN"/>
        </w:rPr>
        <w:t>生产</w:t>
      </w:r>
      <w:r>
        <w:rPr>
          <w:rFonts w:hint="eastAsia"/>
        </w:rPr>
        <w:t>再生骨料、再生水泥水稳垫层料、再生混凝土、各类海绵城市景观透水砖、路面仿石材透水砖、市政道路彩砖、水利护坡砖等</w:t>
      </w:r>
      <w:r>
        <w:rPr>
          <w:rFonts w:hint="eastAsia"/>
          <w:lang w:eastAsia="zh-CN"/>
        </w:rPr>
        <w:t>；</w:t>
      </w:r>
      <w:r>
        <w:rPr>
          <w:rFonts w:hint="eastAsia"/>
        </w:rPr>
        <w:t>惠强公司主要处理工程废弃土、污泥、淤泥等软垃圾，生产房建环保砖。</w:t>
      </w:r>
      <w:r>
        <w:rPr>
          <w:rFonts w:hint="eastAsia"/>
          <w:lang w:val="en-US" w:eastAsia="zh-CN"/>
        </w:rPr>
        <w:t>3</w:t>
      </w:r>
      <w:r>
        <w:rPr>
          <w:rFonts w:hint="eastAsia"/>
        </w:rPr>
        <w:t>家公司</w:t>
      </w:r>
      <w:r>
        <w:rPr>
          <w:rFonts w:hint="eastAsia"/>
          <w:lang w:val="en-US" w:eastAsia="zh-CN"/>
        </w:rPr>
        <w:t>处理建筑垃圾相辅相成</w:t>
      </w:r>
      <w:r>
        <w:rPr>
          <w:rFonts w:hint="eastAsia"/>
        </w:rPr>
        <w:t>，基本实现了对各类建筑垃圾处理的全覆盖。</w:t>
      </w:r>
      <w:bookmarkStart w:id="105" w:name="OLE_LINK66"/>
      <w:r>
        <w:rPr>
          <w:rFonts w:hint="eastAsia"/>
          <w:lang w:val="en-US" w:eastAsia="zh-CN"/>
        </w:rPr>
        <w:t>2022年一季度</w:t>
      </w:r>
      <w:r>
        <w:rPr>
          <w:rFonts w:hint="eastAsia"/>
        </w:rPr>
        <w:t>，已处理建筑垃圾</w:t>
      </w:r>
      <w:r>
        <w:rPr>
          <w:rFonts w:hint="eastAsia"/>
          <w:lang w:val="en-US" w:eastAsia="zh-CN"/>
        </w:rPr>
        <w:t>8.09</w:t>
      </w:r>
      <w:r>
        <w:rPr>
          <w:rFonts w:hint="eastAsia"/>
        </w:rPr>
        <w:t>万吨。</w:t>
      </w:r>
      <w:r>
        <w:rPr>
          <w:rFonts w:hint="eastAsia"/>
          <w:lang w:val="en-US" w:eastAsia="zh-CN"/>
        </w:rPr>
        <w:t>2024年</w:t>
      </w:r>
      <w:r>
        <w:t>各类建筑垃圾资源化利用</w:t>
      </w:r>
      <w:r>
        <w:rPr>
          <w:rFonts w:hint="eastAsia"/>
          <w:lang w:val="en-US" w:eastAsia="zh-CN"/>
        </w:rPr>
        <w:t>200余</w:t>
      </w:r>
      <w:r>
        <w:t>万吨左右</w:t>
      </w:r>
      <w:r>
        <w:rPr>
          <w:rFonts w:hint="eastAsia"/>
          <w:lang w:eastAsia="zh-CN"/>
        </w:rPr>
        <w:t>（</w:t>
      </w:r>
      <w:r>
        <w:rPr>
          <w:rFonts w:hint="eastAsia"/>
          <w:lang w:val="en-US" w:eastAsia="zh-CN"/>
        </w:rPr>
        <w:t>含县外转运</w:t>
      </w:r>
      <w:r>
        <w:rPr>
          <w:rFonts w:hint="eastAsia"/>
          <w:lang w:eastAsia="zh-CN"/>
        </w:rPr>
        <w:t>）</w:t>
      </w:r>
      <w:r>
        <w:t>，</w:t>
      </w:r>
      <w:r>
        <w:rPr>
          <w:rFonts w:hint="eastAsia"/>
          <w:lang w:val="en-US" w:eastAsia="zh-CN"/>
        </w:rPr>
        <w:t>县域</w:t>
      </w:r>
      <w:r>
        <w:t>建筑垃圾资源化综合利用率达到</w:t>
      </w:r>
      <w:r>
        <w:rPr>
          <w:rFonts w:hint="eastAsia"/>
          <w:lang w:val="en-US" w:eastAsia="zh-CN"/>
        </w:rPr>
        <w:t>63</w:t>
      </w:r>
      <w:r>
        <w:t>%。</w:t>
      </w:r>
      <w:bookmarkEnd w:id="105"/>
    </w:p>
    <w:p w14:paraId="1AD0EC1A">
      <w:pPr>
        <w:bidi w:val="0"/>
      </w:pPr>
      <w:r>
        <w:rPr>
          <w:rFonts w:hint="eastAsia"/>
          <w:lang w:val="en-US" w:eastAsia="zh-CN"/>
        </w:rPr>
        <w:t>公司</w:t>
      </w:r>
      <w:r>
        <w:rPr>
          <w:rFonts w:hint="eastAsia"/>
        </w:rPr>
        <w:t>产品应用范围较广，主要适用于市政工程道路、景观建设、水利护坡工程建设、楼盘景观建设等，销售已辐射桃江县周边200公里。已承建的项目有</w:t>
      </w:r>
      <w:r>
        <w:rPr>
          <w:rFonts w:hint="eastAsia"/>
          <w:lang w:eastAsia="zh-CN"/>
        </w:rPr>
        <w:t>：</w:t>
      </w:r>
      <w:r>
        <w:rPr>
          <w:rFonts w:hint="eastAsia"/>
        </w:rPr>
        <w:t>益阳市高铁站项目</w:t>
      </w:r>
      <w:r>
        <w:rPr>
          <w:rFonts w:hint="eastAsia"/>
          <w:lang w:eastAsia="zh-CN"/>
        </w:rPr>
        <w:t>（</w:t>
      </w:r>
      <w:r>
        <w:rPr>
          <w:rFonts w:hint="eastAsia"/>
        </w:rPr>
        <w:t>水稳、路面混凝土、透水砖、植草砖等用材</w:t>
      </w:r>
      <w:r>
        <w:rPr>
          <w:rFonts w:hint="eastAsia"/>
          <w:lang w:eastAsia="zh-CN"/>
        </w:rPr>
        <w:t>）、</w:t>
      </w:r>
      <w:r>
        <w:rPr>
          <w:rFonts w:hint="eastAsia"/>
        </w:rPr>
        <w:t>桃江县城投公司市政工程建设项目</w:t>
      </w:r>
      <w:r>
        <w:rPr>
          <w:rFonts w:hint="eastAsia"/>
          <w:lang w:eastAsia="zh-CN"/>
        </w:rPr>
        <w:t>（</w:t>
      </w:r>
      <w:r>
        <w:rPr>
          <w:rFonts w:hint="eastAsia"/>
        </w:rPr>
        <w:t>水稳、路面混凝土、市政透水砖等用材</w:t>
      </w:r>
      <w:r>
        <w:rPr>
          <w:rFonts w:hint="eastAsia"/>
          <w:lang w:eastAsia="zh-CN"/>
        </w:rPr>
        <w:t>）、</w:t>
      </w:r>
      <w:r>
        <w:rPr>
          <w:rFonts w:hint="eastAsia"/>
        </w:rPr>
        <w:t xml:space="preserve">桃江县三所合一项目 </w:t>
      </w:r>
      <w:r>
        <w:rPr>
          <w:rFonts w:hint="eastAsia"/>
          <w:lang w:eastAsia="zh-CN"/>
        </w:rPr>
        <w:t>（</w:t>
      </w:r>
      <w:r>
        <w:rPr>
          <w:rFonts w:hint="eastAsia"/>
        </w:rPr>
        <w:t>路面混凝土、砂石骨料供应</w:t>
      </w:r>
      <w:r>
        <w:rPr>
          <w:rFonts w:hint="eastAsia"/>
          <w:lang w:eastAsia="zh-CN"/>
        </w:rPr>
        <w:t>）、</w:t>
      </w:r>
      <w:r>
        <w:rPr>
          <w:rFonts w:hint="eastAsia"/>
        </w:rPr>
        <w:t>桃江沾溪二期治理工程项目</w:t>
      </w:r>
      <w:r>
        <w:rPr>
          <w:rFonts w:hint="eastAsia"/>
          <w:lang w:eastAsia="zh-CN"/>
        </w:rPr>
        <w:t>（</w:t>
      </w:r>
      <w:r>
        <w:rPr>
          <w:rFonts w:hint="eastAsia"/>
        </w:rPr>
        <w:t>连锁式生态砖供应</w:t>
      </w:r>
      <w:r>
        <w:rPr>
          <w:rFonts w:hint="eastAsia"/>
          <w:lang w:eastAsia="zh-CN"/>
        </w:rPr>
        <w:t>）、</w:t>
      </w:r>
      <w:r>
        <w:rPr>
          <w:rFonts w:hint="eastAsia"/>
        </w:rPr>
        <w:t>南县开发区厂区配套设施、大通湖殡仪馆景观配套设施、高铁新城项目水稳级配料供应、武潭镇镇区街道改造项目、益阳市一园两中心建设项目等</w:t>
      </w:r>
      <w:r>
        <w:rPr>
          <w:rFonts w:hint="eastAsia"/>
          <w:lang w:eastAsia="zh-CN"/>
        </w:rPr>
        <w:t>，</w:t>
      </w:r>
      <w:r>
        <w:rPr>
          <w:rFonts w:hint="eastAsia"/>
        </w:rPr>
        <w:t>下一步准备进入益阳及长沙等周边市场。</w:t>
      </w:r>
    </w:p>
    <w:p w14:paraId="1320C0FB">
      <w:pPr>
        <w:pStyle w:val="3"/>
        <w:bidi w:val="0"/>
        <w:rPr>
          <w:rFonts w:hint="eastAsia" w:ascii="楷体" w:hAnsi="楷体" w:eastAsia="楷体" w:cs="楷体"/>
          <w:sz w:val="28"/>
          <w:szCs w:val="28"/>
        </w:rPr>
      </w:pPr>
      <w:bookmarkStart w:id="106" w:name="bookmark34"/>
      <w:bookmarkEnd w:id="106"/>
      <w:bookmarkStart w:id="107" w:name="bookmark35"/>
      <w:bookmarkEnd w:id="107"/>
      <w:bookmarkStart w:id="108" w:name="_Toc8611"/>
      <w:r>
        <w:rPr>
          <w:rFonts w:hint="eastAsia" w:ascii="楷体" w:hAnsi="楷体" w:eastAsia="楷体" w:cs="楷体"/>
          <w:sz w:val="28"/>
          <w:szCs w:val="28"/>
          <w:lang w:val="en-US" w:eastAsia="zh-CN"/>
        </w:rPr>
        <w:t>（六）</w:t>
      </w:r>
      <w:r>
        <w:rPr>
          <w:rFonts w:hint="eastAsia" w:ascii="楷体" w:hAnsi="楷体" w:eastAsia="楷体" w:cs="楷体"/>
          <w:sz w:val="28"/>
          <w:szCs w:val="28"/>
        </w:rPr>
        <w:t>现状问题分析</w:t>
      </w:r>
      <w:bookmarkEnd w:id="108"/>
    </w:p>
    <w:p w14:paraId="60357A87">
      <w:pPr>
        <w:pStyle w:val="4"/>
        <w:bidi w:val="0"/>
      </w:pPr>
      <w:r>
        <w:t>1、分类收集程度不高，源头减量待提升</w:t>
      </w:r>
    </w:p>
    <w:p w14:paraId="2E607D43">
      <w:pPr>
        <w:bidi w:val="0"/>
      </w:pPr>
      <w:r>
        <w:t>当前建筑垃圾的源头排放管理仅限于处理核准制度，未与监管制度形成联动。工程建设方偏向专注施工进度和质量，忽视建筑垃圾源头减量，对建筑垃圾的分类处理意识不强。大部分建筑垃圾依然是混合收集，尤其是装修垃圾与渣土等其他建筑垃圾混合排放问题严重，增大了垃圾资源化、无害化处理的难度和分拣成本，导致资源浪费和环境污染。</w:t>
      </w:r>
    </w:p>
    <w:p w14:paraId="2401BA25">
      <w:pPr>
        <w:pStyle w:val="4"/>
        <w:bidi w:val="0"/>
      </w:pPr>
      <w:r>
        <w:t>2、消纳处置场所不足，布局需完善</w:t>
      </w:r>
    </w:p>
    <w:p w14:paraId="2DEB290C">
      <w:pPr>
        <w:bidi w:val="0"/>
      </w:pPr>
      <w:r>
        <w:rPr>
          <w:rFonts w:hint="eastAsia"/>
          <w:lang w:val="en-US" w:eastAsia="zh-CN"/>
        </w:rPr>
        <w:t>浮邱山</w:t>
      </w:r>
      <w:r>
        <w:t>垃圾堆填场已经停运，消纳处置能力不足，需要重新进行建筑垃圾堆填场的选址。由于缺乏统筹规划，建筑垃圾集中堆填场项目面临选址难、落地难、运营难的现实困境，规划需要布置集中建筑垃圾堆填场，提升消纳处置能力，满足</w:t>
      </w:r>
      <w:r>
        <w:rPr>
          <w:rFonts w:hint="eastAsia"/>
          <w:lang w:val="en-US" w:eastAsia="zh-CN"/>
        </w:rPr>
        <w:t>桃江县</w:t>
      </w:r>
      <w:r>
        <w:t>建筑垃圾消纳处置需求。</w:t>
      </w:r>
    </w:p>
    <w:p w14:paraId="1C227E10">
      <w:pPr>
        <w:pStyle w:val="4"/>
        <w:bidi w:val="0"/>
      </w:pPr>
      <w:r>
        <w:t>3、</w:t>
      </w:r>
      <w:r>
        <w:rPr>
          <w:rFonts w:hint="eastAsia"/>
          <w:lang w:val="en-US" w:eastAsia="zh-CN"/>
        </w:rPr>
        <w:t>推广利用有待加强</w:t>
      </w:r>
      <w:r>
        <w:t>，</w:t>
      </w:r>
      <w:bookmarkStart w:id="109" w:name="OLE_LINK81"/>
      <w:r>
        <w:t>资源化</w:t>
      </w:r>
      <w:r>
        <w:rPr>
          <w:rFonts w:hint="eastAsia"/>
          <w:lang w:val="en-US" w:eastAsia="zh-CN"/>
        </w:rPr>
        <w:t>新技术</w:t>
      </w:r>
      <w:r>
        <w:t>待提升</w:t>
      </w:r>
      <w:bookmarkEnd w:id="109"/>
    </w:p>
    <w:p w14:paraId="6EEA4E7E">
      <w:pPr>
        <w:bidi w:val="0"/>
      </w:pPr>
      <w:r>
        <w:t>目前，</w:t>
      </w:r>
      <w:r>
        <w:rPr>
          <w:rFonts w:hint="eastAsia"/>
          <w:lang w:val="en-US" w:eastAsia="zh-CN"/>
        </w:rPr>
        <w:t>桃江县</w:t>
      </w:r>
      <w:r>
        <w:t>建筑垃圾再生产品</w:t>
      </w:r>
      <w:r>
        <w:rPr>
          <w:rFonts w:hint="eastAsia"/>
        </w:rPr>
        <w:t>面临</w:t>
      </w:r>
      <w:r>
        <w:rPr>
          <w:rFonts w:hint="eastAsia"/>
          <w:lang w:val="en-US" w:eastAsia="zh-CN"/>
        </w:rPr>
        <w:t>推广利用宣传力度不够、</w:t>
      </w:r>
      <w:r>
        <w:rPr>
          <w:rFonts w:hint="eastAsia"/>
        </w:rPr>
        <w:t>市场认知度低、政策执行不均衡</w:t>
      </w:r>
      <w:r>
        <w:rPr>
          <w:rFonts w:hint="eastAsia"/>
          <w:lang w:val="en-US" w:eastAsia="zh-CN"/>
        </w:rPr>
        <w:t>等诸多问题</w:t>
      </w:r>
      <w:r>
        <w:rPr>
          <w:rFonts w:hint="eastAsia"/>
          <w:lang w:eastAsia="zh-CN"/>
        </w:rPr>
        <w:t>，</w:t>
      </w:r>
      <w:r>
        <w:rPr>
          <w:rFonts w:hint="eastAsia"/>
          <w:lang w:val="en-US" w:eastAsia="zh-CN"/>
        </w:rPr>
        <w:t>市场开发力度有待进一步加强</w:t>
      </w:r>
      <w:r>
        <w:rPr>
          <w:rFonts w:hint="eastAsia"/>
          <w:lang w:eastAsia="zh-CN"/>
        </w:rPr>
        <w:t>；</w:t>
      </w:r>
      <w:r>
        <w:rPr>
          <w:rFonts w:hint="eastAsia"/>
          <w:lang w:val="en-US" w:eastAsia="zh-CN"/>
        </w:rPr>
        <w:t>现有的3家</w:t>
      </w:r>
      <w:r>
        <w:t>建筑垃圾资源化利用企业技术研发投入不足、设备智能化水平较低</w:t>
      </w:r>
      <w:r>
        <w:rPr>
          <w:rFonts w:hint="eastAsia"/>
          <w:lang w:eastAsia="zh-CN"/>
        </w:rPr>
        <w:t>，</w:t>
      </w:r>
      <w:r>
        <w:t>缺乏高效、环保的处理技术和设备，面临环保压力、再生产品质量不稳定、市场价格优势不明显等多种问题。</w:t>
      </w:r>
    </w:p>
    <w:p w14:paraId="19E2E09F">
      <w:pPr>
        <w:pStyle w:val="4"/>
        <w:bidi w:val="0"/>
      </w:pPr>
      <w:r>
        <w:t>4、部门统筹协作待加强，信息化管理水平待提升</w:t>
      </w:r>
    </w:p>
    <w:p w14:paraId="4E5EA1C2">
      <w:pPr>
        <w:bidi w:val="0"/>
        <w:rPr>
          <w:rFonts w:hint="eastAsia"/>
          <w:lang w:val="en-US" w:eastAsia="zh-CN"/>
        </w:rPr>
      </w:pPr>
      <w:r>
        <w:t>建筑垃圾从源头产生、中端收运、末端处置涉及城市管理、住房和城乡建设、交通运输、生态环境等多个部门。由于各部门所掌握的信息不对称，建筑垃圾源头管控、中端监管、末端处置的闭环体系还不严密，部门统筹协作有待加强。同时，尚未建立面向企业和公众的应用界面，建筑垃圾处置的智能化和信息化水平待提升。</w:t>
      </w:r>
    </w:p>
    <w:p w14:paraId="2A8F0C98">
      <w:pPr>
        <w:pStyle w:val="2"/>
        <w:bidi w:val="0"/>
      </w:pPr>
      <w:bookmarkStart w:id="110" w:name="_Toc8950"/>
      <w:r>
        <w:t>四、建筑垃圾产生量预测</w:t>
      </w:r>
      <w:bookmarkEnd w:id="110"/>
    </w:p>
    <w:p w14:paraId="03923303">
      <w:pPr>
        <w:pStyle w:val="3"/>
        <w:bidi w:val="0"/>
        <w:rPr>
          <w:rFonts w:hint="eastAsia" w:ascii="楷体" w:hAnsi="楷体" w:eastAsia="楷体" w:cs="楷体"/>
          <w:sz w:val="28"/>
          <w:szCs w:val="28"/>
        </w:rPr>
      </w:pPr>
      <w:bookmarkStart w:id="111" w:name="_Toc1686"/>
      <w:r>
        <w:rPr>
          <w:rFonts w:hint="eastAsia" w:ascii="楷体" w:hAnsi="楷体" w:eastAsia="楷体" w:cs="楷体"/>
          <w:sz w:val="28"/>
          <w:szCs w:val="28"/>
        </w:rPr>
        <w:t>（一）预测范围及方法依据</w:t>
      </w:r>
      <w:bookmarkEnd w:id="111"/>
    </w:p>
    <w:p w14:paraId="23F4A675">
      <w:pPr>
        <w:bidi w:val="0"/>
        <w:rPr>
          <w:rFonts w:hint="eastAsia"/>
        </w:rPr>
      </w:pPr>
      <w:bookmarkStart w:id="112" w:name="OLE_LINK12"/>
      <w:r>
        <w:rPr>
          <w:rFonts w:hint="eastAsia"/>
        </w:rPr>
        <w:t>本规划依据《建筑垃圾处理技术标准》</w:t>
      </w:r>
      <w:r>
        <w:rPr>
          <w:rFonts w:hint="eastAsia"/>
          <w:lang w:eastAsia="zh-CN"/>
        </w:rPr>
        <w:t>（</w:t>
      </w:r>
      <w:r>
        <w:rPr>
          <w:rFonts w:hint="eastAsia"/>
        </w:rPr>
        <w:t>CIJT134</w:t>
      </w:r>
      <w:r>
        <w:rPr>
          <w:rFonts w:hint="eastAsia"/>
          <w:lang w:val="en-US" w:eastAsia="zh-CN"/>
        </w:rPr>
        <w:t>-</w:t>
      </w:r>
      <w:r>
        <w:rPr>
          <w:rFonts w:hint="eastAsia"/>
        </w:rPr>
        <w:t>2019</w:t>
      </w:r>
      <w:r>
        <w:rPr>
          <w:rFonts w:hint="eastAsia"/>
          <w:lang w:eastAsia="zh-CN"/>
        </w:rPr>
        <w:t>）、《湖南省城市建筑垃圾管理实施细则》、</w:t>
      </w:r>
      <w:r>
        <w:rPr>
          <w:rFonts w:hint="eastAsia"/>
        </w:rPr>
        <w:t>《湖南省建筑垃圾资源化利用发展规划</w:t>
      </w:r>
      <w:r>
        <w:rPr>
          <w:rFonts w:hint="eastAsia"/>
          <w:lang w:eastAsia="zh-CN"/>
        </w:rPr>
        <w:t>（</w:t>
      </w:r>
      <w:r>
        <w:rPr>
          <w:rFonts w:hint="eastAsia"/>
        </w:rPr>
        <w:t>2020-2030</w:t>
      </w:r>
      <w:r>
        <w:rPr>
          <w:rFonts w:hint="eastAsia"/>
          <w:lang w:eastAsia="zh-CN"/>
        </w:rPr>
        <w:t>）</w:t>
      </w:r>
      <w:r>
        <w:rPr>
          <w:rFonts w:hint="eastAsia"/>
        </w:rPr>
        <w:t>》，以建筑垃圾主管部门掌握</w:t>
      </w:r>
      <w:bookmarkEnd w:id="112"/>
      <w:r>
        <w:rPr>
          <w:rFonts w:hint="eastAsia"/>
        </w:rPr>
        <w:t>的关于建筑垃圾的大数据为基准，并结合</w:t>
      </w:r>
      <w:r>
        <w:rPr>
          <w:rFonts w:hint="eastAsia"/>
          <w:lang w:eastAsia="zh-CN"/>
        </w:rPr>
        <w:t>桃江县</w:t>
      </w:r>
      <w:r>
        <w:rPr>
          <w:rFonts w:hint="eastAsia"/>
        </w:rPr>
        <w:t>统计局、</w:t>
      </w:r>
      <w:r>
        <w:rPr>
          <w:rFonts w:hint="eastAsia"/>
          <w:lang w:val="en-US" w:eastAsia="zh-CN"/>
        </w:rPr>
        <w:t>住房保障中心</w:t>
      </w:r>
      <w:r>
        <w:rPr>
          <w:rFonts w:hint="eastAsia"/>
        </w:rPr>
        <w:t>等相关部门获取的相关历史数据，包括建筑竣工面积、人口、老旧小区改造面积、经验参数等</w:t>
      </w:r>
      <w:r>
        <w:rPr>
          <w:rFonts w:hint="eastAsia"/>
          <w:lang w:eastAsia="zh-CN"/>
        </w:rPr>
        <w:t>，</w:t>
      </w:r>
      <w:r>
        <w:rPr>
          <w:rFonts w:hint="eastAsia"/>
        </w:rPr>
        <w:t>利用</w:t>
      </w:r>
      <w:r>
        <w:rPr>
          <w:rFonts w:hint="eastAsia"/>
          <w:lang w:val="en-US" w:eastAsia="zh-CN"/>
        </w:rPr>
        <w:t>线性回归法和经验系数法</w:t>
      </w:r>
      <w:r>
        <w:rPr>
          <w:rFonts w:hint="eastAsia"/>
        </w:rPr>
        <w:t>分别对工程渣土</w:t>
      </w:r>
      <w:r>
        <w:rPr>
          <w:rFonts w:hint="eastAsia"/>
          <w:lang w:eastAsia="zh-CN"/>
        </w:rPr>
        <w:t>（</w:t>
      </w:r>
      <w:r>
        <w:rPr>
          <w:rFonts w:hint="eastAsia"/>
          <w:lang w:val="en-US" w:eastAsia="zh-CN"/>
        </w:rPr>
        <w:t>含工程泥浆</w:t>
      </w:r>
      <w:r>
        <w:rPr>
          <w:rFonts w:hint="eastAsia"/>
          <w:lang w:eastAsia="zh-CN"/>
        </w:rPr>
        <w:t>）</w:t>
      </w:r>
      <w:r>
        <w:rPr>
          <w:rFonts w:hint="eastAsia"/>
        </w:rPr>
        <w:t>、工程垃圾、拆除垃圾、装修垃圾</w:t>
      </w:r>
      <w:r>
        <w:rPr>
          <w:rFonts w:hint="eastAsia"/>
          <w:lang w:val="en-US" w:eastAsia="zh-CN"/>
        </w:rPr>
        <w:t>四</w:t>
      </w:r>
      <w:r>
        <w:rPr>
          <w:rFonts w:hint="eastAsia"/>
        </w:rPr>
        <w:t>种类别，建立相应的数学模型来预测</w:t>
      </w:r>
      <w:r>
        <w:rPr>
          <w:rFonts w:hint="eastAsia"/>
          <w:lang w:eastAsia="zh-CN"/>
        </w:rPr>
        <w:t>桃江县</w:t>
      </w:r>
      <w:r>
        <w:rPr>
          <w:rFonts w:hint="eastAsia"/>
        </w:rPr>
        <w:t>建筑垃圾产生量。</w:t>
      </w:r>
    </w:p>
    <w:p w14:paraId="7FCF446E">
      <w:pPr>
        <w:pStyle w:val="3"/>
        <w:bidi w:val="0"/>
        <w:rPr>
          <w:rFonts w:hint="eastAsia" w:ascii="楷体" w:hAnsi="楷体" w:eastAsia="楷体" w:cs="楷体"/>
          <w:sz w:val="28"/>
          <w:szCs w:val="28"/>
        </w:rPr>
      </w:pPr>
      <w:bookmarkStart w:id="113" w:name="_Toc11993"/>
      <w:r>
        <w:rPr>
          <w:rFonts w:hint="eastAsia" w:ascii="楷体" w:hAnsi="楷体" w:eastAsia="楷体" w:cs="楷体"/>
          <w:sz w:val="28"/>
          <w:szCs w:val="28"/>
        </w:rPr>
        <w:t>（二）产生量预测</w:t>
      </w:r>
      <w:bookmarkEnd w:id="113"/>
    </w:p>
    <w:p w14:paraId="789015D7">
      <w:pPr>
        <w:pStyle w:val="4"/>
        <w:bidi w:val="0"/>
      </w:pPr>
      <w:r>
        <w:t>1、工程垃圾</w:t>
      </w:r>
    </w:p>
    <w:p w14:paraId="3BF451F2">
      <w:pPr>
        <w:bidi w:val="0"/>
      </w:pPr>
      <w:r>
        <w:t>根据《建筑垃圾处理技术标准（CJJ/T134-2019）》中的规定， 工程垃圾产生量可按以下公式进行估算：</w:t>
      </w:r>
    </w:p>
    <w:p w14:paraId="3859D4C0">
      <w:pPr>
        <w:bidi w:val="0"/>
      </w:pPr>
      <w:r>
        <w:t>Mg=Rgmg</w:t>
      </w:r>
    </w:p>
    <w:p w14:paraId="3B079666">
      <w:pPr>
        <w:bidi w:val="0"/>
      </w:pPr>
      <w:r>
        <w:t>式中：Mg—某城市或区域工程垃圾产生量，t/a；</w:t>
      </w:r>
    </w:p>
    <w:p w14:paraId="1BE8F96C">
      <w:pPr>
        <w:bidi w:val="0"/>
      </w:pPr>
      <w:r>
        <w:t>Rg—城市或区域新增建筑面积（104m</w:t>
      </w:r>
      <w:r>
        <w:rPr>
          <w:vertAlign w:val="superscript"/>
        </w:rPr>
        <w:t>2</w:t>
      </w:r>
      <w:r>
        <w:t>/a）；</w:t>
      </w:r>
    </w:p>
    <w:p w14:paraId="360F7FE3">
      <w:pPr>
        <w:bidi w:val="0"/>
      </w:pPr>
      <w:r>
        <w:t>mg—单位面积工程垃圾产生量基数（t/104m</w:t>
      </w:r>
      <w:r>
        <w:rPr>
          <w:vertAlign w:val="superscript"/>
        </w:rPr>
        <w:t>2</w:t>
      </w:r>
      <w:r>
        <w:t>），可取300~800t/104 m</w:t>
      </w:r>
      <w:r>
        <w:rPr>
          <w:vertAlign w:val="superscript"/>
        </w:rPr>
        <w:t>2</w:t>
      </w:r>
      <w:r>
        <w:t>。</w:t>
      </w:r>
    </w:p>
    <w:p w14:paraId="0F9BB908">
      <w:pPr>
        <w:bidi w:val="0"/>
      </w:pPr>
      <w:r>
        <w:t>从</w:t>
      </w:r>
      <w:r>
        <w:rPr>
          <w:rFonts w:hint="eastAsia"/>
          <w:lang w:eastAsia="zh-CN"/>
        </w:rPr>
        <w:t>桃江县</w:t>
      </w:r>
      <w:r>
        <w:t>近五年的新建建筑面积来看，受建筑行业整体下行趋势影响，</w:t>
      </w:r>
      <w:r>
        <w:rPr>
          <w:rFonts w:hint="eastAsia"/>
          <w:lang w:eastAsia="zh-CN"/>
        </w:rPr>
        <w:t>桃江县</w:t>
      </w:r>
      <w:r>
        <w:t>新建建筑面积下行趋势明显。结合</w:t>
      </w:r>
      <w:r>
        <w:rPr>
          <w:rFonts w:hint="eastAsia"/>
          <w:lang w:eastAsia="zh-CN"/>
        </w:rPr>
        <w:t>桃江县</w:t>
      </w:r>
      <w:r>
        <w:t>实际情况，根据</w:t>
      </w:r>
      <w:r>
        <w:rPr>
          <w:rFonts w:hint="eastAsia"/>
          <w:lang w:val="en-US" w:eastAsia="zh-CN"/>
        </w:rPr>
        <w:t>桃江县</w:t>
      </w:r>
      <w:r>
        <w:rPr>
          <w:rFonts w:hint="eastAsia"/>
        </w:rPr>
        <w:t>国民经济和社会发展统计公报</w:t>
      </w:r>
      <w:r>
        <w:rPr>
          <w:rFonts w:hint="eastAsia"/>
          <w:lang w:eastAsia="zh-CN"/>
        </w:rPr>
        <w:t>，</w:t>
      </w:r>
      <w:r>
        <w:rPr>
          <w:rFonts w:hint="eastAsia"/>
          <w:lang w:val="en-US" w:eastAsia="zh-CN"/>
        </w:rPr>
        <w:t>2020年桃江县新建建筑面积419</w:t>
      </w:r>
      <w:r>
        <w:t>万平方米</w:t>
      </w:r>
      <w:r>
        <w:rPr>
          <w:rFonts w:hint="eastAsia"/>
          <w:lang w:eastAsia="zh-CN"/>
        </w:rPr>
        <w:t>，</w:t>
      </w:r>
      <w:r>
        <w:rPr>
          <w:rFonts w:hint="eastAsia"/>
          <w:lang w:val="en-US" w:eastAsia="zh-CN"/>
        </w:rPr>
        <w:t>2021年桃江县新建建筑面积406.72</w:t>
      </w:r>
      <w:r>
        <w:t>万平方米</w:t>
      </w:r>
      <w:r>
        <w:rPr>
          <w:rFonts w:hint="eastAsia"/>
          <w:lang w:eastAsia="zh-CN"/>
        </w:rPr>
        <w:t>，</w:t>
      </w:r>
      <w:r>
        <w:rPr>
          <w:rFonts w:hint="eastAsia"/>
          <w:lang w:val="en-US" w:eastAsia="zh-CN"/>
        </w:rPr>
        <w:t>2022年桃江县新建建筑面积402.33</w:t>
      </w:r>
      <w:r>
        <w:t>万平方米</w:t>
      </w:r>
      <w:r>
        <w:rPr>
          <w:rFonts w:hint="eastAsia"/>
          <w:lang w:eastAsia="zh-CN"/>
        </w:rPr>
        <w:t>，</w:t>
      </w:r>
      <w:r>
        <w:rPr>
          <w:rFonts w:hint="eastAsia"/>
          <w:lang w:val="en-US" w:eastAsia="zh-CN"/>
        </w:rPr>
        <w:t>2023年桃江县新建建筑面积355.95</w:t>
      </w:r>
      <w:r>
        <w:t>万平方米</w:t>
      </w:r>
      <w:r>
        <w:rPr>
          <w:rFonts w:hint="eastAsia"/>
          <w:lang w:eastAsia="zh-CN"/>
        </w:rPr>
        <w:t>，</w:t>
      </w:r>
      <w:r>
        <w:rPr>
          <w:rFonts w:hint="eastAsia"/>
          <w:lang w:val="en-US" w:eastAsia="zh-CN"/>
        </w:rPr>
        <w:t>2024年桃江县新建建筑面积345.16</w:t>
      </w:r>
      <w:r>
        <w:t>万平方米</w:t>
      </w:r>
      <w:r>
        <w:rPr>
          <w:rFonts w:hint="eastAsia"/>
          <w:lang w:eastAsia="zh-CN"/>
        </w:rPr>
        <w:t>，</w:t>
      </w:r>
      <w:r>
        <w:t>借鉴相关同类城市经验，预测</w:t>
      </w:r>
      <w:r>
        <w:rPr>
          <w:rFonts w:hint="eastAsia"/>
          <w:lang w:eastAsia="zh-CN"/>
        </w:rPr>
        <w:t>桃江县</w:t>
      </w:r>
      <w:r>
        <w:t>到2035年每年新建建筑面积按照-5</w:t>
      </w:r>
      <w:r>
        <w:rPr>
          <w:rFonts w:hint="eastAsia"/>
          <w:lang w:val="en-US" w:eastAsia="zh-CN"/>
        </w:rPr>
        <w:t>.1</w:t>
      </w:r>
      <w:r>
        <w:t>%增长率下行。则</w:t>
      </w:r>
      <w:r>
        <w:rPr>
          <w:rFonts w:hint="eastAsia"/>
          <w:lang w:eastAsia="zh-CN"/>
        </w:rPr>
        <w:t>桃江</w:t>
      </w:r>
      <w:r>
        <w:t>2025年新建建筑面积约</w:t>
      </w:r>
      <w:r>
        <w:rPr>
          <w:rFonts w:hint="eastAsia"/>
          <w:lang w:val="en-US" w:eastAsia="zh-CN"/>
        </w:rPr>
        <w:t>327.56</w:t>
      </w:r>
      <w:r>
        <w:t>万平方米，2030年新建建筑面积约</w:t>
      </w:r>
      <w:r>
        <w:rPr>
          <w:rFonts w:hint="eastAsia"/>
          <w:lang w:val="en-US" w:eastAsia="zh-CN"/>
        </w:rPr>
        <w:t>252.13</w:t>
      </w:r>
      <w:r>
        <w:t>万平方米，2035年新建建筑面积约</w:t>
      </w:r>
      <w:r>
        <w:rPr>
          <w:rFonts w:hint="eastAsia"/>
          <w:lang w:val="en-US" w:eastAsia="zh-CN"/>
        </w:rPr>
        <w:t>194.07</w:t>
      </w:r>
      <w:r>
        <w:t>万平方米。</w:t>
      </w:r>
    </w:p>
    <w:p w14:paraId="237F8291">
      <w:pPr>
        <w:bidi w:val="0"/>
      </w:pPr>
      <w:r>
        <w:t>根据《住房和城乡建设部关于推进建筑垃圾减量化的指导意见》（建质〔2020〕46号）工作目标，2025年底，新建建筑施工现场建筑垃圾（不包括工程渣土、工程泥浆）排放量每万平方米不高于300吨，装配式建筑施工现场建筑垃圾（不包括工程渣土、工程泥浆）排放量每万平方米不高于200吨。装配式建筑比例不低于总量的30%。综上所述，</w:t>
      </w:r>
      <w:r>
        <w:rPr>
          <w:rFonts w:hint="eastAsia"/>
          <w:lang w:eastAsia="zh-CN"/>
        </w:rPr>
        <w:t>桃江县</w:t>
      </w:r>
      <w:r>
        <w:t>2025年</w:t>
      </w:r>
      <w:r>
        <w:rPr>
          <w:rFonts w:hint="eastAsia"/>
          <w:lang w:eastAsia="zh-CN"/>
        </w:rPr>
        <w:t>、</w:t>
      </w:r>
      <w:r>
        <w:rPr>
          <w:rFonts w:hint="eastAsia"/>
          <w:lang w:val="en-US" w:eastAsia="zh-CN"/>
        </w:rPr>
        <w:t>2026年</w:t>
      </w:r>
      <w:r>
        <w:t>每1万平方米建筑物施工产生的建筑垃圾</w:t>
      </w:r>
      <w:r>
        <w:rPr>
          <w:rFonts w:hint="eastAsia"/>
          <w:lang w:eastAsia="zh-CN"/>
        </w:rPr>
        <w:t>约</w:t>
      </w:r>
      <w:r>
        <w:t>为2</w:t>
      </w:r>
      <w:r>
        <w:rPr>
          <w:rFonts w:hint="eastAsia"/>
          <w:lang w:val="en-US" w:eastAsia="zh-CN"/>
        </w:rPr>
        <w:t>95</w:t>
      </w:r>
      <w:r>
        <w:t>吨，预计</w:t>
      </w:r>
      <w:r>
        <w:rPr>
          <w:rFonts w:hint="eastAsia"/>
          <w:lang w:eastAsia="zh-CN"/>
        </w:rPr>
        <w:t>每年</w:t>
      </w:r>
      <w:r>
        <w:t>每1万平方米建筑物施工产生的建筑垃圾</w:t>
      </w:r>
      <w:r>
        <w:rPr>
          <w:rFonts w:hint="eastAsia"/>
          <w:lang w:eastAsia="zh-CN"/>
        </w:rPr>
        <w:t>减少约</w:t>
      </w:r>
      <w:r>
        <w:rPr>
          <w:rFonts w:hint="eastAsia"/>
          <w:lang w:val="en-US" w:eastAsia="zh-CN"/>
        </w:rPr>
        <w:t>5吨，</w:t>
      </w:r>
      <w:r>
        <w:t>2030年达到</w:t>
      </w:r>
      <w:r>
        <w:rPr>
          <w:rFonts w:hint="eastAsia"/>
          <w:lang w:eastAsia="zh-CN"/>
        </w:rPr>
        <w:t>约</w:t>
      </w:r>
      <w:r>
        <w:t>2</w:t>
      </w:r>
      <w:r>
        <w:rPr>
          <w:rFonts w:hint="eastAsia"/>
          <w:lang w:val="en-US" w:eastAsia="zh-CN"/>
        </w:rPr>
        <w:t>75</w:t>
      </w:r>
      <w:r>
        <w:t>吨，2035年达到</w:t>
      </w:r>
      <w:r>
        <w:rPr>
          <w:rFonts w:hint="eastAsia"/>
          <w:lang w:eastAsia="zh-CN"/>
        </w:rPr>
        <w:t>约</w:t>
      </w:r>
      <w:r>
        <w:t>250吨。</w:t>
      </w:r>
    </w:p>
    <w:p w14:paraId="2C5E3C25">
      <w:pPr>
        <w:bidi w:val="0"/>
      </w:pPr>
    </w:p>
    <w:p w14:paraId="7DDB2590">
      <w:pPr>
        <w:bidi w:val="0"/>
        <w:ind w:left="0" w:leftChars="0" w:firstLine="0" w:firstLineChars="0"/>
        <w:jc w:val="center"/>
        <w:rPr>
          <w:b/>
          <w:bCs/>
        </w:rPr>
      </w:pPr>
      <w:bookmarkStart w:id="114" w:name="bookmark149"/>
      <w:bookmarkEnd w:id="114"/>
      <w:r>
        <w:rPr>
          <w:rFonts w:hint="eastAsia"/>
          <w:b/>
          <w:bCs/>
          <w:lang w:eastAsia="zh-CN"/>
        </w:rPr>
        <w:t>表</w:t>
      </w:r>
      <w:r>
        <w:rPr>
          <w:rFonts w:hint="eastAsia"/>
          <w:b/>
          <w:bCs/>
          <w:lang w:val="en-US" w:eastAsia="zh-CN"/>
        </w:rPr>
        <w:t>4-1</w:t>
      </w:r>
      <w:r>
        <w:rPr>
          <w:rFonts w:hint="eastAsia"/>
          <w:b/>
          <w:bCs/>
          <w:lang w:eastAsia="zh-CN"/>
        </w:rPr>
        <w:t>桃江</w:t>
      </w:r>
      <w:r>
        <w:rPr>
          <w:b/>
          <w:bCs/>
        </w:rPr>
        <w:t>县 2025-2035 年工程垃圾预测量</w:t>
      </w:r>
    </w:p>
    <w:tbl>
      <w:tblPr>
        <w:tblStyle w:val="14"/>
        <w:tblW w:w="73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1700"/>
        <w:gridCol w:w="2318"/>
        <w:gridCol w:w="1971"/>
      </w:tblGrid>
      <w:tr w14:paraId="1069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0D1ADBAE">
            <w:pPr>
              <w:spacing w:before="52" w:line="220" w:lineRule="auto"/>
              <w:ind w:left="0" w:leftChars="0" w:firstLine="0" w:firstLineChars="0"/>
              <w:jc w:val="center"/>
              <w:rPr>
                <w:rFonts w:hint="eastAsia" w:ascii="仿宋" w:hAnsi="仿宋" w:eastAsia="仿宋" w:cs="仿宋"/>
                <w:b/>
                <w:bCs/>
                <w:spacing w:val="-3"/>
                <w:sz w:val="24"/>
                <w:szCs w:val="24"/>
                <w:vertAlign w:val="baseline"/>
                <w:lang w:val="en-US" w:eastAsia="zh-CN"/>
              </w:rPr>
            </w:pPr>
            <w:r>
              <w:rPr>
                <w:rFonts w:hint="eastAsia" w:ascii="仿宋" w:hAnsi="仿宋" w:eastAsia="仿宋" w:cs="仿宋"/>
                <w:b/>
                <w:bCs/>
                <w:spacing w:val="-3"/>
                <w:sz w:val="24"/>
                <w:szCs w:val="24"/>
                <w:vertAlign w:val="baseline"/>
                <w:lang w:val="en-US" w:eastAsia="zh-CN"/>
              </w:rPr>
              <w:t>时间</w:t>
            </w:r>
          </w:p>
        </w:tc>
        <w:tc>
          <w:tcPr>
            <w:tcW w:w="1700" w:type="dxa"/>
            <w:vAlign w:val="center"/>
          </w:tcPr>
          <w:p w14:paraId="630E8CAB">
            <w:pPr>
              <w:spacing w:before="52" w:line="220" w:lineRule="auto"/>
              <w:ind w:left="0" w:leftChars="0" w:firstLine="0" w:firstLineChars="0"/>
              <w:jc w:val="center"/>
              <w:rPr>
                <w:rFonts w:hint="eastAsia" w:ascii="仿宋" w:hAnsi="仿宋" w:eastAsia="仿宋" w:cs="仿宋"/>
                <w:b/>
                <w:bCs/>
                <w:spacing w:val="-3"/>
                <w:sz w:val="24"/>
                <w:szCs w:val="24"/>
                <w:vertAlign w:val="baseline"/>
                <w:lang w:val="en-US" w:eastAsia="zh-CN"/>
              </w:rPr>
            </w:pPr>
            <w:r>
              <w:rPr>
                <w:rFonts w:hint="eastAsia" w:ascii="仿宋" w:hAnsi="仿宋" w:eastAsia="仿宋" w:cs="仿宋"/>
                <w:b/>
                <w:bCs/>
                <w:spacing w:val="-3"/>
                <w:sz w:val="24"/>
                <w:szCs w:val="24"/>
                <w:vertAlign w:val="baseline"/>
                <w:lang w:val="en-US" w:eastAsia="zh-CN"/>
              </w:rPr>
              <w:t>建筑施工面积（万平方米）</w:t>
            </w:r>
          </w:p>
        </w:tc>
        <w:tc>
          <w:tcPr>
            <w:tcW w:w="2318" w:type="dxa"/>
            <w:vAlign w:val="center"/>
          </w:tcPr>
          <w:p w14:paraId="0C4EC27B">
            <w:pPr>
              <w:spacing w:before="52" w:line="220" w:lineRule="auto"/>
              <w:ind w:left="0" w:leftChars="0" w:firstLine="0" w:firstLineChars="0"/>
              <w:jc w:val="center"/>
              <w:rPr>
                <w:rFonts w:hint="eastAsia" w:ascii="仿宋" w:hAnsi="仿宋" w:eastAsia="仿宋" w:cs="仿宋"/>
                <w:b/>
                <w:bCs/>
                <w:spacing w:val="-3"/>
                <w:sz w:val="24"/>
                <w:szCs w:val="24"/>
                <w:vertAlign w:val="baseline"/>
                <w:lang w:val="en-US" w:eastAsia="zh-CN"/>
              </w:rPr>
            </w:pPr>
            <w:r>
              <w:rPr>
                <w:rFonts w:hint="eastAsia" w:ascii="仿宋" w:hAnsi="仿宋" w:eastAsia="仿宋" w:cs="仿宋"/>
                <w:b/>
                <w:bCs/>
                <w:spacing w:val="-2"/>
                <w:sz w:val="24"/>
                <w:szCs w:val="24"/>
              </w:rPr>
              <w:t>单位面积工程垃圾产生量基数</w:t>
            </w:r>
          </w:p>
        </w:tc>
        <w:tc>
          <w:tcPr>
            <w:tcW w:w="1971" w:type="dxa"/>
            <w:vAlign w:val="center"/>
          </w:tcPr>
          <w:p w14:paraId="0E5721CB">
            <w:pPr>
              <w:spacing w:before="52" w:line="220" w:lineRule="auto"/>
              <w:ind w:left="0" w:leftChars="0" w:firstLine="0" w:firstLineChars="0"/>
              <w:jc w:val="center"/>
              <w:rPr>
                <w:rFonts w:hint="eastAsia" w:ascii="仿宋" w:hAnsi="仿宋" w:eastAsia="仿宋" w:cs="仿宋"/>
                <w:b/>
                <w:bCs/>
                <w:spacing w:val="-3"/>
                <w:sz w:val="24"/>
                <w:szCs w:val="24"/>
                <w:vertAlign w:val="baseline"/>
                <w:lang w:val="en-US" w:eastAsia="zh-CN"/>
              </w:rPr>
            </w:pPr>
            <w:r>
              <w:rPr>
                <w:rFonts w:hint="eastAsia" w:ascii="仿宋" w:hAnsi="仿宋" w:eastAsia="仿宋" w:cs="仿宋"/>
                <w:b/>
                <w:bCs/>
                <w:spacing w:val="-1"/>
                <w:sz w:val="24"/>
                <w:szCs w:val="24"/>
              </w:rPr>
              <w:t>工程垃圾产生量</w:t>
            </w:r>
            <w:r>
              <w:rPr>
                <w:rFonts w:hint="eastAsia" w:ascii="仿宋" w:hAnsi="仿宋" w:eastAsia="仿宋" w:cs="仿宋"/>
                <w:b/>
                <w:bCs/>
                <w:spacing w:val="-1"/>
                <w:sz w:val="24"/>
                <w:szCs w:val="24"/>
                <w:lang w:eastAsia="zh-CN"/>
              </w:rPr>
              <w:t>（万吨）</w:t>
            </w:r>
          </w:p>
        </w:tc>
      </w:tr>
      <w:tr w14:paraId="5EB43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6FFEB9D8">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bookmarkStart w:id="115" w:name="OLE_LINK25" w:colFirst="1" w:colLast="1"/>
            <w:r>
              <w:rPr>
                <w:rFonts w:hint="eastAsia" w:ascii="仿宋" w:hAnsi="仿宋" w:eastAsia="仿宋" w:cs="仿宋"/>
                <w:spacing w:val="-3"/>
                <w:sz w:val="24"/>
                <w:szCs w:val="24"/>
                <w:vertAlign w:val="baseline"/>
                <w:lang w:val="en-US" w:eastAsia="zh-CN"/>
              </w:rPr>
              <w:t>2023年</w:t>
            </w:r>
          </w:p>
        </w:tc>
        <w:tc>
          <w:tcPr>
            <w:tcW w:w="1700" w:type="dxa"/>
            <w:shd w:val="clear" w:color="auto" w:fill="auto"/>
            <w:vAlign w:val="center"/>
          </w:tcPr>
          <w:p w14:paraId="17093AF8">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355.95</w:t>
            </w:r>
          </w:p>
        </w:tc>
        <w:tc>
          <w:tcPr>
            <w:tcW w:w="2318" w:type="dxa"/>
            <w:vAlign w:val="center"/>
          </w:tcPr>
          <w:p w14:paraId="3ADEACD7">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300</w:t>
            </w:r>
          </w:p>
        </w:tc>
        <w:tc>
          <w:tcPr>
            <w:tcW w:w="1971" w:type="dxa"/>
            <w:vAlign w:val="center"/>
          </w:tcPr>
          <w:p w14:paraId="0548E80F">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10.68</w:t>
            </w:r>
          </w:p>
        </w:tc>
      </w:tr>
      <w:tr w14:paraId="0045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46C5BE33">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2024年</w:t>
            </w:r>
          </w:p>
        </w:tc>
        <w:tc>
          <w:tcPr>
            <w:tcW w:w="1700" w:type="dxa"/>
            <w:shd w:val="clear" w:color="auto" w:fill="auto"/>
            <w:vAlign w:val="center"/>
          </w:tcPr>
          <w:p w14:paraId="56FF341B">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345.16</w:t>
            </w:r>
          </w:p>
        </w:tc>
        <w:tc>
          <w:tcPr>
            <w:tcW w:w="2318" w:type="dxa"/>
            <w:vAlign w:val="center"/>
          </w:tcPr>
          <w:p w14:paraId="110A3DC7">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300</w:t>
            </w:r>
          </w:p>
        </w:tc>
        <w:tc>
          <w:tcPr>
            <w:tcW w:w="1971" w:type="dxa"/>
            <w:vAlign w:val="center"/>
          </w:tcPr>
          <w:p w14:paraId="759D8D98">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10.35</w:t>
            </w:r>
          </w:p>
        </w:tc>
      </w:tr>
      <w:tr w14:paraId="62B4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50142AEB">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2025年</w:t>
            </w:r>
          </w:p>
        </w:tc>
        <w:tc>
          <w:tcPr>
            <w:tcW w:w="1700" w:type="dxa"/>
            <w:shd w:val="clear" w:color="auto" w:fill="auto"/>
            <w:vAlign w:val="center"/>
          </w:tcPr>
          <w:p w14:paraId="46337DFE">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327.56</w:t>
            </w:r>
          </w:p>
        </w:tc>
        <w:tc>
          <w:tcPr>
            <w:tcW w:w="2318" w:type="dxa"/>
            <w:vAlign w:val="center"/>
          </w:tcPr>
          <w:p w14:paraId="2C5978CD">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295</w:t>
            </w:r>
          </w:p>
        </w:tc>
        <w:tc>
          <w:tcPr>
            <w:tcW w:w="1971" w:type="dxa"/>
            <w:vAlign w:val="center"/>
          </w:tcPr>
          <w:p w14:paraId="20FEF631">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9.66</w:t>
            </w:r>
          </w:p>
        </w:tc>
      </w:tr>
      <w:tr w14:paraId="08E1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3D367EA2">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2026年</w:t>
            </w:r>
          </w:p>
        </w:tc>
        <w:tc>
          <w:tcPr>
            <w:tcW w:w="1700" w:type="dxa"/>
            <w:shd w:val="clear" w:color="auto" w:fill="auto"/>
            <w:vAlign w:val="center"/>
          </w:tcPr>
          <w:p w14:paraId="5081147A">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310.85</w:t>
            </w:r>
          </w:p>
        </w:tc>
        <w:tc>
          <w:tcPr>
            <w:tcW w:w="2318" w:type="dxa"/>
            <w:vAlign w:val="center"/>
          </w:tcPr>
          <w:p w14:paraId="3AF7149C">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295</w:t>
            </w:r>
          </w:p>
        </w:tc>
        <w:tc>
          <w:tcPr>
            <w:tcW w:w="1971" w:type="dxa"/>
            <w:vAlign w:val="center"/>
          </w:tcPr>
          <w:p w14:paraId="198C6236">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9.17</w:t>
            </w:r>
          </w:p>
        </w:tc>
      </w:tr>
      <w:tr w14:paraId="4D16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20172112">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2027年</w:t>
            </w:r>
          </w:p>
        </w:tc>
        <w:tc>
          <w:tcPr>
            <w:tcW w:w="1700" w:type="dxa"/>
            <w:shd w:val="clear" w:color="auto" w:fill="auto"/>
            <w:vAlign w:val="center"/>
          </w:tcPr>
          <w:p w14:paraId="530CE8F1">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295</w:t>
            </w:r>
          </w:p>
        </w:tc>
        <w:tc>
          <w:tcPr>
            <w:tcW w:w="2318" w:type="dxa"/>
            <w:vAlign w:val="center"/>
          </w:tcPr>
          <w:p w14:paraId="58F98419">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290</w:t>
            </w:r>
          </w:p>
        </w:tc>
        <w:tc>
          <w:tcPr>
            <w:tcW w:w="1971" w:type="dxa"/>
            <w:vAlign w:val="center"/>
          </w:tcPr>
          <w:p w14:paraId="3B890127">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8.56</w:t>
            </w:r>
          </w:p>
        </w:tc>
      </w:tr>
      <w:tr w14:paraId="37C3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3391DC56">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2028年</w:t>
            </w:r>
          </w:p>
        </w:tc>
        <w:tc>
          <w:tcPr>
            <w:tcW w:w="1700" w:type="dxa"/>
            <w:shd w:val="clear" w:color="auto" w:fill="auto"/>
            <w:vAlign w:val="center"/>
          </w:tcPr>
          <w:p w14:paraId="79C2AD6D">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279.95</w:t>
            </w:r>
          </w:p>
        </w:tc>
        <w:tc>
          <w:tcPr>
            <w:tcW w:w="2318" w:type="dxa"/>
            <w:vAlign w:val="center"/>
          </w:tcPr>
          <w:p w14:paraId="52B0A520">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285</w:t>
            </w:r>
          </w:p>
        </w:tc>
        <w:tc>
          <w:tcPr>
            <w:tcW w:w="1971" w:type="dxa"/>
            <w:vAlign w:val="center"/>
          </w:tcPr>
          <w:p w14:paraId="70D7B249">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7.99</w:t>
            </w:r>
          </w:p>
        </w:tc>
      </w:tr>
      <w:tr w14:paraId="2038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7A51206D">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2029年</w:t>
            </w:r>
          </w:p>
        </w:tc>
        <w:tc>
          <w:tcPr>
            <w:tcW w:w="1700" w:type="dxa"/>
            <w:shd w:val="clear" w:color="auto" w:fill="auto"/>
            <w:vAlign w:val="center"/>
          </w:tcPr>
          <w:p w14:paraId="15E658FC">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265.68</w:t>
            </w:r>
          </w:p>
        </w:tc>
        <w:tc>
          <w:tcPr>
            <w:tcW w:w="2318" w:type="dxa"/>
            <w:vAlign w:val="center"/>
          </w:tcPr>
          <w:p w14:paraId="16748F31">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280</w:t>
            </w:r>
          </w:p>
        </w:tc>
        <w:tc>
          <w:tcPr>
            <w:tcW w:w="1971" w:type="dxa"/>
            <w:vAlign w:val="center"/>
          </w:tcPr>
          <w:p w14:paraId="245DE6E4">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7.44</w:t>
            </w:r>
          </w:p>
        </w:tc>
      </w:tr>
      <w:tr w14:paraId="27CD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6EE73440">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2030年</w:t>
            </w:r>
          </w:p>
        </w:tc>
        <w:tc>
          <w:tcPr>
            <w:tcW w:w="1700" w:type="dxa"/>
            <w:shd w:val="clear" w:color="auto" w:fill="auto"/>
            <w:vAlign w:val="center"/>
          </w:tcPr>
          <w:p w14:paraId="54988CD3">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252.13</w:t>
            </w:r>
          </w:p>
        </w:tc>
        <w:tc>
          <w:tcPr>
            <w:tcW w:w="2318" w:type="dxa"/>
            <w:vAlign w:val="center"/>
          </w:tcPr>
          <w:p w14:paraId="575D426F">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275</w:t>
            </w:r>
          </w:p>
        </w:tc>
        <w:tc>
          <w:tcPr>
            <w:tcW w:w="1971" w:type="dxa"/>
            <w:vAlign w:val="center"/>
          </w:tcPr>
          <w:p w14:paraId="0F5FC464">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6.93</w:t>
            </w:r>
          </w:p>
        </w:tc>
      </w:tr>
      <w:tr w14:paraId="676FF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5818F86C">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2031年</w:t>
            </w:r>
          </w:p>
        </w:tc>
        <w:tc>
          <w:tcPr>
            <w:tcW w:w="1700" w:type="dxa"/>
            <w:shd w:val="clear" w:color="auto" w:fill="auto"/>
            <w:vAlign w:val="center"/>
          </w:tcPr>
          <w:p w14:paraId="5ED7F450">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239.27</w:t>
            </w:r>
          </w:p>
        </w:tc>
        <w:tc>
          <w:tcPr>
            <w:tcW w:w="2318" w:type="dxa"/>
            <w:vAlign w:val="center"/>
          </w:tcPr>
          <w:p w14:paraId="224FE306">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270</w:t>
            </w:r>
          </w:p>
        </w:tc>
        <w:tc>
          <w:tcPr>
            <w:tcW w:w="1971" w:type="dxa"/>
            <w:vAlign w:val="center"/>
          </w:tcPr>
          <w:p w14:paraId="44E99C9B">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6.46</w:t>
            </w:r>
          </w:p>
        </w:tc>
      </w:tr>
      <w:tr w14:paraId="0BF4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4761444E">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2032年</w:t>
            </w:r>
          </w:p>
        </w:tc>
        <w:tc>
          <w:tcPr>
            <w:tcW w:w="1700" w:type="dxa"/>
            <w:shd w:val="clear" w:color="auto" w:fill="auto"/>
            <w:vAlign w:val="center"/>
          </w:tcPr>
          <w:p w14:paraId="26B0C8F7">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227.06</w:t>
            </w:r>
          </w:p>
        </w:tc>
        <w:tc>
          <w:tcPr>
            <w:tcW w:w="2318" w:type="dxa"/>
            <w:vAlign w:val="center"/>
          </w:tcPr>
          <w:p w14:paraId="1CB6FACA">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265</w:t>
            </w:r>
          </w:p>
        </w:tc>
        <w:tc>
          <w:tcPr>
            <w:tcW w:w="1971" w:type="dxa"/>
            <w:vAlign w:val="center"/>
          </w:tcPr>
          <w:p w14:paraId="21A3A018">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6.02</w:t>
            </w:r>
          </w:p>
        </w:tc>
      </w:tr>
      <w:tr w14:paraId="09E5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200FEE82">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2033年</w:t>
            </w:r>
          </w:p>
        </w:tc>
        <w:tc>
          <w:tcPr>
            <w:tcW w:w="1700" w:type="dxa"/>
            <w:shd w:val="clear" w:color="auto" w:fill="auto"/>
            <w:vAlign w:val="center"/>
          </w:tcPr>
          <w:p w14:paraId="412093B5">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215.48</w:t>
            </w:r>
          </w:p>
        </w:tc>
        <w:tc>
          <w:tcPr>
            <w:tcW w:w="2318" w:type="dxa"/>
            <w:vAlign w:val="center"/>
          </w:tcPr>
          <w:p w14:paraId="447D0766">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260</w:t>
            </w:r>
          </w:p>
        </w:tc>
        <w:tc>
          <w:tcPr>
            <w:tcW w:w="1971" w:type="dxa"/>
            <w:vAlign w:val="center"/>
          </w:tcPr>
          <w:p w14:paraId="16348841">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5.6</w:t>
            </w:r>
          </w:p>
        </w:tc>
      </w:tr>
      <w:tr w14:paraId="5FE6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41439BF1">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2034年</w:t>
            </w:r>
          </w:p>
        </w:tc>
        <w:tc>
          <w:tcPr>
            <w:tcW w:w="1700" w:type="dxa"/>
            <w:shd w:val="clear" w:color="auto" w:fill="auto"/>
            <w:vAlign w:val="center"/>
          </w:tcPr>
          <w:p w14:paraId="0C8DEB8B">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204.49</w:t>
            </w:r>
          </w:p>
        </w:tc>
        <w:tc>
          <w:tcPr>
            <w:tcW w:w="2318" w:type="dxa"/>
            <w:vAlign w:val="center"/>
          </w:tcPr>
          <w:p w14:paraId="6B648F1F">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255</w:t>
            </w:r>
          </w:p>
        </w:tc>
        <w:tc>
          <w:tcPr>
            <w:tcW w:w="1971" w:type="dxa"/>
            <w:vAlign w:val="center"/>
          </w:tcPr>
          <w:p w14:paraId="633B5A6F">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5.21</w:t>
            </w:r>
          </w:p>
        </w:tc>
      </w:tr>
      <w:tr w14:paraId="0389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vAlign w:val="center"/>
          </w:tcPr>
          <w:p w14:paraId="279C778D">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2035年</w:t>
            </w:r>
          </w:p>
        </w:tc>
        <w:tc>
          <w:tcPr>
            <w:tcW w:w="1700" w:type="dxa"/>
            <w:shd w:val="clear" w:color="auto" w:fill="auto"/>
            <w:vAlign w:val="center"/>
          </w:tcPr>
          <w:p w14:paraId="382B57A8">
            <w:pPr>
              <w:keepNext w:val="0"/>
              <w:keepLines w:val="0"/>
              <w:widowControl/>
              <w:suppressLineNumbers w:val="0"/>
              <w:ind w:left="0" w:leftChars="0" w:firstLine="0" w:firstLineChars="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194.07</w:t>
            </w:r>
          </w:p>
        </w:tc>
        <w:tc>
          <w:tcPr>
            <w:tcW w:w="2318" w:type="dxa"/>
            <w:vAlign w:val="center"/>
          </w:tcPr>
          <w:p w14:paraId="75424132">
            <w:pPr>
              <w:spacing w:before="52" w:line="220" w:lineRule="auto"/>
              <w:ind w:left="0" w:leftChars="0" w:firstLine="0" w:firstLineChars="0"/>
              <w:jc w:val="center"/>
              <w:rPr>
                <w:rFonts w:hint="eastAsia" w:ascii="仿宋" w:hAnsi="仿宋" w:eastAsia="仿宋" w:cs="仿宋"/>
                <w:spacing w:val="-3"/>
                <w:sz w:val="24"/>
                <w:szCs w:val="24"/>
                <w:vertAlign w:val="baseline"/>
                <w:lang w:val="en-US" w:eastAsia="zh-CN"/>
              </w:rPr>
            </w:pPr>
            <w:r>
              <w:rPr>
                <w:rFonts w:hint="eastAsia" w:ascii="仿宋" w:hAnsi="仿宋" w:eastAsia="仿宋" w:cs="仿宋"/>
                <w:spacing w:val="-3"/>
                <w:sz w:val="24"/>
                <w:szCs w:val="24"/>
                <w:vertAlign w:val="baseline"/>
                <w:lang w:val="en-US" w:eastAsia="zh-CN"/>
              </w:rPr>
              <w:t>250</w:t>
            </w:r>
          </w:p>
        </w:tc>
        <w:tc>
          <w:tcPr>
            <w:tcW w:w="1971" w:type="dxa"/>
            <w:vAlign w:val="center"/>
          </w:tcPr>
          <w:p w14:paraId="0AC744B2">
            <w:pPr>
              <w:keepNext w:val="0"/>
              <w:keepLines w:val="0"/>
              <w:widowControl/>
              <w:suppressLineNumbers w:val="0"/>
              <w:ind w:left="0" w:leftChars="0" w:firstLine="0" w:firstLineChars="0"/>
              <w:jc w:val="center"/>
              <w:textAlignment w:val="center"/>
              <w:rPr>
                <w:rFonts w:hint="eastAsia" w:ascii="仿宋" w:hAnsi="仿宋" w:eastAsia="仿宋" w:cs="仿宋"/>
                <w:spacing w:val="-3"/>
                <w:sz w:val="24"/>
                <w:szCs w:val="24"/>
                <w:vertAlign w:val="baseline"/>
                <w:lang w:val="en-US" w:eastAsia="zh-CN"/>
              </w:rPr>
            </w:pPr>
            <w:r>
              <w:rPr>
                <w:rFonts w:hint="eastAsia" w:ascii="仿宋" w:hAnsi="仿宋" w:eastAsia="仿宋" w:cs="仿宋"/>
                <w:i w:val="0"/>
                <w:iCs w:val="0"/>
                <w:color w:val="000000"/>
                <w:kern w:val="0"/>
                <w:sz w:val="24"/>
                <w:szCs w:val="24"/>
                <w:u w:val="none"/>
                <w:lang w:val="en-US" w:eastAsia="zh-CN" w:bidi="ar"/>
              </w:rPr>
              <w:t>4.85</w:t>
            </w:r>
          </w:p>
        </w:tc>
      </w:tr>
      <w:bookmarkEnd w:id="115"/>
    </w:tbl>
    <w:p w14:paraId="70D0B81D">
      <w:pPr>
        <w:spacing w:before="52" w:line="220" w:lineRule="auto"/>
        <w:ind w:left="596"/>
        <w:rPr>
          <w:rFonts w:hint="default" w:ascii="宋体" w:hAnsi="宋体" w:eastAsia="宋体" w:cs="宋体"/>
          <w:spacing w:val="-3"/>
          <w:sz w:val="24"/>
          <w:szCs w:val="24"/>
          <w:lang w:val="en-US" w:eastAsia="zh-CN"/>
        </w:rPr>
      </w:pPr>
    </w:p>
    <w:p w14:paraId="0F5EF6D1">
      <w:pPr>
        <w:pStyle w:val="4"/>
        <w:bidi w:val="0"/>
      </w:pPr>
      <w:r>
        <w:t>2、拆除垃圾</w:t>
      </w:r>
    </w:p>
    <w:p w14:paraId="1246E4BC">
      <w:pPr>
        <w:bidi w:val="0"/>
      </w:pPr>
      <w:r>
        <w:t>根据《建筑垃圾处理技术标准（CJJ/T134-2019）》中的规定，拆除垃圾产生量可按下式进行估算：</w:t>
      </w:r>
    </w:p>
    <w:p w14:paraId="290C220D">
      <w:pPr>
        <w:bidi w:val="0"/>
      </w:pPr>
      <w:r>
        <w:t>Mc=Rcmc</w:t>
      </w:r>
    </w:p>
    <w:p w14:paraId="1CD68986">
      <w:pPr>
        <w:bidi w:val="0"/>
      </w:pPr>
      <w:r>
        <w:t>式中：Mc—某城市或区域拆除垃圾产生量，t/a；</w:t>
      </w:r>
    </w:p>
    <w:p w14:paraId="2E305C92">
      <w:pPr>
        <w:bidi w:val="0"/>
      </w:pPr>
      <w:r>
        <w:t>Rc—城市或区域拆除面积（104m</w:t>
      </w:r>
      <w:r>
        <w:rPr>
          <w:vertAlign w:val="superscript"/>
        </w:rPr>
        <w:t>2</w:t>
      </w:r>
      <w:r>
        <w:t>/a）；</w:t>
      </w:r>
    </w:p>
    <w:p w14:paraId="15140DD5">
      <w:pPr>
        <w:bidi w:val="0"/>
        <w:rPr>
          <w:lang w:eastAsia="zh-CN"/>
        </w:rPr>
      </w:pPr>
      <w:r>
        <w:t>mc—单位面积建筑垃圾产生量基数（t/104m</w:t>
      </w:r>
      <w:r>
        <w:rPr>
          <w:vertAlign w:val="superscript"/>
        </w:rPr>
        <w:t>2</w:t>
      </w:r>
      <w:r>
        <w:t>），可取8000~13000t/104 m</w:t>
      </w:r>
      <w:r>
        <w:rPr>
          <w:vertAlign w:val="superscript"/>
        </w:rPr>
        <w:t>2</w:t>
      </w:r>
      <w:r>
        <w:rPr>
          <w:rFonts w:hint="eastAsia"/>
          <w:lang w:eastAsia="zh-CN"/>
        </w:rPr>
        <w:t>。</w:t>
      </w:r>
      <w:r>
        <w:t>由于</w:t>
      </w:r>
      <w:r>
        <w:rPr>
          <w:rFonts w:hint="eastAsia"/>
          <w:lang w:eastAsia="zh-CN"/>
        </w:rPr>
        <w:t>桃江</w:t>
      </w:r>
      <w:r>
        <w:t>县拆除建筑普遍为老式砖混结构，单位面积拆除垃圾产生量基数选择为10000t/t/104m</w:t>
      </w:r>
      <w:r>
        <w:rPr>
          <w:vertAlign w:val="superscript"/>
        </w:rPr>
        <w:t>2</w:t>
      </w:r>
      <w:r>
        <w:t>。参考</w:t>
      </w:r>
      <w:r>
        <w:rPr>
          <w:rFonts w:hint="eastAsia"/>
          <w:lang w:val="en-US" w:eastAsia="zh-CN"/>
        </w:rPr>
        <w:t>桃江县</w:t>
      </w:r>
      <w:r>
        <w:t>住建局、自然资源局数据，结合国内同等城市拆除建筑量的数值</w:t>
      </w:r>
      <w:bookmarkStart w:id="116" w:name="OLE_LINK35"/>
      <w:r>
        <w:rPr>
          <w:rFonts w:hint="eastAsia"/>
          <w:lang w:val="en-US" w:eastAsia="zh-CN"/>
        </w:rPr>
        <w:t>和桃江县</w:t>
      </w:r>
      <w:bookmarkEnd w:id="116"/>
      <w:r>
        <w:t>现状拆除垃圾产生量情况，</w:t>
      </w:r>
      <w:r>
        <w:rPr>
          <w:rFonts w:hint="eastAsia"/>
          <w:lang w:eastAsia="zh-CN"/>
        </w:rPr>
        <w:t>单位面积拆除垃圾产生量基数</w:t>
      </w:r>
      <w:r>
        <w:rPr>
          <w:rFonts w:hint="eastAsia"/>
          <w:lang w:val="en-US" w:eastAsia="zh-CN"/>
        </w:rPr>
        <w:t>取0.2，</w:t>
      </w:r>
      <w:r>
        <w:t>则</w:t>
      </w:r>
      <w:r>
        <w:rPr>
          <w:rFonts w:hint="eastAsia"/>
          <w:lang w:val="en-US" w:eastAsia="zh-CN"/>
        </w:rPr>
        <w:t>桃江县</w:t>
      </w:r>
      <w:r>
        <w:t>2025年拆除建筑面积为</w:t>
      </w:r>
      <w:r>
        <w:rPr>
          <w:rFonts w:hint="eastAsia"/>
          <w:lang w:val="en-US" w:eastAsia="zh-CN"/>
        </w:rPr>
        <w:t>6.55</w:t>
      </w:r>
      <w:r>
        <w:t>万平方米，2030年拆除建筑面积为</w:t>
      </w:r>
      <w:r>
        <w:rPr>
          <w:rFonts w:hint="eastAsia"/>
          <w:lang w:val="en-US" w:eastAsia="zh-CN"/>
        </w:rPr>
        <w:t>5.04</w:t>
      </w:r>
      <w:r>
        <w:t>万平方米，2035年拆除建筑面积为</w:t>
      </w:r>
      <w:r>
        <w:rPr>
          <w:rFonts w:hint="eastAsia"/>
          <w:lang w:val="en-US" w:eastAsia="zh-CN"/>
        </w:rPr>
        <w:t>3.88</w:t>
      </w:r>
      <w:r>
        <w:t>万平方米</w:t>
      </w:r>
      <w:r>
        <w:rPr>
          <w:rFonts w:hint="eastAsia"/>
          <w:lang w:eastAsia="zh-CN"/>
        </w:rPr>
        <w:t>；</w:t>
      </w:r>
      <w:r>
        <w:rPr>
          <w:rFonts w:hint="eastAsia"/>
          <w:lang w:val="en-US" w:eastAsia="zh-CN"/>
        </w:rPr>
        <w:t>根据分析2020年至2024年拆除违建情况</w:t>
      </w:r>
      <w:r>
        <w:t>，</w:t>
      </w:r>
      <w:r>
        <w:rPr>
          <w:rFonts w:hint="eastAsia"/>
          <w:lang w:val="en-US" w:eastAsia="zh-CN"/>
        </w:rPr>
        <w:t>预测到2025年，桃江县拆除违建0.5万平方米，2030年拆除违建0.47万平方米，2035年拆除违建0.45万平方米。</w:t>
      </w:r>
      <w:bookmarkStart w:id="117" w:name="OLE_LINK36"/>
      <w:r>
        <w:rPr>
          <w:rFonts w:hint="eastAsia"/>
          <w:lang w:val="en-US" w:eastAsia="zh-CN"/>
        </w:rPr>
        <w:t>2025年拆除垃圾总产生量约为</w:t>
      </w:r>
      <w:r>
        <w:rPr>
          <w:lang w:eastAsia="zh-CN"/>
        </w:rPr>
        <w:t>产生量约为</w:t>
      </w:r>
      <w:r>
        <w:rPr>
          <w:rFonts w:hint="eastAsia"/>
          <w:lang w:val="en-US" w:eastAsia="zh-CN"/>
        </w:rPr>
        <w:t>7.05万吨</w:t>
      </w:r>
      <w:r>
        <w:rPr>
          <w:rFonts w:hint="eastAsia"/>
          <w:lang w:eastAsia="zh-CN"/>
        </w:rPr>
        <w:t>，</w:t>
      </w:r>
      <w:bookmarkEnd w:id="117"/>
      <w:r>
        <w:rPr>
          <w:rFonts w:hint="eastAsia"/>
          <w:lang w:val="en-US" w:eastAsia="zh-CN"/>
        </w:rPr>
        <w:t>2030年拆除垃圾总产生量约为</w:t>
      </w:r>
      <w:r>
        <w:rPr>
          <w:lang w:eastAsia="zh-CN"/>
        </w:rPr>
        <w:t>产生量约为</w:t>
      </w:r>
      <w:r>
        <w:rPr>
          <w:rFonts w:hint="eastAsia"/>
          <w:lang w:val="en-US" w:eastAsia="zh-CN"/>
        </w:rPr>
        <w:t>5.51万吨</w:t>
      </w:r>
      <w:r>
        <w:rPr>
          <w:rFonts w:hint="eastAsia"/>
          <w:lang w:eastAsia="zh-CN"/>
        </w:rPr>
        <w:t>，</w:t>
      </w:r>
      <w:r>
        <w:rPr>
          <w:rFonts w:hint="eastAsia"/>
          <w:lang w:val="en-US" w:eastAsia="zh-CN"/>
        </w:rPr>
        <w:t>2035年拆除垃圾总产生量约为</w:t>
      </w:r>
      <w:r>
        <w:rPr>
          <w:lang w:eastAsia="zh-CN"/>
        </w:rPr>
        <w:t>产生量约为</w:t>
      </w:r>
      <w:r>
        <w:rPr>
          <w:rFonts w:hint="eastAsia"/>
          <w:lang w:val="en-US" w:eastAsia="zh-CN"/>
        </w:rPr>
        <w:t>4.33万吨</w:t>
      </w:r>
      <w:r>
        <w:rPr>
          <w:lang w:eastAsia="zh-CN"/>
        </w:rPr>
        <w:t>。</w:t>
      </w:r>
    </w:p>
    <w:p w14:paraId="523E0CA4">
      <w:pPr>
        <w:bidi w:val="0"/>
        <w:rPr>
          <w:lang w:eastAsia="zh-CN"/>
        </w:rPr>
      </w:pPr>
    </w:p>
    <w:p w14:paraId="30201735">
      <w:pPr>
        <w:bidi w:val="0"/>
        <w:ind w:left="0" w:leftChars="0" w:firstLine="0" w:firstLineChars="0"/>
        <w:jc w:val="center"/>
        <w:rPr>
          <w:b/>
          <w:bCs/>
          <w:lang w:eastAsia="en-US"/>
        </w:rPr>
      </w:pPr>
      <w:r>
        <w:rPr>
          <w:b/>
          <w:bCs/>
          <w:lang w:eastAsia="en-US"/>
        </w:rPr>
        <w:t>表4-</w:t>
      </w:r>
      <w:r>
        <w:rPr>
          <w:rFonts w:hint="eastAsia"/>
          <w:b/>
          <w:bCs/>
          <w:lang w:val="en-US" w:eastAsia="zh-CN"/>
        </w:rPr>
        <w:t>2</w:t>
      </w:r>
      <w:r>
        <w:rPr>
          <w:b/>
          <w:bCs/>
          <w:lang w:eastAsia="en-US"/>
        </w:rPr>
        <w:t xml:space="preserve"> </w:t>
      </w:r>
      <w:r>
        <w:rPr>
          <w:rFonts w:hint="eastAsia"/>
          <w:b/>
          <w:bCs/>
          <w:lang w:val="en-US" w:eastAsia="zh-CN"/>
        </w:rPr>
        <w:t>桃江</w:t>
      </w:r>
      <w:r>
        <w:rPr>
          <w:b/>
          <w:bCs/>
          <w:lang w:eastAsia="en-US"/>
        </w:rPr>
        <w:t>县 2025-2035 年拆除垃圾预测量</w:t>
      </w:r>
    </w:p>
    <w:p w14:paraId="7C3E74FC">
      <w:pPr>
        <w:widowControl/>
        <w:kinsoku w:val="0"/>
        <w:autoSpaceDE w:val="0"/>
        <w:autoSpaceDN w:val="0"/>
        <w:adjustRightInd w:val="0"/>
        <w:snapToGrid w:val="0"/>
        <w:spacing w:line="119" w:lineRule="exact"/>
        <w:ind w:firstLine="0" w:firstLineChars="0"/>
        <w:jc w:val="left"/>
        <w:textAlignment w:val="baseline"/>
        <w:rPr>
          <w:rFonts w:ascii="Arial" w:hAnsi="Arial" w:eastAsia="Arial" w:cs="Arial"/>
          <w:snapToGrid w:val="0"/>
          <w:color w:val="000000"/>
          <w:kern w:val="0"/>
          <w:sz w:val="21"/>
          <w:szCs w:val="21"/>
          <w:lang w:eastAsia="en-US"/>
        </w:rPr>
      </w:pPr>
    </w:p>
    <w:tbl>
      <w:tblPr>
        <w:tblStyle w:val="25"/>
        <w:tblW w:w="800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8"/>
        <w:gridCol w:w="2921"/>
        <w:gridCol w:w="2760"/>
      </w:tblGrid>
      <w:tr w14:paraId="694F6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2328" w:type="dxa"/>
            <w:tcBorders>
              <w:left w:val="single" w:color="000000" w:sz="6" w:space="0"/>
              <w:right w:val="single" w:color="000000" w:sz="8" w:space="0"/>
            </w:tcBorders>
            <w:vAlign w:val="top"/>
          </w:tcPr>
          <w:p w14:paraId="0620E032">
            <w:pPr>
              <w:widowControl/>
              <w:kinsoku w:val="0"/>
              <w:autoSpaceDE w:val="0"/>
              <w:autoSpaceDN w:val="0"/>
              <w:adjustRightInd w:val="0"/>
              <w:snapToGrid w:val="0"/>
              <w:spacing w:before="244" w:line="222" w:lineRule="auto"/>
              <w:ind w:left="932"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12"/>
                <w:kern w:val="0"/>
                <w:sz w:val="24"/>
                <w:szCs w:val="24"/>
                <w:lang w:eastAsia="en-US"/>
              </w:rPr>
              <w:t>时间</w:t>
            </w:r>
          </w:p>
        </w:tc>
        <w:tc>
          <w:tcPr>
            <w:tcW w:w="2921" w:type="dxa"/>
            <w:tcBorders>
              <w:left w:val="single" w:color="000000" w:sz="8" w:space="0"/>
              <w:right w:val="single" w:color="000000" w:sz="8" w:space="0"/>
            </w:tcBorders>
            <w:vAlign w:val="top"/>
          </w:tcPr>
          <w:p w14:paraId="34B41E35">
            <w:pPr>
              <w:widowControl/>
              <w:kinsoku w:val="0"/>
              <w:autoSpaceDE w:val="0"/>
              <w:autoSpaceDN w:val="0"/>
              <w:adjustRightInd w:val="0"/>
              <w:snapToGrid w:val="0"/>
              <w:spacing w:before="245" w:line="219" w:lineRule="auto"/>
              <w:ind w:left="654"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5"/>
                <w:kern w:val="0"/>
                <w:sz w:val="24"/>
                <w:szCs w:val="24"/>
                <w:lang w:eastAsia="en-US"/>
              </w:rPr>
              <w:t>拆除面积（万</w:t>
            </w:r>
            <w:r>
              <w:rPr>
                <w:rFonts w:hint="eastAsia" w:ascii="仿宋" w:hAnsi="仿宋" w:cs="仿宋"/>
                <w:b/>
                <w:bCs/>
                <w:snapToGrid w:val="0"/>
                <w:color w:val="000000"/>
                <w:spacing w:val="-5"/>
                <w:kern w:val="0"/>
                <w:sz w:val="24"/>
                <w:szCs w:val="24"/>
                <w:lang w:val="en-US" w:eastAsia="zh-CN"/>
              </w:rPr>
              <w:t>平方米</w:t>
            </w:r>
            <w:r>
              <w:rPr>
                <w:rFonts w:hint="eastAsia" w:ascii="仿宋" w:hAnsi="仿宋" w:eastAsia="仿宋" w:cs="仿宋"/>
                <w:b/>
                <w:bCs/>
                <w:snapToGrid w:val="0"/>
                <w:color w:val="000000"/>
                <w:spacing w:val="-5"/>
                <w:kern w:val="0"/>
                <w:sz w:val="24"/>
                <w:szCs w:val="24"/>
                <w:lang w:eastAsia="en-US"/>
              </w:rPr>
              <w:t>）</w:t>
            </w:r>
          </w:p>
        </w:tc>
        <w:tc>
          <w:tcPr>
            <w:tcW w:w="2760" w:type="dxa"/>
            <w:tcBorders>
              <w:left w:val="single" w:color="000000" w:sz="8" w:space="0"/>
              <w:bottom w:val="single" w:color="000000" w:sz="6" w:space="0"/>
            </w:tcBorders>
            <w:vAlign w:val="top"/>
          </w:tcPr>
          <w:p w14:paraId="0DCF2A51">
            <w:pPr>
              <w:widowControl/>
              <w:kinsoku w:val="0"/>
              <w:autoSpaceDE w:val="0"/>
              <w:autoSpaceDN w:val="0"/>
              <w:adjustRightInd w:val="0"/>
              <w:snapToGrid w:val="0"/>
              <w:spacing w:before="237" w:line="239" w:lineRule="auto"/>
              <w:ind w:left="437"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3"/>
                <w:kern w:val="0"/>
                <w:sz w:val="24"/>
                <w:szCs w:val="24"/>
                <w:lang w:eastAsia="en-US"/>
              </w:rPr>
              <w:t>拆除垃圾量（万</w:t>
            </w:r>
            <w:r>
              <w:rPr>
                <w:rFonts w:hint="eastAsia" w:ascii="仿宋" w:hAnsi="仿宋" w:eastAsia="仿宋" w:cs="仿宋"/>
                <w:snapToGrid w:val="0"/>
                <w:color w:val="000000"/>
                <w:spacing w:val="-54"/>
                <w:kern w:val="0"/>
                <w:sz w:val="24"/>
                <w:szCs w:val="24"/>
                <w:lang w:eastAsia="en-US"/>
              </w:rPr>
              <w:t xml:space="preserve"> </w:t>
            </w:r>
            <w:r>
              <w:rPr>
                <w:rFonts w:hint="eastAsia" w:ascii="仿宋" w:hAnsi="仿宋" w:cs="仿宋"/>
                <w:b/>
                <w:bCs/>
                <w:snapToGrid w:val="0"/>
                <w:color w:val="000000"/>
                <w:spacing w:val="-3"/>
                <w:kern w:val="0"/>
                <w:sz w:val="24"/>
                <w:szCs w:val="24"/>
                <w:lang w:val="en-US" w:eastAsia="zh-CN"/>
              </w:rPr>
              <w:t>吨</w:t>
            </w:r>
            <w:r>
              <w:rPr>
                <w:rFonts w:hint="eastAsia" w:ascii="仿宋" w:hAnsi="仿宋" w:eastAsia="仿宋" w:cs="仿宋"/>
                <w:b/>
                <w:bCs/>
                <w:snapToGrid w:val="0"/>
                <w:color w:val="000000"/>
                <w:spacing w:val="-3"/>
                <w:kern w:val="0"/>
                <w:sz w:val="24"/>
                <w:szCs w:val="24"/>
                <w:lang w:eastAsia="en-US"/>
              </w:rPr>
              <w:t>）</w:t>
            </w:r>
          </w:p>
        </w:tc>
      </w:tr>
      <w:tr w14:paraId="1C122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328" w:type="dxa"/>
            <w:tcBorders>
              <w:left w:val="single" w:color="000000" w:sz="6" w:space="0"/>
              <w:right w:val="single" w:color="000000" w:sz="8" w:space="0"/>
            </w:tcBorders>
            <w:vAlign w:val="top"/>
          </w:tcPr>
          <w:p w14:paraId="562AF8AC">
            <w:pPr>
              <w:widowControl/>
              <w:kinsoku w:val="0"/>
              <w:autoSpaceDE w:val="0"/>
              <w:autoSpaceDN w:val="0"/>
              <w:adjustRightInd w:val="0"/>
              <w:snapToGrid w:val="0"/>
              <w:spacing w:before="118" w:line="178"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2"/>
                <w:kern w:val="0"/>
                <w:position w:val="2"/>
                <w:sz w:val="24"/>
                <w:szCs w:val="24"/>
                <w:lang w:eastAsia="en-US"/>
              </w:rPr>
              <w:t>2023</w:t>
            </w:r>
          </w:p>
        </w:tc>
        <w:tc>
          <w:tcPr>
            <w:tcW w:w="2921" w:type="dxa"/>
            <w:tcBorders>
              <w:left w:val="single" w:color="000000" w:sz="8" w:space="0"/>
              <w:right w:val="single" w:color="000000" w:sz="8" w:space="0"/>
            </w:tcBorders>
            <w:vAlign w:val="top"/>
          </w:tcPr>
          <w:p w14:paraId="556607FE">
            <w:pPr>
              <w:widowControl/>
              <w:kinsoku w:val="0"/>
              <w:autoSpaceDE w:val="0"/>
              <w:autoSpaceDN w:val="0"/>
              <w:adjustRightInd w:val="0"/>
              <w:snapToGrid w:val="0"/>
              <w:spacing w:before="118" w:line="182" w:lineRule="exact"/>
              <w:ind w:left="1402"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9.02</w:t>
            </w:r>
          </w:p>
        </w:tc>
        <w:tc>
          <w:tcPr>
            <w:tcW w:w="2760" w:type="dxa"/>
            <w:tcBorders>
              <w:left w:val="single" w:color="000000" w:sz="8" w:space="0"/>
              <w:bottom w:val="single" w:color="000000" w:sz="6" w:space="0"/>
            </w:tcBorders>
            <w:vAlign w:val="top"/>
          </w:tcPr>
          <w:p w14:paraId="633DB404">
            <w:pPr>
              <w:widowControl/>
              <w:kinsoku w:val="0"/>
              <w:autoSpaceDE w:val="0"/>
              <w:autoSpaceDN w:val="0"/>
              <w:adjustRightInd w:val="0"/>
              <w:snapToGrid w:val="0"/>
              <w:spacing w:before="118" w:line="182" w:lineRule="exact"/>
              <w:ind w:left="1402"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9.02</w:t>
            </w:r>
          </w:p>
        </w:tc>
      </w:tr>
      <w:tr w14:paraId="3D514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2328" w:type="dxa"/>
            <w:tcBorders>
              <w:left w:val="single" w:color="000000" w:sz="6" w:space="0"/>
              <w:right w:val="single" w:color="000000" w:sz="8" w:space="0"/>
            </w:tcBorders>
            <w:vAlign w:val="top"/>
          </w:tcPr>
          <w:p w14:paraId="37A1B362">
            <w:pPr>
              <w:widowControl/>
              <w:kinsoku w:val="0"/>
              <w:autoSpaceDE w:val="0"/>
              <w:autoSpaceDN w:val="0"/>
              <w:adjustRightInd w:val="0"/>
              <w:snapToGrid w:val="0"/>
              <w:spacing w:before="119" w:line="181"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5"/>
                <w:kern w:val="0"/>
                <w:position w:val="2"/>
                <w:sz w:val="24"/>
                <w:szCs w:val="24"/>
                <w:lang w:eastAsia="en-US"/>
              </w:rPr>
              <w:t>2024</w:t>
            </w:r>
          </w:p>
        </w:tc>
        <w:tc>
          <w:tcPr>
            <w:tcW w:w="2921" w:type="dxa"/>
            <w:tcBorders>
              <w:left w:val="single" w:color="000000" w:sz="8" w:space="0"/>
              <w:right w:val="single" w:color="000000" w:sz="8" w:space="0"/>
            </w:tcBorders>
            <w:vAlign w:val="top"/>
          </w:tcPr>
          <w:p w14:paraId="15F28556">
            <w:pPr>
              <w:widowControl/>
              <w:kinsoku w:val="0"/>
              <w:autoSpaceDE w:val="0"/>
              <w:autoSpaceDN w:val="0"/>
              <w:adjustRightInd w:val="0"/>
              <w:snapToGrid w:val="0"/>
              <w:spacing w:before="119" w:line="181" w:lineRule="exact"/>
              <w:ind w:left="1402"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7.40</w:t>
            </w:r>
          </w:p>
        </w:tc>
        <w:tc>
          <w:tcPr>
            <w:tcW w:w="2760" w:type="dxa"/>
            <w:tcBorders>
              <w:left w:val="single" w:color="000000" w:sz="8" w:space="0"/>
              <w:bottom w:val="single" w:color="000000" w:sz="6" w:space="0"/>
            </w:tcBorders>
            <w:vAlign w:val="top"/>
          </w:tcPr>
          <w:p w14:paraId="2E49325B">
            <w:pPr>
              <w:widowControl/>
              <w:kinsoku w:val="0"/>
              <w:autoSpaceDE w:val="0"/>
              <w:autoSpaceDN w:val="0"/>
              <w:adjustRightInd w:val="0"/>
              <w:snapToGrid w:val="0"/>
              <w:spacing w:before="119" w:line="181" w:lineRule="exact"/>
              <w:ind w:left="1402"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7.40</w:t>
            </w:r>
          </w:p>
        </w:tc>
      </w:tr>
      <w:tr w14:paraId="2E17C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2328" w:type="dxa"/>
            <w:tcBorders>
              <w:left w:val="single" w:color="000000" w:sz="6" w:space="0"/>
              <w:right w:val="single" w:color="000000" w:sz="8" w:space="0"/>
            </w:tcBorders>
            <w:vAlign w:val="top"/>
          </w:tcPr>
          <w:p w14:paraId="21DCAF9E">
            <w:pPr>
              <w:widowControl/>
              <w:kinsoku w:val="0"/>
              <w:autoSpaceDE w:val="0"/>
              <w:autoSpaceDN w:val="0"/>
              <w:adjustRightInd w:val="0"/>
              <w:snapToGrid w:val="0"/>
              <w:spacing w:before="120" w:line="177"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3"/>
                <w:kern w:val="0"/>
                <w:position w:val="2"/>
                <w:sz w:val="24"/>
                <w:szCs w:val="24"/>
                <w:lang w:eastAsia="en-US"/>
              </w:rPr>
              <w:t>2025</w:t>
            </w:r>
          </w:p>
        </w:tc>
        <w:tc>
          <w:tcPr>
            <w:tcW w:w="2921" w:type="dxa"/>
            <w:tcBorders>
              <w:left w:val="single" w:color="000000" w:sz="8" w:space="0"/>
              <w:right w:val="single" w:color="000000" w:sz="8" w:space="0"/>
            </w:tcBorders>
            <w:vAlign w:val="top"/>
          </w:tcPr>
          <w:p w14:paraId="66469193">
            <w:pPr>
              <w:widowControl/>
              <w:kinsoku w:val="0"/>
              <w:autoSpaceDE w:val="0"/>
              <w:autoSpaceDN w:val="0"/>
              <w:adjustRightInd w:val="0"/>
              <w:snapToGrid w:val="0"/>
              <w:spacing w:before="120" w:line="178" w:lineRule="exact"/>
              <w:ind w:left="1402"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7.05</w:t>
            </w:r>
          </w:p>
        </w:tc>
        <w:tc>
          <w:tcPr>
            <w:tcW w:w="2760" w:type="dxa"/>
            <w:tcBorders>
              <w:left w:val="single" w:color="000000" w:sz="8" w:space="0"/>
              <w:bottom w:val="single" w:color="000000" w:sz="6" w:space="0"/>
            </w:tcBorders>
            <w:vAlign w:val="top"/>
          </w:tcPr>
          <w:p w14:paraId="7A40525D">
            <w:pPr>
              <w:widowControl/>
              <w:kinsoku w:val="0"/>
              <w:autoSpaceDE w:val="0"/>
              <w:autoSpaceDN w:val="0"/>
              <w:adjustRightInd w:val="0"/>
              <w:snapToGrid w:val="0"/>
              <w:spacing w:before="120" w:line="178" w:lineRule="exact"/>
              <w:ind w:left="1402"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7.05</w:t>
            </w:r>
          </w:p>
        </w:tc>
      </w:tr>
      <w:tr w14:paraId="76EE7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328" w:type="dxa"/>
            <w:tcBorders>
              <w:left w:val="single" w:color="000000" w:sz="6" w:space="0"/>
              <w:right w:val="single" w:color="000000" w:sz="8" w:space="0"/>
            </w:tcBorders>
            <w:vAlign w:val="top"/>
          </w:tcPr>
          <w:p w14:paraId="31C9052A">
            <w:pPr>
              <w:widowControl/>
              <w:kinsoku w:val="0"/>
              <w:autoSpaceDE w:val="0"/>
              <w:autoSpaceDN w:val="0"/>
              <w:adjustRightInd w:val="0"/>
              <w:snapToGrid w:val="0"/>
              <w:spacing w:before="123" w:line="187" w:lineRule="auto"/>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5"/>
                <w:kern w:val="0"/>
                <w:sz w:val="24"/>
                <w:szCs w:val="24"/>
                <w:lang w:eastAsia="en-US"/>
              </w:rPr>
              <w:t>2026</w:t>
            </w:r>
          </w:p>
        </w:tc>
        <w:tc>
          <w:tcPr>
            <w:tcW w:w="2921" w:type="dxa"/>
            <w:tcBorders>
              <w:left w:val="single" w:color="000000" w:sz="8" w:space="0"/>
              <w:right w:val="single" w:color="000000" w:sz="8" w:space="0"/>
            </w:tcBorders>
            <w:vAlign w:val="top"/>
          </w:tcPr>
          <w:p w14:paraId="4377F855">
            <w:pPr>
              <w:widowControl/>
              <w:kinsoku w:val="0"/>
              <w:autoSpaceDE w:val="0"/>
              <w:autoSpaceDN w:val="0"/>
              <w:adjustRightInd w:val="0"/>
              <w:snapToGrid w:val="0"/>
              <w:spacing w:before="123" w:line="178" w:lineRule="exact"/>
              <w:ind w:left="1410"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6.71</w:t>
            </w:r>
          </w:p>
        </w:tc>
        <w:tc>
          <w:tcPr>
            <w:tcW w:w="2760" w:type="dxa"/>
            <w:tcBorders>
              <w:left w:val="single" w:color="000000" w:sz="8" w:space="0"/>
              <w:bottom w:val="single" w:color="000000" w:sz="6" w:space="0"/>
            </w:tcBorders>
            <w:vAlign w:val="top"/>
          </w:tcPr>
          <w:p w14:paraId="18C850EA">
            <w:pPr>
              <w:widowControl/>
              <w:kinsoku w:val="0"/>
              <w:autoSpaceDE w:val="0"/>
              <w:autoSpaceDN w:val="0"/>
              <w:adjustRightInd w:val="0"/>
              <w:snapToGrid w:val="0"/>
              <w:spacing w:before="123" w:line="178" w:lineRule="exact"/>
              <w:ind w:left="1410"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6.71</w:t>
            </w:r>
          </w:p>
        </w:tc>
      </w:tr>
      <w:tr w14:paraId="2F8D7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2328" w:type="dxa"/>
            <w:tcBorders>
              <w:left w:val="single" w:color="000000" w:sz="6" w:space="0"/>
              <w:right w:val="single" w:color="000000" w:sz="8" w:space="0"/>
            </w:tcBorders>
            <w:vAlign w:val="top"/>
          </w:tcPr>
          <w:p w14:paraId="47C03015">
            <w:pPr>
              <w:widowControl/>
              <w:kinsoku w:val="0"/>
              <w:autoSpaceDE w:val="0"/>
              <w:autoSpaceDN w:val="0"/>
              <w:adjustRightInd w:val="0"/>
              <w:snapToGrid w:val="0"/>
              <w:spacing w:before="121" w:line="184"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3"/>
                <w:kern w:val="0"/>
                <w:position w:val="2"/>
                <w:sz w:val="24"/>
                <w:szCs w:val="24"/>
                <w:lang w:eastAsia="en-US"/>
              </w:rPr>
              <w:t>2027</w:t>
            </w:r>
          </w:p>
        </w:tc>
        <w:tc>
          <w:tcPr>
            <w:tcW w:w="2921" w:type="dxa"/>
            <w:tcBorders>
              <w:left w:val="single" w:color="000000" w:sz="8" w:space="0"/>
              <w:right w:val="single" w:color="000000" w:sz="8" w:space="0"/>
            </w:tcBorders>
            <w:vAlign w:val="top"/>
          </w:tcPr>
          <w:p w14:paraId="74A767CD">
            <w:pPr>
              <w:widowControl/>
              <w:kinsoku w:val="0"/>
              <w:autoSpaceDE w:val="0"/>
              <w:autoSpaceDN w:val="0"/>
              <w:adjustRightInd w:val="0"/>
              <w:snapToGrid w:val="0"/>
              <w:spacing w:before="121" w:line="178" w:lineRule="exact"/>
              <w:ind w:left="1410"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6.39</w:t>
            </w:r>
          </w:p>
        </w:tc>
        <w:tc>
          <w:tcPr>
            <w:tcW w:w="2760" w:type="dxa"/>
            <w:tcBorders>
              <w:left w:val="single" w:color="000000" w:sz="8" w:space="0"/>
              <w:bottom w:val="single" w:color="000000" w:sz="6" w:space="0"/>
            </w:tcBorders>
            <w:vAlign w:val="top"/>
          </w:tcPr>
          <w:p w14:paraId="6FEE290D">
            <w:pPr>
              <w:widowControl/>
              <w:kinsoku w:val="0"/>
              <w:autoSpaceDE w:val="0"/>
              <w:autoSpaceDN w:val="0"/>
              <w:adjustRightInd w:val="0"/>
              <w:snapToGrid w:val="0"/>
              <w:spacing w:before="121" w:line="178" w:lineRule="exact"/>
              <w:ind w:left="1410"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6.39</w:t>
            </w:r>
          </w:p>
        </w:tc>
      </w:tr>
      <w:tr w14:paraId="6DFA9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328" w:type="dxa"/>
            <w:tcBorders>
              <w:left w:val="single" w:color="000000" w:sz="6" w:space="0"/>
              <w:right w:val="single" w:color="000000" w:sz="8" w:space="0"/>
            </w:tcBorders>
            <w:vAlign w:val="top"/>
          </w:tcPr>
          <w:p w14:paraId="76D89061">
            <w:pPr>
              <w:widowControl/>
              <w:kinsoku w:val="0"/>
              <w:autoSpaceDE w:val="0"/>
              <w:autoSpaceDN w:val="0"/>
              <w:adjustRightInd w:val="0"/>
              <w:snapToGrid w:val="0"/>
              <w:spacing w:before="122" w:line="187" w:lineRule="auto"/>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5"/>
                <w:kern w:val="0"/>
                <w:sz w:val="24"/>
                <w:szCs w:val="24"/>
                <w:lang w:eastAsia="en-US"/>
              </w:rPr>
              <w:t>2028</w:t>
            </w:r>
          </w:p>
        </w:tc>
        <w:tc>
          <w:tcPr>
            <w:tcW w:w="2921" w:type="dxa"/>
            <w:tcBorders>
              <w:left w:val="single" w:color="000000" w:sz="8" w:space="0"/>
              <w:right w:val="single" w:color="000000" w:sz="8" w:space="0"/>
            </w:tcBorders>
            <w:vAlign w:val="top"/>
          </w:tcPr>
          <w:p w14:paraId="38DFD4E9">
            <w:pPr>
              <w:widowControl/>
              <w:kinsoku w:val="0"/>
              <w:autoSpaceDE w:val="0"/>
              <w:autoSpaceDN w:val="0"/>
              <w:adjustRightInd w:val="0"/>
              <w:snapToGrid w:val="0"/>
              <w:spacing w:before="122" w:line="178" w:lineRule="exact"/>
              <w:ind w:left="1410"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6.08</w:t>
            </w:r>
          </w:p>
        </w:tc>
        <w:tc>
          <w:tcPr>
            <w:tcW w:w="2760" w:type="dxa"/>
            <w:tcBorders>
              <w:left w:val="single" w:color="000000" w:sz="8" w:space="0"/>
              <w:bottom w:val="single" w:color="000000" w:sz="6" w:space="0"/>
            </w:tcBorders>
            <w:vAlign w:val="top"/>
          </w:tcPr>
          <w:p w14:paraId="297E648F">
            <w:pPr>
              <w:widowControl/>
              <w:kinsoku w:val="0"/>
              <w:autoSpaceDE w:val="0"/>
              <w:autoSpaceDN w:val="0"/>
              <w:adjustRightInd w:val="0"/>
              <w:snapToGrid w:val="0"/>
              <w:spacing w:before="122" w:line="178" w:lineRule="exact"/>
              <w:ind w:left="1410"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6.08</w:t>
            </w:r>
          </w:p>
        </w:tc>
      </w:tr>
      <w:tr w14:paraId="040C7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2328" w:type="dxa"/>
            <w:tcBorders>
              <w:left w:val="single" w:color="000000" w:sz="6" w:space="0"/>
              <w:right w:val="single" w:color="000000" w:sz="8" w:space="0"/>
            </w:tcBorders>
            <w:vAlign w:val="top"/>
          </w:tcPr>
          <w:p w14:paraId="5FC2B2E3">
            <w:pPr>
              <w:widowControl/>
              <w:kinsoku w:val="0"/>
              <w:autoSpaceDE w:val="0"/>
              <w:autoSpaceDN w:val="0"/>
              <w:adjustRightInd w:val="0"/>
              <w:snapToGrid w:val="0"/>
              <w:spacing w:before="122" w:line="179"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5"/>
                <w:kern w:val="0"/>
                <w:position w:val="2"/>
                <w:sz w:val="24"/>
                <w:szCs w:val="24"/>
                <w:lang w:eastAsia="en-US"/>
              </w:rPr>
              <w:t>2029</w:t>
            </w:r>
          </w:p>
        </w:tc>
        <w:tc>
          <w:tcPr>
            <w:tcW w:w="2921" w:type="dxa"/>
            <w:tcBorders>
              <w:left w:val="single" w:color="000000" w:sz="8" w:space="0"/>
              <w:right w:val="single" w:color="000000" w:sz="8" w:space="0"/>
            </w:tcBorders>
            <w:vAlign w:val="top"/>
          </w:tcPr>
          <w:p w14:paraId="36350F30">
            <w:pPr>
              <w:widowControl/>
              <w:kinsoku w:val="0"/>
              <w:autoSpaceDE w:val="0"/>
              <w:autoSpaceDN w:val="0"/>
              <w:adjustRightInd w:val="0"/>
              <w:snapToGrid w:val="0"/>
              <w:spacing w:before="122" w:line="179" w:lineRule="exact"/>
              <w:ind w:left="1410"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5.79</w:t>
            </w:r>
          </w:p>
        </w:tc>
        <w:tc>
          <w:tcPr>
            <w:tcW w:w="2760" w:type="dxa"/>
            <w:tcBorders>
              <w:left w:val="single" w:color="000000" w:sz="8" w:space="0"/>
              <w:bottom w:val="single" w:color="000000" w:sz="6" w:space="0"/>
            </w:tcBorders>
            <w:vAlign w:val="top"/>
          </w:tcPr>
          <w:p w14:paraId="5B0128FB">
            <w:pPr>
              <w:widowControl/>
              <w:kinsoku w:val="0"/>
              <w:autoSpaceDE w:val="0"/>
              <w:autoSpaceDN w:val="0"/>
              <w:adjustRightInd w:val="0"/>
              <w:snapToGrid w:val="0"/>
              <w:spacing w:before="122" w:line="179" w:lineRule="exact"/>
              <w:ind w:left="1410"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5.79</w:t>
            </w:r>
          </w:p>
        </w:tc>
      </w:tr>
      <w:tr w14:paraId="2E4AD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2328" w:type="dxa"/>
            <w:tcBorders>
              <w:left w:val="single" w:color="000000" w:sz="6" w:space="0"/>
              <w:right w:val="single" w:color="000000" w:sz="8" w:space="0"/>
            </w:tcBorders>
            <w:vAlign w:val="top"/>
          </w:tcPr>
          <w:p w14:paraId="1EEF8919">
            <w:pPr>
              <w:widowControl/>
              <w:kinsoku w:val="0"/>
              <w:autoSpaceDE w:val="0"/>
              <w:autoSpaceDN w:val="0"/>
              <w:adjustRightInd w:val="0"/>
              <w:snapToGrid w:val="0"/>
              <w:spacing w:before="123" w:line="178"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3"/>
                <w:kern w:val="0"/>
                <w:position w:val="2"/>
                <w:sz w:val="24"/>
                <w:szCs w:val="24"/>
                <w:lang w:eastAsia="en-US"/>
              </w:rPr>
              <w:t>2030</w:t>
            </w:r>
          </w:p>
        </w:tc>
        <w:tc>
          <w:tcPr>
            <w:tcW w:w="2921" w:type="dxa"/>
            <w:tcBorders>
              <w:left w:val="single" w:color="000000" w:sz="8" w:space="0"/>
              <w:right w:val="single" w:color="000000" w:sz="8" w:space="0"/>
            </w:tcBorders>
            <w:vAlign w:val="top"/>
          </w:tcPr>
          <w:p w14:paraId="50A72455">
            <w:pPr>
              <w:widowControl/>
              <w:kinsoku w:val="0"/>
              <w:autoSpaceDE w:val="0"/>
              <w:autoSpaceDN w:val="0"/>
              <w:adjustRightInd w:val="0"/>
              <w:snapToGrid w:val="0"/>
              <w:spacing w:before="123" w:line="188" w:lineRule="auto"/>
              <w:ind w:left="1408"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5.51</w:t>
            </w:r>
          </w:p>
        </w:tc>
        <w:tc>
          <w:tcPr>
            <w:tcW w:w="2760" w:type="dxa"/>
            <w:tcBorders>
              <w:left w:val="single" w:color="000000" w:sz="8" w:space="0"/>
              <w:bottom w:val="single" w:color="000000" w:sz="6" w:space="0"/>
            </w:tcBorders>
            <w:vAlign w:val="top"/>
          </w:tcPr>
          <w:p w14:paraId="1934A063">
            <w:pPr>
              <w:widowControl/>
              <w:kinsoku w:val="0"/>
              <w:autoSpaceDE w:val="0"/>
              <w:autoSpaceDN w:val="0"/>
              <w:adjustRightInd w:val="0"/>
              <w:snapToGrid w:val="0"/>
              <w:spacing w:before="123" w:line="188" w:lineRule="auto"/>
              <w:ind w:left="1408"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5.51</w:t>
            </w:r>
          </w:p>
        </w:tc>
      </w:tr>
      <w:tr w14:paraId="28023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328" w:type="dxa"/>
            <w:tcBorders>
              <w:left w:val="single" w:color="000000" w:sz="6" w:space="0"/>
              <w:right w:val="single" w:color="000000" w:sz="8" w:space="0"/>
            </w:tcBorders>
            <w:vAlign w:val="top"/>
          </w:tcPr>
          <w:p w14:paraId="0BE32ACD">
            <w:pPr>
              <w:widowControl/>
              <w:kinsoku w:val="0"/>
              <w:autoSpaceDE w:val="0"/>
              <w:autoSpaceDN w:val="0"/>
              <w:adjustRightInd w:val="0"/>
              <w:snapToGrid w:val="0"/>
              <w:spacing w:before="127" w:line="178"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5"/>
                <w:kern w:val="0"/>
                <w:position w:val="2"/>
                <w:sz w:val="24"/>
                <w:szCs w:val="24"/>
                <w:lang w:eastAsia="en-US"/>
              </w:rPr>
              <w:t>2031</w:t>
            </w:r>
          </w:p>
        </w:tc>
        <w:tc>
          <w:tcPr>
            <w:tcW w:w="2921" w:type="dxa"/>
            <w:tcBorders>
              <w:left w:val="single" w:color="000000" w:sz="8" w:space="0"/>
              <w:right w:val="single" w:color="000000" w:sz="8" w:space="0"/>
            </w:tcBorders>
            <w:vAlign w:val="top"/>
          </w:tcPr>
          <w:p w14:paraId="73D24605">
            <w:pPr>
              <w:widowControl/>
              <w:kinsoku w:val="0"/>
              <w:autoSpaceDE w:val="0"/>
              <w:autoSpaceDN w:val="0"/>
              <w:adjustRightInd w:val="0"/>
              <w:snapToGrid w:val="0"/>
              <w:spacing w:before="127" w:line="178" w:lineRule="exact"/>
              <w:ind w:left="1408"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5.25</w:t>
            </w:r>
          </w:p>
        </w:tc>
        <w:tc>
          <w:tcPr>
            <w:tcW w:w="2760" w:type="dxa"/>
            <w:tcBorders>
              <w:left w:val="single" w:color="000000" w:sz="8" w:space="0"/>
              <w:bottom w:val="single" w:color="000000" w:sz="6" w:space="0"/>
            </w:tcBorders>
            <w:vAlign w:val="top"/>
          </w:tcPr>
          <w:p w14:paraId="55E4B235">
            <w:pPr>
              <w:widowControl/>
              <w:kinsoku w:val="0"/>
              <w:autoSpaceDE w:val="0"/>
              <w:autoSpaceDN w:val="0"/>
              <w:adjustRightInd w:val="0"/>
              <w:snapToGrid w:val="0"/>
              <w:spacing w:before="127" w:line="178" w:lineRule="exact"/>
              <w:ind w:left="1408"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5.25</w:t>
            </w:r>
          </w:p>
        </w:tc>
      </w:tr>
      <w:tr w14:paraId="0B2E3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2328" w:type="dxa"/>
            <w:tcBorders>
              <w:left w:val="single" w:color="000000" w:sz="6" w:space="0"/>
              <w:right w:val="single" w:color="000000" w:sz="8" w:space="0"/>
            </w:tcBorders>
            <w:vAlign w:val="top"/>
          </w:tcPr>
          <w:p w14:paraId="48EF36ED">
            <w:pPr>
              <w:widowControl/>
              <w:kinsoku w:val="0"/>
              <w:autoSpaceDE w:val="0"/>
              <w:autoSpaceDN w:val="0"/>
              <w:adjustRightInd w:val="0"/>
              <w:snapToGrid w:val="0"/>
              <w:spacing w:before="125" w:line="178"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2"/>
                <w:kern w:val="0"/>
                <w:position w:val="2"/>
                <w:sz w:val="24"/>
                <w:szCs w:val="24"/>
                <w:lang w:eastAsia="en-US"/>
              </w:rPr>
              <w:t>2032</w:t>
            </w:r>
          </w:p>
        </w:tc>
        <w:tc>
          <w:tcPr>
            <w:tcW w:w="2921" w:type="dxa"/>
            <w:tcBorders>
              <w:left w:val="single" w:color="000000" w:sz="8" w:space="0"/>
              <w:right w:val="single" w:color="000000" w:sz="8" w:space="0"/>
            </w:tcBorders>
            <w:vAlign w:val="top"/>
          </w:tcPr>
          <w:p w14:paraId="1E73A962">
            <w:pPr>
              <w:widowControl/>
              <w:kinsoku w:val="0"/>
              <w:autoSpaceDE w:val="0"/>
              <w:autoSpaceDN w:val="0"/>
              <w:adjustRightInd w:val="0"/>
              <w:snapToGrid w:val="0"/>
              <w:spacing w:before="125" w:line="178" w:lineRule="exact"/>
              <w:ind w:left="1408"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5.00</w:t>
            </w:r>
          </w:p>
        </w:tc>
        <w:tc>
          <w:tcPr>
            <w:tcW w:w="2760" w:type="dxa"/>
            <w:tcBorders>
              <w:left w:val="single" w:color="000000" w:sz="8" w:space="0"/>
              <w:bottom w:val="single" w:color="000000" w:sz="6" w:space="0"/>
            </w:tcBorders>
            <w:vAlign w:val="top"/>
          </w:tcPr>
          <w:p w14:paraId="679DC785">
            <w:pPr>
              <w:widowControl/>
              <w:kinsoku w:val="0"/>
              <w:autoSpaceDE w:val="0"/>
              <w:autoSpaceDN w:val="0"/>
              <w:adjustRightInd w:val="0"/>
              <w:snapToGrid w:val="0"/>
              <w:spacing w:before="125" w:line="178" w:lineRule="exact"/>
              <w:ind w:left="1408"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5.00</w:t>
            </w:r>
          </w:p>
        </w:tc>
      </w:tr>
      <w:tr w14:paraId="56A58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2328" w:type="dxa"/>
            <w:tcBorders>
              <w:left w:val="single" w:color="000000" w:sz="6" w:space="0"/>
              <w:right w:val="single" w:color="000000" w:sz="8" w:space="0"/>
            </w:tcBorders>
            <w:vAlign w:val="top"/>
          </w:tcPr>
          <w:p w14:paraId="67444C46">
            <w:pPr>
              <w:widowControl/>
              <w:kinsoku w:val="0"/>
              <w:autoSpaceDE w:val="0"/>
              <w:autoSpaceDN w:val="0"/>
              <w:adjustRightInd w:val="0"/>
              <w:snapToGrid w:val="0"/>
              <w:spacing w:before="125" w:line="178"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kern w:val="0"/>
                <w:position w:val="2"/>
                <w:sz w:val="24"/>
                <w:szCs w:val="24"/>
                <w:lang w:eastAsia="en-US"/>
              </w:rPr>
              <w:t>2033</w:t>
            </w:r>
          </w:p>
        </w:tc>
        <w:tc>
          <w:tcPr>
            <w:tcW w:w="2921" w:type="dxa"/>
            <w:tcBorders>
              <w:left w:val="single" w:color="000000" w:sz="8" w:space="0"/>
              <w:right w:val="single" w:color="000000" w:sz="8" w:space="0"/>
            </w:tcBorders>
            <w:vAlign w:val="top"/>
          </w:tcPr>
          <w:p w14:paraId="66D7E592">
            <w:pPr>
              <w:widowControl/>
              <w:kinsoku w:val="0"/>
              <w:autoSpaceDE w:val="0"/>
              <w:autoSpaceDN w:val="0"/>
              <w:adjustRightInd w:val="0"/>
              <w:snapToGrid w:val="0"/>
              <w:spacing w:before="125" w:line="184" w:lineRule="exact"/>
              <w:ind w:left="1407"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4.77</w:t>
            </w:r>
          </w:p>
        </w:tc>
        <w:tc>
          <w:tcPr>
            <w:tcW w:w="2760" w:type="dxa"/>
            <w:tcBorders>
              <w:left w:val="single" w:color="000000" w:sz="8" w:space="0"/>
              <w:bottom w:val="single" w:color="000000" w:sz="6" w:space="0"/>
            </w:tcBorders>
            <w:vAlign w:val="top"/>
          </w:tcPr>
          <w:p w14:paraId="73A86909">
            <w:pPr>
              <w:widowControl/>
              <w:kinsoku w:val="0"/>
              <w:autoSpaceDE w:val="0"/>
              <w:autoSpaceDN w:val="0"/>
              <w:adjustRightInd w:val="0"/>
              <w:snapToGrid w:val="0"/>
              <w:spacing w:before="125" w:line="184" w:lineRule="exact"/>
              <w:ind w:left="1407"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4.77</w:t>
            </w:r>
          </w:p>
        </w:tc>
      </w:tr>
      <w:tr w14:paraId="5F4E3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2328" w:type="dxa"/>
            <w:tcBorders>
              <w:left w:val="single" w:color="000000" w:sz="6" w:space="0"/>
              <w:right w:val="single" w:color="000000" w:sz="8" w:space="0"/>
            </w:tcBorders>
            <w:vAlign w:val="top"/>
          </w:tcPr>
          <w:p w14:paraId="47E504B0">
            <w:pPr>
              <w:widowControl/>
              <w:kinsoku w:val="0"/>
              <w:autoSpaceDE w:val="0"/>
              <w:autoSpaceDN w:val="0"/>
              <w:adjustRightInd w:val="0"/>
              <w:snapToGrid w:val="0"/>
              <w:spacing w:before="125" w:line="178" w:lineRule="exact"/>
              <w:ind w:left="916"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3"/>
                <w:kern w:val="0"/>
                <w:position w:val="2"/>
                <w:sz w:val="24"/>
                <w:szCs w:val="24"/>
                <w:lang w:eastAsia="en-US"/>
              </w:rPr>
              <w:t>2034</w:t>
            </w:r>
          </w:p>
        </w:tc>
        <w:tc>
          <w:tcPr>
            <w:tcW w:w="2921" w:type="dxa"/>
            <w:tcBorders>
              <w:left w:val="single" w:color="000000" w:sz="8" w:space="0"/>
              <w:right w:val="single" w:color="000000" w:sz="8" w:space="0"/>
            </w:tcBorders>
            <w:vAlign w:val="top"/>
          </w:tcPr>
          <w:p w14:paraId="4D928F8B">
            <w:pPr>
              <w:widowControl/>
              <w:kinsoku w:val="0"/>
              <w:autoSpaceDE w:val="0"/>
              <w:autoSpaceDN w:val="0"/>
              <w:adjustRightInd w:val="0"/>
              <w:snapToGrid w:val="0"/>
              <w:spacing w:before="125" w:line="179" w:lineRule="exact"/>
              <w:ind w:left="1407"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4.54</w:t>
            </w:r>
          </w:p>
        </w:tc>
        <w:tc>
          <w:tcPr>
            <w:tcW w:w="2760" w:type="dxa"/>
            <w:tcBorders>
              <w:left w:val="single" w:color="000000" w:sz="8" w:space="0"/>
            </w:tcBorders>
            <w:vAlign w:val="top"/>
          </w:tcPr>
          <w:p w14:paraId="45411700">
            <w:pPr>
              <w:widowControl/>
              <w:kinsoku w:val="0"/>
              <w:autoSpaceDE w:val="0"/>
              <w:autoSpaceDN w:val="0"/>
              <w:adjustRightInd w:val="0"/>
              <w:snapToGrid w:val="0"/>
              <w:spacing w:before="125" w:line="179" w:lineRule="exact"/>
              <w:ind w:left="1407"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4.54</w:t>
            </w:r>
          </w:p>
        </w:tc>
      </w:tr>
      <w:tr w14:paraId="28747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2328" w:type="dxa"/>
            <w:vAlign w:val="top"/>
          </w:tcPr>
          <w:p w14:paraId="0ADBCC43">
            <w:pPr>
              <w:widowControl/>
              <w:kinsoku w:val="0"/>
              <w:autoSpaceDE w:val="0"/>
              <w:autoSpaceDN w:val="0"/>
              <w:adjustRightInd w:val="0"/>
              <w:snapToGrid w:val="0"/>
              <w:spacing w:before="136" w:line="178" w:lineRule="exact"/>
              <w:ind w:left="921" w:firstLine="0" w:firstLineChars="0"/>
              <w:jc w:val="left"/>
              <w:textAlignment w:val="baseline"/>
              <w:rPr>
                <w:rFonts w:hint="eastAsia" w:ascii="仿宋" w:hAnsi="仿宋" w:eastAsia="仿宋" w:cs="仿宋"/>
                <w:snapToGrid w:val="0"/>
                <w:color w:val="000000"/>
                <w:kern w:val="0"/>
                <w:sz w:val="24"/>
                <w:szCs w:val="24"/>
                <w:lang w:eastAsia="en-US"/>
              </w:rPr>
            </w:pPr>
            <w:r>
              <w:rPr>
                <w:rFonts w:hint="eastAsia" w:ascii="仿宋" w:hAnsi="仿宋" w:eastAsia="仿宋" w:cs="仿宋"/>
                <w:b/>
                <w:bCs/>
                <w:snapToGrid w:val="0"/>
                <w:color w:val="000000"/>
                <w:spacing w:val="-1"/>
                <w:kern w:val="0"/>
                <w:position w:val="2"/>
                <w:sz w:val="24"/>
                <w:szCs w:val="24"/>
                <w:lang w:eastAsia="en-US"/>
              </w:rPr>
              <w:t>2035</w:t>
            </w:r>
          </w:p>
        </w:tc>
        <w:tc>
          <w:tcPr>
            <w:tcW w:w="2921" w:type="dxa"/>
            <w:vAlign w:val="top"/>
          </w:tcPr>
          <w:p w14:paraId="21AFBCC3">
            <w:pPr>
              <w:widowControl/>
              <w:kinsoku w:val="0"/>
              <w:autoSpaceDE w:val="0"/>
              <w:autoSpaceDN w:val="0"/>
              <w:adjustRightInd w:val="0"/>
              <w:snapToGrid w:val="0"/>
              <w:spacing w:before="136" w:line="179" w:lineRule="exact"/>
              <w:ind w:left="1414" w:firstLine="0" w:firstLineChars="0"/>
              <w:jc w:val="left"/>
              <w:textAlignment w:val="baseline"/>
              <w:rPr>
                <w:rFonts w:hint="eastAsia" w:ascii="仿宋" w:hAnsi="仿宋" w:eastAsia="仿宋" w:cs="仿宋"/>
                <w:snapToGrid w:val="0"/>
                <w:color w:val="000000"/>
                <w:kern w:val="0"/>
                <w:sz w:val="24"/>
                <w:szCs w:val="24"/>
                <w:lang w:val="en-US" w:eastAsia="zh-CN"/>
              </w:rPr>
            </w:pPr>
            <w:r>
              <w:rPr>
                <w:rFonts w:hint="eastAsia" w:ascii="仿宋" w:hAnsi="仿宋" w:eastAsia="仿宋" w:cs="仿宋"/>
                <w:snapToGrid w:val="0"/>
                <w:color w:val="000000"/>
                <w:kern w:val="0"/>
                <w:sz w:val="24"/>
                <w:szCs w:val="24"/>
                <w:lang w:val="en-US" w:eastAsia="zh-CN"/>
              </w:rPr>
              <w:t>4.33</w:t>
            </w:r>
          </w:p>
        </w:tc>
        <w:tc>
          <w:tcPr>
            <w:tcW w:w="2760" w:type="dxa"/>
            <w:vAlign w:val="top"/>
          </w:tcPr>
          <w:p w14:paraId="40CEA75C">
            <w:pPr>
              <w:widowControl/>
              <w:kinsoku w:val="0"/>
              <w:autoSpaceDE w:val="0"/>
              <w:autoSpaceDN w:val="0"/>
              <w:adjustRightInd w:val="0"/>
              <w:snapToGrid w:val="0"/>
              <w:spacing w:before="136" w:line="179" w:lineRule="exact"/>
              <w:ind w:left="1414"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sz w:val="24"/>
                <w:szCs w:val="24"/>
                <w:lang w:val="en-US" w:eastAsia="zh-CN"/>
              </w:rPr>
              <w:t>4.33</w:t>
            </w:r>
          </w:p>
        </w:tc>
      </w:tr>
    </w:tbl>
    <w:p w14:paraId="7EDB7E48">
      <w:pPr>
        <w:spacing w:before="178" w:line="361" w:lineRule="auto"/>
        <w:ind w:right="138"/>
        <w:rPr>
          <w:rFonts w:ascii="宋体" w:hAnsi="宋体" w:eastAsia="宋体" w:cs="宋体"/>
          <w:spacing w:val="-1"/>
          <w:sz w:val="24"/>
          <w:szCs w:val="24"/>
        </w:rPr>
      </w:pPr>
    </w:p>
    <w:p w14:paraId="303ED0AF">
      <w:pPr>
        <w:pStyle w:val="4"/>
        <w:bidi w:val="0"/>
      </w:pPr>
      <w:r>
        <w:t>3、装修垃圾</w:t>
      </w:r>
    </w:p>
    <w:p w14:paraId="459A49B1">
      <w:pPr>
        <w:bidi w:val="0"/>
      </w:pPr>
      <w:r>
        <w:t>根据《建筑垃圾处理技术标准（CJJ/T134-2019）》中的规定，装修垃圾产生量可按下式进行估算：</w:t>
      </w:r>
    </w:p>
    <w:p w14:paraId="13D5F8F1">
      <w:pPr>
        <w:bidi w:val="0"/>
      </w:pPr>
      <w:r>
        <w:t>Mz=Rzmz</w:t>
      </w:r>
    </w:p>
    <w:p w14:paraId="650E6282">
      <w:pPr>
        <w:bidi w:val="0"/>
      </w:pPr>
      <w:r>
        <w:t>式中：Mz—某城市或区域装修垃圾产生量，t/a；</w:t>
      </w:r>
    </w:p>
    <w:p w14:paraId="738B8F24">
      <w:pPr>
        <w:bidi w:val="0"/>
      </w:pPr>
      <w:r>
        <w:t>Rz—城市或区域居民户数（户）；</w:t>
      </w:r>
    </w:p>
    <w:p w14:paraId="66F4C083">
      <w:pPr>
        <w:bidi w:val="0"/>
      </w:pPr>
      <w:r>
        <w:t>mz—单位户数装修垃圾产生量基数[t/户·a] ，可取0.5</w:t>
      </w:r>
      <w:r>
        <w:rPr>
          <w:rFonts w:hint="eastAsia"/>
          <w:lang w:val="en-US" w:eastAsia="zh-CN"/>
        </w:rPr>
        <w:t>-</w:t>
      </w:r>
      <w:r>
        <w:t>1.0t/户·a ，</w:t>
      </w:r>
      <w:bookmarkStart w:id="118" w:name="OLE_LINK17"/>
      <w:r>
        <w:t>受现状建筑行业下行影响，新装修比例小，取0.5t/户·a。</w:t>
      </w:r>
      <w:bookmarkEnd w:id="118"/>
      <w:r>
        <w:t>根据</w:t>
      </w:r>
      <w:r>
        <w:rPr>
          <w:rFonts w:hint="eastAsia"/>
          <w:lang w:val="en-US" w:eastAsia="zh-CN"/>
        </w:rPr>
        <w:t>桃江县第六次、第七次全国人</w:t>
      </w:r>
      <w:bookmarkStart w:id="119" w:name="OLE_LINK21"/>
      <w:r>
        <w:rPr>
          <w:rFonts w:hint="eastAsia"/>
          <w:lang w:val="en-US" w:eastAsia="zh-CN"/>
        </w:rPr>
        <w:t>口普查数据</w:t>
      </w:r>
      <w:r>
        <w:t>，</w:t>
      </w:r>
      <w:r>
        <w:rPr>
          <w:rFonts w:hint="eastAsia"/>
          <w:lang w:val="en-US" w:eastAsia="zh-CN"/>
        </w:rPr>
        <w:t>2020年至2024年桃江县</w:t>
      </w:r>
      <w:bookmarkStart w:id="120" w:name="OLE_LINK24"/>
      <w:r>
        <w:rPr>
          <w:rFonts w:hint="eastAsia"/>
          <w:lang w:val="en-US" w:eastAsia="zh-CN"/>
        </w:rPr>
        <w:t>全县常住人口数量</w:t>
      </w:r>
      <w:bookmarkEnd w:id="120"/>
      <w:r>
        <w:rPr>
          <w:rFonts w:hint="eastAsia"/>
          <w:lang w:val="en-US" w:eastAsia="zh-CN"/>
        </w:rPr>
        <w:t>，可以计算出全县常住人口数量增长率为-0.6%；根据2020年至2024年桃江县平均每户人口数量，可以计算出平均</w:t>
      </w:r>
      <w:bookmarkEnd w:id="119"/>
      <w:r>
        <w:rPr>
          <w:rFonts w:hint="eastAsia"/>
          <w:lang w:val="en-US" w:eastAsia="zh-CN"/>
        </w:rPr>
        <w:t>每户人口数量增长率为3.36%，再根据2010年至2024年桃江县人口数据分析，桃江县平均每户人口数量不会超过3.2人。</w:t>
      </w:r>
      <w:bookmarkStart w:id="121" w:name="OLE_LINK22"/>
      <w:r>
        <w:rPr>
          <w:rFonts w:hint="eastAsia"/>
          <w:lang w:val="en-US" w:eastAsia="zh-CN"/>
        </w:rPr>
        <w:t>桃江县</w:t>
      </w:r>
      <w:r>
        <w:t>2025年</w:t>
      </w:r>
      <w:r>
        <w:rPr>
          <w:rFonts w:hint="eastAsia"/>
          <w:lang w:val="en-US" w:eastAsia="zh-CN"/>
        </w:rPr>
        <w:t>全县常住人口</w:t>
      </w:r>
      <w:r>
        <w:t>为</w:t>
      </w:r>
      <w:r>
        <w:rPr>
          <w:rFonts w:hint="eastAsia"/>
          <w:lang w:val="en-US" w:eastAsia="zh-CN"/>
        </w:rPr>
        <w:t>66.53</w:t>
      </w:r>
      <w:r>
        <w:t>万人，</w:t>
      </w:r>
      <w:r>
        <w:rPr>
          <w:rFonts w:hint="eastAsia"/>
          <w:lang w:val="en-US" w:eastAsia="zh-CN"/>
        </w:rPr>
        <w:t>平均每户人口数量3人</w:t>
      </w:r>
      <w:r>
        <w:t>。</w:t>
      </w:r>
      <w:bookmarkEnd w:id="121"/>
    </w:p>
    <w:p w14:paraId="5875B01D">
      <w:pPr>
        <w:bidi w:val="0"/>
      </w:pPr>
    </w:p>
    <w:p w14:paraId="72AF98BD">
      <w:pPr>
        <w:bidi w:val="0"/>
        <w:ind w:left="0" w:leftChars="0" w:firstLine="0" w:firstLineChars="0"/>
        <w:jc w:val="center"/>
        <w:rPr>
          <w:rFonts w:hint="eastAsia" w:ascii="仿宋" w:hAnsi="仿宋" w:eastAsia="仿宋" w:cs="仿宋"/>
          <w:b/>
          <w:bCs/>
          <w:lang w:eastAsia="en-US"/>
        </w:rPr>
      </w:pPr>
      <w:r>
        <w:rPr>
          <w:rFonts w:hint="eastAsia" w:ascii="仿宋" w:hAnsi="仿宋" w:eastAsia="仿宋" w:cs="仿宋"/>
          <w:b/>
          <w:bCs/>
          <w:lang w:eastAsia="en-US"/>
        </w:rPr>
        <w:t>表4-</w:t>
      </w:r>
      <w:r>
        <w:rPr>
          <w:rFonts w:hint="eastAsia" w:ascii="仿宋" w:hAnsi="仿宋" w:eastAsia="仿宋" w:cs="仿宋"/>
          <w:b/>
          <w:bCs/>
          <w:lang w:val="en-US" w:eastAsia="zh-CN"/>
        </w:rPr>
        <w:t>3</w:t>
      </w:r>
      <w:r>
        <w:rPr>
          <w:rFonts w:hint="eastAsia" w:ascii="仿宋" w:hAnsi="仿宋" w:eastAsia="仿宋" w:cs="仿宋"/>
          <w:b/>
          <w:bCs/>
          <w:lang w:eastAsia="en-US"/>
        </w:rPr>
        <w:t xml:space="preserve">  </w:t>
      </w:r>
      <w:r>
        <w:rPr>
          <w:rFonts w:hint="eastAsia" w:ascii="仿宋" w:hAnsi="仿宋" w:eastAsia="仿宋" w:cs="仿宋"/>
          <w:b/>
          <w:bCs/>
          <w:lang w:val="en-US" w:eastAsia="zh-CN"/>
        </w:rPr>
        <w:t>桃江</w:t>
      </w:r>
      <w:r>
        <w:rPr>
          <w:rFonts w:hint="eastAsia" w:ascii="仿宋" w:hAnsi="仿宋" w:eastAsia="仿宋" w:cs="仿宋"/>
          <w:b/>
          <w:bCs/>
          <w:lang w:eastAsia="en-US"/>
        </w:rPr>
        <w:t>县 2025-2035 年装修垃圾预测量</w:t>
      </w:r>
    </w:p>
    <w:p w14:paraId="36F2BA3B">
      <w:pPr>
        <w:widowControl/>
        <w:kinsoku w:val="0"/>
        <w:autoSpaceDE w:val="0"/>
        <w:autoSpaceDN w:val="0"/>
        <w:adjustRightInd w:val="0"/>
        <w:snapToGrid w:val="0"/>
        <w:spacing w:line="119" w:lineRule="exact"/>
        <w:ind w:firstLine="0" w:firstLineChars="0"/>
        <w:jc w:val="left"/>
        <w:textAlignment w:val="baseline"/>
        <w:rPr>
          <w:rFonts w:ascii="Arial" w:hAnsi="Arial" w:eastAsia="Arial" w:cs="Arial"/>
          <w:snapToGrid w:val="0"/>
          <w:color w:val="000000"/>
          <w:kern w:val="0"/>
          <w:sz w:val="21"/>
          <w:szCs w:val="21"/>
          <w:lang w:eastAsia="en-US"/>
        </w:rPr>
      </w:pPr>
    </w:p>
    <w:tbl>
      <w:tblPr>
        <w:tblStyle w:val="25"/>
        <w:tblW w:w="502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92"/>
        <w:gridCol w:w="2029"/>
        <w:gridCol w:w="2257"/>
        <w:gridCol w:w="2918"/>
      </w:tblGrid>
      <w:tr w14:paraId="23B21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760" w:type="pct"/>
            <w:tcBorders>
              <w:left w:val="single" w:color="000000" w:sz="6" w:space="0"/>
              <w:right w:val="single" w:color="000000" w:sz="8" w:space="0"/>
            </w:tcBorders>
            <w:vAlign w:val="center"/>
          </w:tcPr>
          <w:p w14:paraId="3A5F4188">
            <w:pPr>
              <w:widowControl/>
              <w:kinsoku w:val="0"/>
              <w:autoSpaceDE w:val="0"/>
              <w:autoSpaceDN w:val="0"/>
              <w:adjustRightInd w:val="0"/>
              <w:snapToGrid w:val="0"/>
              <w:spacing w:before="244" w:line="222" w:lineRule="auto"/>
              <w:ind w:left="0" w:leftChars="0" w:firstLine="0" w:firstLineChars="0"/>
              <w:jc w:val="center"/>
              <w:textAlignment w:val="baseline"/>
              <w:rPr>
                <w:rFonts w:hint="eastAsia" w:ascii="仿宋" w:hAnsi="仿宋" w:eastAsia="仿宋" w:cs="仿宋"/>
                <w:b/>
                <w:bCs/>
                <w:snapToGrid w:val="0"/>
                <w:color w:val="000000"/>
                <w:kern w:val="0"/>
                <w:sz w:val="24"/>
                <w:szCs w:val="24"/>
                <w:lang w:eastAsia="en-US"/>
              </w:rPr>
            </w:pPr>
            <w:r>
              <w:rPr>
                <w:rFonts w:hint="eastAsia" w:ascii="仿宋" w:hAnsi="仿宋" w:eastAsia="仿宋" w:cs="仿宋"/>
                <w:b/>
                <w:bCs/>
                <w:snapToGrid w:val="0"/>
                <w:color w:val="000000"/>
                <w:spacing w:val="-12"/>
                <w:kern w:val="0"/>
                <w:sz w:val="24"/>
                <w:szCs w:val="24"/>
                <w:lang w:eastAsia="en-US"/>
              </w:rPr>
              <w:t>时间</w:t>
            </w:r>
          </w:p>
        </w:tc>
        <w:tc>
          <w:tcPr>
            <w:tcW w:w="1194" w:type="pct"/>
            <w:tcBorders>
              <w:left w:val="single" w:color="000000" w:sz="8" w:space="0"/>
              <w:right w:val="single" w:color="000000" w:sz="8" w:space="0"/>
            </w:tcBorders>
            <w:vAlign w:val="center"/>
          </w:tcPr>
          <w:p w14:paraId="194A9ABF">
            <w:pPr>
              <w:widowControl/>
              <w:kinsoku w:val="0"/>
              <w:autoSpaceDE w:val="0"/>
              <w:autoSpaceDN w:val="0"/>
              <w:adjustRightInd w:val="0"/>
              <w:snapToGrid w:val="0"/>
              <w:spacing w:before="244" w:line="219" w:lineRule="auto"/>
              <w:ind w:left="0" w:leftChars="0" w:firstLine="0" w:firstLineChars="0"/>
              <w:jc w:val="center"/>
              <w:textAlignment w:val="baseline"/>
              <w:rPr>
                <w:rFonts w:hint="eastAsia" w:ascii="仿宋" w:hAnsi="仿宋" w:eastAsia="仿宋" w:cs="仿宋"/>
                <w:b/>
                <w:bCs/>
                <w:snapToGrid w:val="0"/>
                <w:color w:val="000000"/>
                <w:kern w:val="0"/>
                <w:sz w:val="24"/>
                <w:szCs w:val="24"/>
                <w:lang w:eastAsia="en-US"/>
              </w:rPr>
            </w:pPr>
            <w:r>
              <w:rPr>
                <w:rFonts w:hint="eastAsia" w:ascii="仿宋" w:hAnsi="仿宋" w:cs="仿宋"/>
                <w:b/>
                <w:bCs/>
                <w:snapToGrid w:val="0"/>
                <w:color w:val="000000"/>
                <w:spacing w:val="-3"/>
                <w:kern w:val="0"/>
                <w:sz w:val="24"/>
                <w:szCs w:val="24"/>
                <w:lang w:val="en-US" w:eastAsia="zh-CN"/>
              </w:rPr>
              <w:t>常住人口</w:t>
            </w:r>
            <w:r>
              <w:rPr>
                <w:rFonts w:hint="eastAsia" w:ascii="仿宋" w:hAnsi="仿宋" w:eastAsia="仿宋" w:cs="仿宋"/>
                <w:b/>
                <w:bCs/>
                <w:snapToGrid w:val="0"/>
                <w:color w:val="000000"/>
                <w:spacing w:val="-3"/>
                <w:kern w:val="0"/>
                <w:sz w:val="24"/>
                <w:szCs w:val="24"/>
                <w:lang w:eastAsia="en-US"/>
              </w:rPr>
              <w:t>（万</w:t>
            </w:r>
            <w:r>
              <w:rPr>
                <w:rFonts w:hint="eastAsia" w:ascii="仿宋" w:hAnsi="仿宋" w:cs="仿宋"/>
                <w:b/>
                <w:bCs/>
                <w:snapToGrid w:val="0"/>
                <w:color w:val="000000"/>
                <w:spacing w:val="-3"/>
                <w:kern w:val="0"/>
                <w:sz w:val="24"/>
                <w:szCs w:val="24"/>
                <w:lang w:val="en-US" w:eastAsia="zh-CN"/>
              </w:rPr>
              <w:t>人</w:t>
            </w:r>
            <w:r>
              <w:rPr>
                <w:rFonts w:hint="eastAsia" w:ascii="仿宋" w:hAnsi="仿宋" w:eastAsia="仿宋" w:cs="仿宋"/>
                <w:b/>
                <w:bCs/>
                <w:snapToGrid w:val="0"/>
                <w:color w:val="000000"/>
                <w:spacing w:val="-3"/>
                <w:kern w:val="0"/>
                <w:sz w:val="24"/>
                <w:szCs w:val="24"/>
                <w:lang w:eastAsia="en-US"/>
              </w:rPr>
              <w:t>）</w:t>
            </w:r>
          </w:p>
        </w:tc>
        <w:tc>
          <w:tcPr>
            <w:tcW w:w="1328" w:type="pct"/>
            <w:tcBorders>
              <w:left w:val="single" w:color="000000" w:sz="8" w:space="0"/>
              <w:bottom w:val="single" w:color="000000" w:sz="6" w:space="0"/>
            </w:tcBorders>
            <w:vAlign w:val="center"/>
          </w:tcPr>
          <w:p w14:paraId="41E2CECE">
            <w:pPr>
              <w:widowControl/>
              <w:kinsoku w:val="0"/>
              <w:autoSpaceDE w:val="0"/>
              <w:autoSpaceDN w:val="0"/>
              <w:adjustRightInd w:val="0"/>
              <w:snapToGrid w:val="0"/>
              <w:spacing w:before="237" w:line="239" w:lineRule="auto"/>
              <w:ind w:left="0" w:leftChars="0" w:firstLine="0" w:firstLineChars="0"/>
              <w:jc w:val="center"/>
              <w:textAlignment w:val="baseline"/>
              <w:rPr>
                <w:rFonts w:hint="default" w:ascii="仿宋" w:hAnsi="仿宋" w:eastAsia="仿宋" w:cs="仿宋"/>
                <w:b/>
                <w:bCs/>
                <w:snapToGrid w:val="0"/>
                <w:color w:val="000000"/>
                <w:kern w:val="0"/>
                <w:sz w:val="24"/>
                <w:szCs w:val="24"/>
                <w:lang w:val="en-US" w:eastAsia="zh-CN"/>
              </w:rPr>
            </w:pPr>
            <w:r>
              <w:rPr>
                <w:rFonts w:hint="eastAsia" w:ascii="仿宋" w:hAnsi="仿宋" w:cs="仿宋"/>
                <w:b/>
                <w:bCs/>
                <w:snapToGrid w:val="0"/>
                <w:color w:val="000000"/>
                <w:spacing w:val="-3"/>
                <w:kern w:val="0"/>
                <w:sz w:val="24"/>
                <w:szCs w:val="24"/>
                <w:lang w:val="en-US" w:eastAsia="zh-CN"/>
              </w:rPr>
              <w:t>平均每户人口（人）</w:t>
            </w:r>
          </w:p>
        </w:tc>
        <w:tc>
          <w:tcPr>
            <w:tcW w:w="1717" w:type="pct"/>
            <w:tcBorders>
              <w:left w:val="single" w:color="000000" w:sz="8" w:space="0"/>
              <w:bottom w:val="single" w:color="000000" w:sz="6" w:space="0"/>
            </w:tcBorders>
            <w:vAlign w:val="center"/>
          </w:tcPr>
          <w:p w14:paraId="0A5D897B">
            <w:pPr>
              <w:widowControl/>
              <w:kinsoku w:val="0"/>
              <w:autoSpaceDE w:val="0"/>
              <w:autoSpaceDN w:val="0"/>
              <w:adjustRightInd w:val="0"/>
              <w:snapToGrid w:val="0"/>
              <w:spacing w:before="237" w:line="239" w:lineRule="auto"/>
              <w:ind w:left="0" w:leftChars="0" w:firstLine="0" w:firstLineChars="0"/>
              <w:jc w:val="center"/>
              <w:textAlignment w:val="baseline"/>
              <w:rPr>
                <w:rFonts w:hint="eastAsia" w:ascii="仿宋" w:hAnsi="仿宋" w:eastAsia="仿宋" w:cs="仿宋"/>
                <w:b/>
                <w:bCs/>
                <w:snapToGrid w:val="0"/>
                <w:color w:val="000000"/>
                <w:spacing w:val="-3"/>
                <w:kern w:val="0"/>
                <w:sz w:val="24"/>
                <w:szCs w:val="24"/>
                <w:lang w:eastAsia="en-US"/>
              </w:rPr>
            </w:pPr>
            <w:r>
              <w:rPr>
                <w:rFonts w:hint="eastAsia" w:ascii="仿宋" w:hAnsi="仿宋" w:eastAsia="仿宋" w:cs="仿宋"/>
                <w:b/>
                <w:bCs/>
                <w:snapToGrid w:val="0"/>
                <w:color w:val="000000"/>
                <w:spacing w:val="-3"/>
                <w:kern w:val="0"/>
                <w:sz w:val="24"/>
                <w:szCs w:val="24"/>
                <w:lang w:eastAsia="en-US"/>
              </w:rPr>
              <w:t>装修垃圾产生量（万</w:t>
            </w:r>
            <w:r>
              <w:rPr>
                <w:rFonts w:hint="eastAsia" w:ascii="仿宋" w:hAnsi="仿宋" w:eastAsia="仿宋" w:cs="仿宋"/>
                <w:b/>
                <w:bCs/>
                <w:snapToGrid w:val="0"/>
                <w:color w:val="000000"/>
                <w:spacing w:val="-51"/>
                <w:kern w:val="0"/>
                <w:sz w:val="24"/>
                <w:szCs w:val="24"/>
                <w:lang w:eastAsia="en-US"/>
              </w:rPr>
              <w:t xml:space="preserve"> </w:t>
            </w:r>
            <w:r>
              <w:rPr>
                <w:rFonts w:hint="eastAsia" w:ascii="仿宋" w:hAnsi="仿宋" w:cs="仿宋"/>
                <w:b/>
                <w:bCs/>
                <w:snapToGrid w:val="0"/>
                <w:color w:val="000000"/>
                <w:spacing w:val="-3"/>
                <w:kern w:val="0"/>
                <w:sz w:val="24"/>
                <w:szCs w:val="24"/>
                <w:lang w:val="en-US" w:eastAsia="zh-CN"/>
              </w:rPr>
              <w:t>吨</w:t>
            </w:r>
            <w:r>
              <w:rPr>
                <w:rFonts w:hint="eastAsia" w:ascii="仿宋" w:hAnsi="仿宋" w:eastAsia="仿宋" w:cs="仿宋"/>
                <w:b/>
                <w:bCs/>
                <w:snapToGrid w:val="0"/>
                <w:color w:val="000000"/>
                <w:spacing w:val="-3"/>
                <w:kern w:val="0"/>
                <w:sz w:val="24"/>
                <w:szCs w:val="24"/>
                <w:lang w:eastAsia="en-US"/>
              </w:rPr>
              <w:t>）</w:t>
            </w:r>
          </w:p>
        </w:tc>
      </w:tr>
      <w:tr w14:paraId="3E7F0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760" w:type="pct"/>
            <w:tcBorders>
              <w:left w:val="single" w:color="000000" w:sz="6" w:space="0"/>
              <w:right w:val="single" w:color="000000" w:sz="8" w:space="0"/>
            </w:tcBorders>
            <w:vAlign w:val="center"/>
          </w:tcPr>
          <w:p w14:paraId="3CC0AC0F">
            <w:pPr>
              <w:widowControl/>
              <w:kinsoku w:val="0"/>
              <w:autoSpaceDE w:val="0"/>
              <w:autoSpaceDN w:val="0"/>
              <w:adjustRightInd w:val="0"/>
              <w:snapToGrid w:val="0"/>
              <w:spacing w:before="122" w:line="177"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2"/>
                <w:kern w:val="0"/>
                <w:position w:val="2"/>
                <w:sz w:val="24"/>
                <w:szCs w:val="24"/>
                <w:lang w:eastAsia="en-US"/>
              </w:rPr>
              <w:t>2023</w:t>
            </w:r>
          </w:p>
        </w:tc>
        <w:tc>
          <w:tcPr>
            <w:tcW w:w="1194" w:type="pct"/>
            <w:tcBorders>
              <w:left w:val="single" w:color="000000" w:sz="8" w:space="0"/>
              <w:right w:val="single" w:color="000000" w:sz="8" w:space="0"/>
            </w:tcBorders>
            <w:vAlign w:val="center"/>
          </w:tcPr>
          <w:p w14:paraId="78ACFF11">
            <w:pPr>
              <w:widowControl/>
              <w:kinsoku w:val="0"/>
              <w:autoSpaceDE w:val="0"/>
              <w:autoSpaceDN w:val="0"/>
              <w:adjustRightInd w:val="0"/>
              <w:snapToGrid w:val="0"/>
              <w:spacing w:before="121"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67.02</w:t>
            </w:r>
          </w:p>
        </w:tc>
        <w:tc>
          <w:tcPr>
            <w:tcW w:w="1328" w:type="pct"/>
            <w:tcBorders>
              <w:left w:val="single" w:color="000000" w:sz="8" w:space="0"/>
              <w:bottom w:val="single" w:color="000000" w:sz="6" w:space="0"/>
            </w:tcBorders>
            <w:vAlign w:val="center"/>
          </w:tcPr>
          <w:p w14:paraId="763EC401">
            <w:pPr>
              <w:widowControl/>
              <w:kinsoku w:val="0"/>
              <w:autoSpaceDE w:val="0"/>
              <w:autoSpaceDN w:val="0"/>
              <w:adjustRightInd w:val="0"/>
              <w:snapToGrid w:val="0"/>
              <w:spacing w:before="122" w:line="178"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2.85</w:t>
            </w:r>
          </w:p>
        </w:tc>
        <w:tc>
          <w:tcPr>
            <w:tcW w:w="1717" w:type="pct"/>
            <w:tcBorders>
              <w:left w:val="single" w:color="000000" w:sz="8" w:space="0"/>
              <w:bottom w:val="single" w:color="000000" w:sz="6" w:space="0"/>
            </w:tcBorders>
            <w:vAlign w:val="center"/>
          </w:tcPr>
          <w:p w14:paraId="7437C706">
            <w:pPr>
              <w:widowControl/>
              <w:kinsoku w:val="0"/>
              <w:autoSpaceDE w:val="0"/>
              <w:autoSpaceDN w:val="0"/>
              <w:adjustRightInd w:val="0"/>
              <w:snapToGrid w:val="0"/>
              <w:spacing w:before="122"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11.76</w:t>
            </w:r>
          </w:p>
        </w:tc>
      </w:tr>
      <w:tr w14:paraId="3A26A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760" w:type="pct"/>
            <w:tcBorders>
              <w:left w:val="single" w:color="000000" w:sz="6" w:space="0"/>
              <w:right w:val="single" w:color="000000" w:sz="8" w:space="0"/>
            </w:tcBorders>
            <w:vAlign w:val="center"/>
          </w:tcPr>
          <w:p w14:paraId="5F832ECE">
            <w:pPr>
              <w:widowControl/>
              <w:kinsoku w:val="0"/>
              <w:autoSpaceDE w:val="0"/>
              <w:autoSpaceDN w:val="0"/>
              <w:adjustRightInd w:val="0"/>
              <w:snapToGrid w:val="0"/>
              <w:spacing w:before="121" w:line="181"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5"/>
                <w:kern w:val="0"/>
                <w:position w:val="2"/>
                <w:sz w:val="24"/>
                <w:szCs w:val="24"/>
                <w:lang w:eastAsia="en-US"/>
              </w:rPr>
              <w:t>2024</w:t>
            </w:r>
          </w:p>
        </w:tc>
        <w:tc>
          <w:tcPr>
            <w:tcW w:w="1194" w:type="pct"/>
            <w:tcBorders>
              <w:left w:val="single" w:color="000000" w:sz="8" w:space="0"/>
              <w:right w:val="single" w:color="000000" w:sz="8" w:space="0"/>
            </w:tcBorders>
            <w:vAlign w:val="center"/>
          </w:tcPr>
          <w:p w14:paraId="5278D7D2">
            <w:pPr>
              <w:widowControl/>
              <w:kinsoku w:val="0"/>
              <w:autoSpaceDE w:val="0"/>
              <w:autoSpaceDN w:val="0"/>
              <w:adjustRightInd w:val="0"/>
              <w:snapToGrid w:val="0"/>
              <w:spacing w:before="120"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66.94</w:t>
            </w:r>
          </w:p>
        </w:tc>
        <w:tc>
          <w:tcPr>
            <w:tcW w:w="1328" w:type="pct"/>
            <w:tcBorders>
              <w:left w:val="single" w:color="000000" w:sz="8" w:space="0"/>
              <w:bottom w:val="single" w:color="000000" w:sz="6" w:space="0"/>
            </w:tcBorders>
            <w:vAlign w:val="center"/>
          </w:tcPr>
          <w:p w14:paraId="47DCFEB2">
            <w:pPr>
              <w:widowControl/>
              <w:kinsoku w:val="0"/>
              <w:autoSpaceDE w:val="0"/>
              <w:autoSpaceDN w:val="0"/>
              <w:adjustRightInd w:val="0"/>
              <w:snapToGrid w:val="0"/>
              <w:spacing w:before="120"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2.91</w:t>
            </w:r>
          </w:p>
        </w:tc>
        <w:tc>
          <w:tcPr>
            <w:tcW w:w="1717" w:type="pct"/>
            <w:tcBorders>
              <w:left w:val="single" w:color="000000" w:sz="8" w:space="0"/>
              <w:bottom w:val="single" w:color="000000" w:sz="6" w:space="0"/>
            </w:tcBorders>
            <w:vAlign w:val="center"/>
          </w:tcPr>
          <w:p w14:paraId="336C735E">
            <w:pPr>
              <w:widowControl/>
              <w:kinsoku w:val="0"/>
              <w:autoSpaceDE w:val="0"/>
              <w:autoSpaceDN w:val="0"/>
              <w:adjustRightInd w:val="0"/>
              <w:snapToGrid w:val="0"/>
              <w:spacing w:before="120" w:line="188" w:lineRule="auto"/>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11.5</w:t>
            </w:r>
          </w:p>
        </w:tc>
      </w:tr>
      <w:tr w14:paraId="73894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760" w:type="pct"/>
            <w:tcBorders>
              <w:left w:val="single" w:color="000000" w:sz="6" w:space="0"/>
              <w:right w:val="single" w:color="000000" w:sz="8" w:space="0"/>
            </w:tcBorders>
            <w:vAlign w:val="center"/>
          </w:tcPr>
          <w:p w14:paraId="090EA405">
            <w:pPr>
              <w:widowControl/>
              <w:kinsoku w:val="0"/>
              <w:autoSpaceDE w:val="0"/>
              <w:autoSpaceDN w:val="0"/>
              <w:adjustRightInd w:val="0"/>
              <w:snapToGrid w:val="0"/>
              <w:spacing w:before="122" w:line="177"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3"/>
                <w:kern w:val="0"/>
                <w:position w:val="2"/>
                <w:sz w:val="24"/>
                <w:szCs w:val="24"/>
                <w:lang w:eastAsia="en-US"/>
              </w:rPr>
              <w:t>2025</w:t>
            </w:r>
          </w:p>
        </w:tc>
        <w:tc>
          <w:tcPr>
            <w:tcW w:w="1194" w:type="pct"/>
            <w:tcBorders>
              <w:left w:val="single" w:color="000000" w:sz="8" w:space="0"/>
              <w:right w:val="single" w:color="000000" w:sz="8" w:space="0"/>
            </w:tcBorders>
            <w:vAlign w:val="center"/>
          </w:tcPr>
          <w:p w14:paraId="7CC060AA">
            <w:pPr>
              <w:widowControl/>
              <w:kinsoku w:val="0"/>
              <w:autoSpaceDE w:val="0"/>
              <w:autoSpaceDN w:val="0"/>
              <w:adjustRightInd w:val="0"/>
              <w:snapToGrid w:val="0"/>
              <w:spacing w:before="121"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66.53</w:t>
            </w:r>
          </w:p>
        </w:tc>
        <w:tc>
          <w:tcPr>
            <w:tcW w:w="1328" w:type="pct"/>
            <w:tcBorders>
              <w:left w:val="single" w:color="000000" w:sz="8" w:space="0"/>
              <w:bottom w:val="single" w:color="000000" w:sz="6" w:space="0"/>
            </w:tcBorders>
            <w:vAlign w:val="center"/>
          </w:tcPr>
          <w:p w14:paraId="1F31ED52">
            <w:pPr>
              <w:widowControl/>
              <w:kinsoku w:val="0"/>
              <w:autoSpaceDE w:val="0"/>
              <w:autoSpaceDN w:val="0"/>
              <w:adjustRightInd w:val="0"/>
              <w:snapToGrid w:val="0"/>
              <w:spacing w:before="122" w:line="184"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3.01</w:t>
            </w:r>
          </w:p>
        </w:tc>
        <w:tc>
          <w:tcPr>
            <w:tcW w:w="1717" w:type="pct"/>
            <w:tcBorders>
              <w:left w:val="single" w:color="000000" w:sz="8" w:space="0"/>
              <w:bottom w:val="single" w:color="000000" w:sz="6" w:space="0"/>
            </w:tcBorders>
            <w:vAlign w:val="center"/>
          </w:tcPr>
          <w:p w14:paraId="6F671D78">
            <w:pPr>
              <w:widowControl/>
              <w:kinsoku w:val="0"/>
              <w:autoSpaceDE w:val="0"/>
              <w:autoSpaceDN w:val="0"/>
              <w:adjustRightInd w:val="0"/>
              <w:snapToGrid w:val="0"/>
              <w:spacing w:before="122" w:line="184"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11.06</w:t>
            </w:r>
          </w:p>
        </w:tc>
      </w:tr>
      <w:tr w14:paraId="2F2F7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760" w:type="pct"/>
            <w:tcBorders>
              <w:left w:val="single" w:color="000000" w:sz="6" w:space="0"/>
              <w:right w:val="single" w:color="000000" w:sz="8" w:space="0"/>
            </w:tcBorders>
            <w:vAlign w:val="center"/>
          </w:tcPr>
          <w:p w14:paraId="1BD4E29E">
            <w:pPr>
              <w:widowControl/>
              <w:kinsoku w:val="0"/>
              <w:autoSpaceDE w:val="0"/>
              <w:autoSpaceDN w:val="0"/>
              <w:adjustRightInd w:val="0"/>
              <w:snapToGrid w:val="0"/>
              <w:spacing w:before="122" w:line="187" w:lineRule="auto"/>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5"/>
                <w:kern w:val="0"/>
                <w:sz w:val="24"/>
                <w:szCs w:val="24"/>
                <w:lang w:eastAsia="en-US"/>
              </w:rPr>
              <w:t>2026</w:t>
            </w:r>
          </w:p>
        </w:tc>
        <w:tc>
          <w:tcPr>
            <w:tcW w:w="1194" w:type="pct"/>
            <w:tcBorders>
              <w:left w:val="single" w:color="000000" w:sz="8" w:space="0"/>
              <w:right w:val="single" w:color="000000" w:sz="8" w:space="0"/>
            </w:tcBorders>
            <w:vAlign w:val="center"/>
          </w:tcPr>
          <w:p w14:paraId="37902345">
            <w:pPr>
              <w:widowControl/>
              <w:kinsoku w:val="0"/>
              <w:autoSpaceDE w:val="0"/>
              <w:autoSpaceDN w:val="0"/>
              <w:adjustRightInd w:val="0"/>
              <w:snapToGrid w:val="0"/>
              <w:spacing w:before="120"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66.12</w:t>
            </w:r>
          </w:p>
        </w:tc>
        <w:tc>
          <w:tcPr>
            <w:tcW w:w="1328" w:type="pct"/>
            <w:tcBorders>
              <w:left w:val="single" w:color="000000" w:sz="8" w:space="0"/>
              <w:bottom w:val="single" w:color="000000" w:sz="6" w:space="0"/>
            </w:tcBorders>
            <w:vAlign w:val="center"/>
          </w:tcPr>
          <w:p w14:paraId="363F467B">
            <w:pPr>
              <w:widowControl/>
              <w:kinsoku w:val="0"/>
              <w:autoSpaceDE w:val="0"/>
              <w:autoSpaceDN w:val="0"/>
              <w:adjustRightInd w:val="0"/>
              <w:snapToGrid w:val="0"/>
              <w:spacing w:before="122" w:line="182"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3.1</w:t>
            </w:r>
          </w:p>
        </w:tc>
        <w:tc>
          <w:tcPr>
            <w:tcW w:w="1717" w:type="pct"/>
            <w:tcBorders>
              <w:left w:val="single" w:color="000000" w:sz="8" w:space="0"/>
              <w:bottom w:val="single" w:color="000000" w:sz="6" w:space="0"/>
            </w:tcBorders>
            <w:vAlign w:val="center"/>
          </w:tcPr>
          <w:p w14:paraId="3D30A3FB">
            <w:pPr>
              <w:widowControl/>
              <w:kinsoku w:val="0"/>
              <w:autoSpaceDE w:val="0"/>
              <w:autoSpaceDN w:val="0"/>
              <w:adjustRightInd w:val="0"/>
              <w:snapToGrid w:val="0"/>
              <w:spacing w:before="122" w:line="182"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10.64</w:t>
            </w:r>
          </w:p>
        </w:tc>
      </w:tr>
      <w:tr w14:paraId="4EA17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760" w:type="pct"/>
            <w:tcBorders>
              <w:left w:val="single" w:color="000000" w:sz="6" w:space="0"/>
              <w:right w:val="single" w:color="000000" w:sz="8" w:space="0"/>
            </w:tcBorders>
            <w:vAlign w:val="center"/>
          </w:tcPr>
          <w:p w14:paraId="312969D3">
            <w:pPr>
              <w:widowControl/>
              <w:kinsoku w:val="0"/>
              <w:autoSpaceDE w:val="0"/>
              <w:autoSpaceDN w:val="0"/>
              <w:adjustRightInd w:val="0"/>
              <w:snapToGrid w:val="0"/>
              <w:spacing w:before="123" w:line="184"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3"/>
                <w:kern w:val="0"/>
                <w:position w:val="2"/>
                <w:sz w:val="24"/>
                <w:szCs w:val="24"/>
                <w:lang w:eastAsia="en-US"/>
              </w:rPr>
              <w:t>2027</w:t>
            </w:r>
          </w:p>
        </w:tc>
        <w:tc>
          <w:tcPr>
            <w:tcW w:w="1194" w:type="pct"/>
            <w:tcBorders>
              <w:left w:val="single" w:color="000000" w:sz="8" w:space="0"/>
              <w:right w:val="single" w:color="000000" w:sz="8" w:space="0"/>
            </w:tcBorders>
            <w:vAlign w:val="center"/>
          </w:tcPr>
          <w:p w14:paraId="1C49DDD7">
            <w:pPr>
              <w:widowControl/>
              <w:kinsoku w:val="0"/>
              <w:autoSpaceDE w:val="0"/>
              <w:autoSpaceDN w:val="0"/>
              <w:adjustRightInd w:val="0"/>
              <w:snapToGrid w:val="0"/>
              <w:spacing w:before="121"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65.71</w:t>
            </w:r>
          </w:p>
        </w:tc>
        <w:tc>
          <w:tcPr>
            <w:tcW w:w="1328" w:type="pct"/>
            <w:tcBorders>
              <w:left w:val="single" w:color="000000" w:sz="8" w:space="0"/>
              <w:bottom w:val="single" w:color="000000" w:sz="6" w:space="0"/>
            </w:tcBorders>
            <w:vAlign w:val="center"/>
          </w:tcPr>
          <w:p w14:paraId="425720A5">
            <w:pPr>
              <w:widowControl/>
              <w:kinsoku w:val="0"/>
              <w:autoSpaceDE w:val="0"/>
              <w:autoSpaceDN w:val="0"/>
              <w:adjustRightInd w:val="0"/>
              <w:snapToGrid w:val="0"/>
              <w:spacing w:before="123"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3.1</w:t>
            </w:r>
          </w:p>
        </w:tc>
        <w:tc>
          <w:tcPr>
            <w:tcW w:w="1717" w:type="pct"/>
            <w:tcBorders>
              <w:left w:val="single" w:color="000000" w:sz="8" w:space="0"/>
              <w:bottom w:val="single" w:color="000000" w:sz="6" w:space="0"/>
            </w:tcBorders>
            <w:vAlign w:val="center"/>
          </w:tcPr>
          <w:p w14:paraId="3FA57EA8">
            <w:pPr>
              <w:widowControl/>
              <w:kinsoku w:val="0"/>
              <w:autoSpaceDE w:val="0"/>
              <w:autoSpaceDN w:val="0"/>
              <w:adjustRightInd w:val="0"/>
              <w:snapToGrid w:val="0"/>
              <w:spacing w:before="123" w:line="188" w:lineRule="auto"/>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10.60</w:t>
            </w:r>
          </w:p>
        </w:tc>
      </w:tr>
      <w:tr w14:paraId="3BBD2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760" w:type="pct"/>
            <w:tcBorders>
              <w:left w:val="single" w:color="000000" w:sz="6" w:space="0"/>
              <w:right w:val="single" w:color="000000" w:sz="8" w:space="0"/>
            </w:tcBorders>
            <w:vAlign w:val="center"/>
          </w:tcPr>
          <w:p w14:paraId="3DC7F1EE">
            <w:pPr>
              <w:widowControl/>
              <w:kinsoku w:val="0"/>
              <w:autoSpaceDE w:val="0"/>
              <w:autoSpaceDN w:val="0"/>
              <w:adjustRightInd w:val="0"/>
              <w:snapToGrid w:val="0"/>
              <w:spacing w:before="127" w:line="187" w:lineRule="auto"/>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5"/>
                <w:kern w:val="0"/>
                <w:sz w:val="24"/>
                <w:szCs w:val="24"/>
                <w:lang w:eastAsia="en-US"/>
              </w:rPr>
              <w:t>2028</w:t>
            </w:r>
          </w:p>
        </w:tc>
        <w:tc>
          <w:tcPr>
            <w:tcW w:w="1194" w:type="pct"/>
            <w:tcBorders>
              <w:left w:val="single" w:color="000000" w:sz="8" w:space="0"/>
              <w:right w:val="single" w:color="000000" w:sz="8" w:space="0"/>
            </w:tcBorders>
            <w:vAlign w:val="center"/>
          </w:tcPr>
          <w:p w14:paraId="42F71CB6">
            <w:pPr>
              <w:widowControl/>
              <w:kinsoku w:val="0"/>
              <w:autoSpaceDE w:val="0"/>
              <w:autoSpaceDN w:val="0"/>
              <w:adjustRightInd w:val="0"/>
              <w:snapToGrid w:val="0"/>
              <w:spacing w:before="122" w:line="178"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65.31</w:t>
            </w:r>
          </w:p>
        </w:tc>
        <w:tc>
          <w:tcPr>
            <w:tcW w:w="1328" w:type="pct"/>
            <w:tcBorders>
              <w:left w:val="single" w:color="000000" w:sz="8" w:space="0"/>
              <w:bottom w:val="single" w:color="000000" w:sz="6" w:space="0"/>
            </w:tcBorders>
            <w:vAlign w:val="center"/>
          </w:tcPr>
          <w:p w14:paraId="6A77F8B9">
            <w:pPr>
              <w:widowControl/>
              <w:kinsoku w:val="0"/>
              <w:autoSpaceDE w:val="0"/>
              <w:autoSpaceDN w:val="0"/>
              <w:adjustRightInd w:val="0"/>
              <w:snapToGrid w:val="0"/>
              <w:spacing w:before="126" w:line="185"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3.1</w:t>
            </w:r>
          </w:p>
        </w:tc>
        <w:tc>
          <w:tcPr>
            <w:tcW w:w="1717" w:type="pct"/>
            <w:tcBorders>
              <w:left w:val="single" w:color="000000" w:sz="8" w:space="0"/>
              <w:bottom w:val="single" w:color="000000" w:sz="6" w:space="0"/>
            </w:tcBorders>
            <w:vAlign w:val="center"/>
          </w:tcPr>
          <w:p w14:paraId="4A54B6A0">
            <w:pPr>
              <w:widowControl/>
              <w:kinsoku w:val="0"/>
              <w:autoSpaceDE w:val="0"/>
              <w:autoSpaceDN w:val="0"/>
              <w:adjustRightInd w:val="0"/>
              <w:snapToGrid w:val="0"/>
              <w:spacing w:before="126" w:line="185"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10.53</w:t>
            </w:r>
          </w:p>
        </w:tc>
      </w:tr>
      <w:tr w14:paraId="43818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760" w:type="pct"/>
            <w:tcBorders>
              <w:left w:val="single" w:color="000000" w:sz="6" w:space="0"/>
              <w:right w:val="single" w:color="000000" w:sz="8" w:space="0"/>
            </w:tcBorders>
            <w:vAlign w:val="center"/>
          </w:tcPr>
          <w:p w14:paraId="6CDD8F33">
            <w:pPr>
              <w:widowControl/>
              <w:kinsoku w:val="0"/>
              <w:autoSpaceDE w:val="0"/>
              <w:autoSpaceDN w:val="0"/>
              <w:adjustRightInd w:val="0"/>
              <w:snapToGrid w:val="0"/>
              <w:spacing w:before="125" w:line="179"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5"/>
                <w:kern w:val="0"/>
                <w:position w:val="2"/>
                <w:sz w:val="24"/>
                <w:szCs w:val="24"/>
                <w:lang w:eastAsia="en-US"/>
              </w:rPr>
              <w:t>2029</w:t>
            </w:r>
          </w:p>
        </w:tc>
        <w:tc>
          <w:tcPr>
            <w:tcW w:w="1194" w:type="pct"/>
            <w:tcBorders>
              <w:left w:val="single" w:color="000000" w:sz="8" w:space="0"/>
              <w:right w:val="single" w:color="000000" w:sz="8" w:space="0"/>
            </w:tcBorders>
            <w:vAlign w:val="center"/>
          </w:tcPr>
          <w:p w14:paraId="7F0B98FB">
            <w:pPr>
              <w:widowControl/>
              <w:kinsoku w:val="0"/>
              <w:autoSpaceDE w:val="0"/>
              <w:autoSpaceDN w:val="0"/>
              <w:adjustRightInd w:val="0"/>
              <w:snapToGrid w:val="0"/>
              <w:spacing w:before="123" w:line="182"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64.91</w:t>
            </w:r>
          </w:p>
        </w:tc>
        <w:tc>
          <w:tcPr>
            <w:tcW w:w="1328" w:type="pct"/>
            <w:tcBorders>
              <w:left w:val="single" w:color="000000" w:sz="8" w:space="0"/>
            </w:tcBorders>
            <w:vAlign w:val="center"/>
          </w:tcPr>
          <w:p w14:paraId="4FB0A3A0">
            <w:pPr>
              <w:widowControl/>
              <w:kinsoku w:val="0"/>
              <w:autoSpaceDE w:val="0"/>
              <w:autoSpaceDN w:val="0"/>
              <w:adjustRightInd w:val="0"/>
              <w:snapToGrid w:val="0"/>
              <w:spacing w:before="125" w:line="179"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3.1</w:t>
            </w:r>
          </w:p>
        </w:tc>
        <w:tc>
          <w:tcPr>
            <w:tcW w:w="1717" w:type="pct"/>
            <w:tcBorders>
              <w:left w:val="single" w:color="000000" w:sz="8" w:space="0"/>
            </w:tcBorders>
            <w:vAlign w:val="center"/>
          </w:tcPr>
          <w:p w14:paraId="4812F5BF">
            <w:pPr>
              <w:widowControl/>
              <w:kinsoku w:val="0"/>
              <w:autoSpaceDE w:val="0"/>
              <w:autoSpaceDN w:val="0"/>
              <w:adjustRightInd w:val="0"/>
              <w:snapToGrid w:val="0"/>
              <w:spacing w:before="125" w:line="179"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10.45</w:t>
            </w:r>
          </w:p>
        </w:tc>
      </w:tr>
      <w:tr w14:paraId="57E81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760" w:type="pct"/>
            <w:vAlign w:val="center"/>
          </w:tcPr>
          <w:p w14:paraId="269CAE3D">
            <w:pPr>
              <w:widowControl/>
              <w:kinsoku w:val="0"/>
              <w:autoSpaceDE w:val="0"/>
              <w:autoSpaceDN w:val="0"/>
              <w:adjustRightInd w:val="0"/>
              <w:snapToGrid w:val="0"/>
              <w:spacing w:before="136"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eastAsia="en-US"/>
              </w:rPr>
            </w:pPr>
            <w:r>
              <w:rPr>
                <w:rFonts w:hint="eastAsia" w:ascii="仿宋" w:hAnsi="仿宋" w:eastAsia="仿宋" w:cs="仿宋"/>
                <w:b w:val="0"/>
                <w:bCs w:val="0"/>
                <w:snapToGrid w:val="0"/>
                <w:color w:val="000000"/>
                <w:spacing w:val="-3"/>
                <w:kern w:val="0"/>
                <w:position w:val="2"/>
                <w:sz w:val="24"/>
                <w:szCs w:val="24"/>
                <w:lang w:eastAsia="en-US"/>
              </w:rPr>
              <w:t>2030</w:t>
            </w:r>
          </w:p>
        </w:tc>
        <w:tc>
          <w:tcPr>
            <w:tcW w:w="1194" w:type="pct"/>
            <w:vAlign w:val="center"/>
          </w:tcPr>
          <w:p w14:paraId="01AFABB8">
            <w:pPr>
              <w:widowControl/>
              <w:kinsoku w:val="0"/>
              <w:autoSpaceDE w:val="0"/>
              <w:autoSpaceDN w:val="0"/>
              <w:adjustRightInd w:val="0"/>
              <w:snapToGrid w:val="0"/>
              <w:spacing w:before="126" w:line="179"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64.51</w:t>
            </w:r>
          </w:p>
        </w:tc>
        <w:tc>
          <w:tcPr>
            <w:tcW w:w="1328" w:type="pct"/>
            <w:vAlign w:val="center"/>
          </w:tcPr>
          <w:p w14:paraId="4FB3C431">
            <w:pPr>
              <w:widowControl/>
              <w:kinsoku w:val="0"/>
              <w:autoSpaceDE w:val="0"/>
              <w:autoSpaceDN w:val="0"/>
              <w:adjustRightInd w:val="0"/>
              <w:snapToGrid w:val="0"/>
              <w:spacing w:before="136" w:line="185"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rPr>
            </w:pPr>
            <w:r>
              <w:rPr>
                <w:rFonts w:hint="eastAsia" w:ascii="仿宋" w:hAnsi="仿宋" w:cs="仿宋"/>
                <w:b w:val="0"/>
                <w:bCs w:val="0"/>
                <w:snapToGrid w:val="0"/>
                <w:color w:val="000000"/>
                <w:kern w:val="0"/>
                <w:sz w:val="24"/>
                <w:szCs w:val="24"/>
                <w:lang w:val="en-US" w:eastAsia="zh-CN"/>
              </w:rPr>
              <w:t>3.1</w:t>
            </w:r>
          </w:p>
        </w:tc>
        <w:tc>
          <w:tcPr>
            <w:tcW w:w="1717" w:type="pct"/>
            <w:vAlign w:val="center"/>
          </w:tcPr>
          <w:p w14:paraId="6B0A8757">
            <w:pPr>
              <w:widowControl/>
              <w:kinsoku w:val="0"/>
              <w:autoSpaceDE w:val="0"/>
              <w:autoSpaceDN w:val="0"/>
              <w:adjustRightInd w:val="0"/>
              <w:snapToGrid w:val="0"/>
              <w:spacing w:before="136" w:line="185"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10.41</w:t>
            </w:r>
          </w:p>
        </w:tc>
      </w:tr>
      <w:tr w14:paraId="57186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760" w:type="pct"/>
            <w:vAlign w:val="center"/>
          </w:tcPr>
          <w:p w14:paraId="4A764934">
            <w:pPr>
              <w:widowControl/>
              <w:kinsoku w:val="0"/>
              <w:autoSpaceDE w:val="0"/>
              <w:autoSpaceDN w:val="0"/>
              <w:adjustRightInd w:val="0"/>
              <w:snapToGrid w:val="0"/>
              <w:spacing w:before="120"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napToGrid w:val="0"/>
                <w:color w:val="000000"/>
                <w:spacing w:val="5"/>
                <w:kern w:val="0"/>
                <w:position w:val="2"/>
                <w:sz w:val="24"/>
                <w:szCs w:val="24"/>
                <w:lang w:eastAsia="en-US"/>
              </w:rPr>
              <w:t>2031</w:t>
            </w:r>
          </w:p>
        </w:tc>
        <w:tc>
          <w:tcPr>
            <w:tcW w:w="1194" w:type="pct"/>
            <w:vAlign w:val="center"/>
          </w:tcPr>
          <w:p w14:paraId="4C9EB4D3">
            <w:pPr>
              <w:widowControl/>
              <w:kinsoku w:val="0"/>
              <w:autoSpaceDE w:val="0"/>
              <w:autoSpaceDN w:val="0"/>
              <w:adjustRightInd w:val="0"/>
              <w:snapToGrid w:val="0"/>
              <w:spacing w:before="120" w:line="179"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64.11</w:t>
            </w:r>
          </w:p>
        </w:tc>
        <w:tc>
          <w:tcPr>
            <w:tcW w:w="1328" w:type="pct"/>
            <w:vAlign w:val="center"/>
          </w:tcPr>
          <w:p w14:paraId="1F03D9F2">
            <w:pPr>
              <w:widowControl/>
              <w:kinsoku w:val="0"/>
              <w:autoSpaceDE w:val="0"/>
              <w:autoSpaceDN w:val="0"/>
              <w:adjustRightInd w:val="0"/>
              <w:snapToGrid w:val="0"/>
              <w:spacing w:before="120" w:line="184"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3.2</w:t>
            </w:r>
          </w:p>
        </w:tc>
        <w:tc>
          <w:tcPr>
            <w:tcW w:w="1717" w:type="pct"/>
            <w:vAlign w:val="center"/>
          </w:tcPr>
          <w:p w14:paraId="7BDCB3E8">
            <w:pPr>
              <w:widowControl/>
              <w:kinsoku w:val="0"/>
              <w:autoSpaceDE w:val="0"/>
              <w:autoSpaceDN w:val="0"/>
              <w:adjustRightInd w:val="0"/>
              <w:snapToGrid w:val="0"/>
              <w:spacing w:before="120" w:line="184"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10.02</w:t>
            </w:r>
          </w:p>
        </w:tc>
      </w:tr>
      <w:tr w14:paraId="167BB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760" w:type="pct"/>
            <w:vAlign w:val="center"/>
          </w:tcPr>
          <w:p w14:paraId="34DF53B9">
            <w:pPr>
              <w:widowControl/>
              <w:kinsoku w:val="0"/>
              <w:autoSpaceDE w:val="0"/>
              <w:autoSpaceDN w:val="0"/>
              <w:adjustRightInd w:val="0"/>
              <w:snapToGrid w:val="0"/>
              <w:spacing w:before="122" w:line="177"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napToGrid w:val="0"/>
                <w:color w:val="000000"/>
                <w:spacing w:val="-2"/>
                <w:kern w:val="0"/>
                <w:position w:val="2"/>
                <w:sz w:val="24"/>
                <w:szCs w:val="24"/>
                <w:lang w:eastAsia="en-US"/>
              </w:rPr>
              <w:t>2032</w:t>
            </w:r>
          </w:p>
        </w:tc>
        <w:tc>
          <w:tcPr>
            <w:tcW w:w="1194" w:type="pct"/>
            <w:vAlign w:val="center"/>
          </w:tcPr>
          <w:p w14:paraId="32FD6EA5">
            <w:pPr>
              <w:widowControl/>
              <w:kinsoku w:val="0"/>
              <w:autoSpaceDE w:val="0"/>
              <w:autoSpaceDN w:val="0"/>
              <w:adjustRightInd w:val="0"/>
              <w:snapToGrid w:val="0"/>
              <w:spacing w:before="121"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63.72</w:t>
            </w:r>
          </w:p>
        </w:tc>
        <w:tc>
          <w:tcPr>
            <w:tcW w:w="1328" w:type="pct"/>
            <w:vAlign w:val="center"/>
          </w:tcPr>
          <w:p w14:paraId="322A9989">
            <w:pPr>
              <w:widowControl/>
              <w:kinsoku w:val="0"/>
              <w:autoSpaceDE w:val="0"/>
              <w:autoSpaceDN w:val="0"/>
              <w:adjustRightInd w:val="0"/>
              <w:snapToGrid w:val="0"/>
              <w:spacing w:before="122" w:line="178"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3.2</w:t>
            </w:r>
          </w:p>
        </w:tc>
        <w:tc>
          <w:tcPr>
            <w:tcW w:w="1717" w:type="pct"/>
            <w:vAlign w:val="center"/>
          </w:tcPr>
          <w:p w14:paraId="40B04702">
            <w:pPr>
              <w:widowControl/>
              <w:kinsoku w:val="0"/>
              <w:autoSpaceDE w:val="0"/>
              <w:autoSpaceDN w:val="0"/>
              <w:adjustRightInd w:val="0"/>
              <w:snapToGrid w:val="0"/>
              <w:spacing w:before="122"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9.96</w:t>
            </w:r>
          </w:p>
        </w:tc>
      </w:tr>
      <w:tr w14:paraId="08B33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760" w:type="pct"/>
            <w:vAlign w:val="center"/>
          </w:tcPr>
          <w:p w14:paraId="000AC393">
            <w:pPr>
              <w:widowControl/>
              <w:kinsoku w:val="0"/>
              <w:autoSpaceDE w:val="0"/>
              <w:autoSpaceDN w:val="0"/>
              <w:adjustRightInd w:val="0"/>
              <w:snapToGrid w:val="0"/>
              <w:spacing w:before="123" w:line="177"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napToGrid w:val="0"/>
                <w:color w:val="000000"/>
                <w:kern w:val="0"/>
                <w:position w:val="2"/>
                <w:sz w:val="24"/>
                <w:szCs w:val="24"/>
                <w:lang w:eastAsia="en-US"/>
              </w:rPr>
              <w:t>2033</w:t>
            </w:r>
          </w:p>
        </w:tc>
        <w:tc>
          <w:tcPr>
            <w:tcW w:w="1194" w:type="pct"/>
            <w:vAlign w:val="center"/>
          </w:tcPr>
          <w:p w14:paraId="24B19ACD">
            <w:pPr>
              <w:widowControl/>
              <w:kinsoku w:val="0"/>
              <w:autoSpaceDE w:val="0"/>
              <w:autoSpaceDN w:val="0"/>
              <w:adjustRightInd w:val="0"/>
              <w:snapToGrid w:val="0"/>
              <w:spacing w:before="122"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63.33</w:t>
            </w:r>
          </w:p>
        </w:tc>
        <w:tc>
          <w:tcPr>
            <w:tcW w:w="1328" w:type="pct"/>
            <w:vAlign w:val="center"/>
          </w:tcPr>
          <w:p w14:paraId="17CD95EF">
            <w:pPr>
              <w:widowControl/>
              <w:kinsoku w:val="0"/>
              <w:autoSpaceDE w:val="0"/>
              <w:autoSpaceDN w:val="0"/>
              <w:adjustRightInd w:val="0"/>
              <w:snapToGrid w:val="0"/>
              <w:spacing w:before="123" w:line="184"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3.2</w:t>
            </w:r>
          </w:p>
        </w:tc>
        <w:tc>
          <w:tcPr>
            <w:tcW w:w="1717" w:type="pct"/>
            <w:vAlign w:val="center"/>
          </w:tcPr>
          <w:p w14:paraId="40F192BD">
            <w:pPr>
              <w:widowControl/>
              <w:kinsoku w:val="0"/>
              <w:autoSpaceDE w:val="0"/>
              <w:autoSpaceDN w:val="0"/>
              <w:adjustRightInd w:val="0"/>
              <w:snapToGrid w:val="0"/>
              <w:spacing w:before="123" w:line="184"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9.90</w:t>
            </w:r>
          </w:p>
        </w:tc>
      </w:tr>
      <w:tr w14:paraId="01169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760" w:type="pct"/>
            <w:vAlign w:val="center"/>
          </w:tcPr>
          <w:p w14:paraId="3E53625E">
            <w:pPr>
              <w:widowControl/>
              <w:kinsoku w:val="0"/>
              <w:autoSpaceDE w:val="0"/>
              <w:autoSpaceDN w:val="0"/>
              <w:adjustRightInd w:val="0"/>
              <w:snapToGrid w:val="0"/>
              <w:spacing w:before="126"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napToGrid w:val="0"/>
                <w:color w:val="000000"/>
                <w:spacing w:val="-3"/>
                <w:kern w:val="0"/>
                <w:position w:val="2"/>
                <w:sz w:val="24"/>
                <w:szCs w:val="24"/>
                <w:lang w:eastAsia="en-US"/>
              </w:rPr>
              <w:t>2034</w:t>
            </w:r>
          </w:p>
        </w:tc>
        <w:tc>
          <w:tcPr>
            <w:tcW w:w="1194" w:type="pct"/>
            <w:vAlign w:val="center"/>
          </w:tcPr>
          <w:p w14:paraId="6681B321">
            <w:pPr>
              <w:widowControl/>
              <w:kinsoku w:val="0"/>
              <w:autoSpaceDE w:val="0"/>
              <w:autoSpaceDN w:val="0"/>
              <w:adjustRightInd w:val="0"/>
              <w:snapToGrid w:val="0"/>
              <w:spacing w:before="126" w:line="188" w:lineRule="auto"/>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62.94</w:t>
            </w:r>
          </w:p>
        </w:tc>
        <w:tc>
          <w:tcPr>
            <w:tcW w:w="1328" w:type="pct"/>
            <w:vAlign w:val="center"/>
          </w:tcPr>
          <w:p w14:paraId="08874D56">
            <w:pPr>
              <w:widowControl/>
              <w:kinsoku w:val="0"/>
              <w:autoSpaceDE w:val="0"/>
              <w:autoSpaceDN w:val="0"/>
              <w:adjustRightInd w:val="0"/>
              <w:snapToGrid w:val="0"/>
              <w:spacing w:before="126" w:line="178"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3.2</w:t>
            </w:r>
          </w:p>
        </w:tc>
        <w:tc>
          <w:tcPr>
            <w:tcW w:w="1717" w:type="pct"/>
            <w:vAlign w:val="center"/>
          </w:tcPr>
          <w:p w14:paraId="30458F2D">
            <w:pPr>
              <w:widowControl/>
              <w:kinsoku w:val="0"/>
              <w:autoSpaceDE w:val="0"/>
              <w:autoSpaceDN w:val="0"/>
              <w:adjustRightInd w:val="0"/>
              <w:snapToGrid w:val="0"/>
              <w:spacing w:before="126"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9.83</w:t>
            </w:r>
          </w:p>
        </w:tc>
      </w:tr>
      <w:tr w14:paraId="1882E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760" w:type="pct"/>
            <w:vAlign w:val="center"/>
          </w:tcPr>
          <w:p w14:paraId="56C9E21E">
            <w:pPr>
              <w:widowControl/>
              <w:kinsoku w:val="0"/>
              <w:autoSpaceDE w:val="0"/>
              <w:autoSpaceDN w:val="0"/>
              <w:adjustRightInd w:val="0"/>
              <w:snapToGrid w:val="0"/>
              <w:spacing w:before="135"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en-US" w:bidi="ar-SA"/>
              </w:rPr>
            </w:pPr>
            <w:r>
              <w:rPr>
                <w:rFonts w:hint="eastAsia" w:ascii="仿宋" w:hAnsi="仿宋" w:eastAsia="仿宋" w:cs="仿宋"/>
                <w:b w:val="0"/>
                <w:bCs w:val="0"/>
                <w:snapToGrid w:val="0"/>
                <w:color w:val="000000"/>
                <w:spacing w:val="-1"/>
                <w:kern w:val="0"/>
                <w:position w:val="2"/>
                <w:sz w:val="24"/>
                <w:szCs w:val="24"/>
                <w:lang w:eastAsia="en-US"/>
              </w:rPr>
              <w:t>2035</w:t>
            </w:r>
          </w:p>
        </w:tc>
        <w:tc>
          <w:tcPr>
            <w:tcW w:w="1194" w:type="pct"/>
            <w:vAlign w:val="center"/>
          </w:tcPr>
          <w:p w14:paraId="2E409DC2">
            <w:pPr>
              <w:widowControl/>
              <w:kinsoku w:val="0"/>
              <w:autoSpaceDE w:val="0"/>
              <w:autoSpaceDN w:val="0"/>
              <w:adjustRightInd w:val="0"/>
              <w:snapToGrid w:val="0"/>
              <w:spacing w:before="135" w:line="178"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62.55</w:t>
            </w:r>
          </w:p>
        </w:tc>
        <w:tc>
          <w:tcPr>
            <w:tcW w:w="1328" w:type="pct"/>
            <w:vAlign w:val="center"/>
          </w:tcPr>
          <w:p w14:paraId="0358DEBC">
            <w:pPr>
              <w:widowControl/>
              <w:kinsoku w:val="0"/>
              <w:autoSpaceDE w:val="0"/>
              <w:autoSpaceDN w:val="0"/>
              <w:adjustRightInd w:val="0"/>
              <w:snapToGrid w:val="0"/>
              <w:spacing w:before="135" w:line="178" w:lineRule="exact"/>
              <w:ind w:left="0" w:leftChars="0" w:firstLine="0" w:firstLineChars="0"/>
              <w:jc w:val="center"/>
              <w:textAlignment w:val="baseline"/>
              <w:rPr>
                <w:rFonts w:hint="default" w:ascii="仿宋" w:hAnsi="仿宋" w:eastAsia="仿宋" w:cs="仿宋"/>
                <w:b w:val="0"/>
                <w:bCs w:val="0"/>
                <w:snapToGrid w:val="0"/>
                <w:color w:val="000000"/>
                <w:kern w:val="0"/>
                <w:sz w:val="24"/>
                <w:szCs w:val="24"/>
                <w:lang w:val="en-US" w:eastAsia="zh-CN" w:bidi="ar-SA"/>
              </w:rPr>
            </w:pPr>
            <w:r>
              <w:rPr>
                <w:rFonts w:hint="eastAsia" w:ascii="仿宋" w:hAnsi="仿宋" w:cs="仿宋"/>
                <w:b w:val="0"/>
                <w:bCs w:val="0"/>
                <w:snapToGrid w:val="0"/>
                <w:color w:val="000000"/>
                <w:kern w:val="0"/>
                <w:sz w:val="24"/>
                <w:szCs w:val="24"/>
                <w:lang w:val="en-US" w:eastAsia="zh-CN" w:bidi="ar-SA"/>
              </w:rPr>
              <w:t>3.2</w:t>
            </w:r>
          </w:p>
        </w:tc>
        <w:tc>
          <w:tcPr>
            <w:tcW w:w="1717" w:type="pct"/>
            <w:vAlign w:val="center"/>
          </w:tcPr>
          <w:p w14:paraId="535A3C84">
            <w:pPr>
              <w:widowControl/>
              <w:kinsoku w:val="0"/>
              <w:autoSpaceDE w:val="0"/>
              <w:autoSpaceDN w:val="0"/>
              <w:adjustRightInd w:val="0"/>
              <w:snapToGrid w:val="0"/>
              <w:spacing w:before="135" w:line="178" w:lineRule="exact"/>
              <w:ind w:left="0" w:leftChars="0" w:firstLine="0" w:firstLineChars="0"/>
              <w:jc w:val="center"/>
              <w:textAlignment w:val="baseline"/>
              <w:rPr>
                <w:rFonts w:hint="eastAsia" w:ascii="仿宋" w:hAnsi="仿宋" w:eastAsia="仿宋" w:cs="仿宋"/>
                <w:b w:val="0"/>
                <w:bCs w:val="0"/>
                <w:snapToGrid w:val="0"/>
                <w:color w:val="000000"/>
                <w:kern w:val="0"/>
                <w:sz w:val="24"/>
                <w:szCs w:val="24"/>
                <w:lang w:val="en-US" w:eastAsia="zh-CN"/>
              </w:rPr>
            </w:pPr>
            <w:r>
              <w:rPr>
                <w:rFonts w:hint="eastAsia" w:ascii="仿宋" w:hAnsi="仿宋" w:eastAsia="仿宋" w:cs="仿宋"/>
                <w:b w:val="0"/>
                <w:bCs w:val="0"/>
                <w:snapToGrid w:val="0"/>
                <w:color w:val="000000"/>
                <w:kern w:val="0"/>
                <w:sz w:val="24"/>
                <w:szCs w:val="24"/>
                <w:lang w:val="en-US" w:eastAsia="zh-CN"/>
              </w:rPr>
              <w:t>9.77</w:t>
            </w:r>
          </w:p>
        </w:tc>
      </w:tr>
    </w:tbl>
    <w:p w14:paraId="334BE334">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7FCDA0A">
      <w:pPr>
        <w:pStyle w:val="4"/>
        <w:bidi w:val="0"/>
      </w:pPr>
      <w:r>
        <w:t>4、工程渣土、工程泥浆</w:t>
      </w:r>
    </w:p>
    <w:p w14:paraId="244749C3">
      <w:pPr>
        <w:bidi w:val="0"/>
        <w:rPr>
          <w:lang w:eastAsia="en-US"/>
        </w:rPr>
      </w:pPr>
      <w:r>
        <w:rPr>
          <w:rFonts w:hint="eastAsia"/>
          <w:lang w:val="en-US" w:eastAsia="zh-CN"/>
        </w:rPr>
        <w:t>由于桃江县建筑</w:t>
      </w:r>
      <w:r>
        <w:t>工程泥浆</w:t>
      </w:r>
      <w:r>
        <w:rPr>
          <w:rFonts w:hint="eastAsia"/>
          <w:lang w:val="en-US" w:eastAsia="zh-CN"/>
        </w:rPr>
        <w:t>产生量较少，</w:t>
      </w:r>
      <w:r>
        <w:rPr>
          <w:lang w:eastAsia="en-US"/>
        </w:rPr>
        <w:t>一般采用</w:t>
      </w:r>
      <w:r>
        <w:rPr>
          <w:rFonts w:hint="eastAsia"/>
          <w:lang w:val="en-US" w:eastAsia="zh-CN"/>
        </w:rPr>
        <w:t>将</w:t>
      </w:r>
      <w:r>
        <w:rPr>
          <w:lang w:eastAsia="en-US"/>
        </w:rPr>
        <w:t>工程泥浆进行脱水固化后，在施工现场重新利用，因此本次将工程泥浆的产生量预测计入建筑渣土的预测量中，不单独对工程泥浆的产生量进行测算。</w:t>
      </w:r>
    </w:p>
    <w:p w14:paraId="7851CCC5">
      <w:pPr>
        <w:bidi w:val="0"/>
        <w:rPr>
          <w:lang w:eastAsia="en-US"/>
        </w:rPr>
      </w:pPr>
      <w:r>
        <w:t>《建筑垃圾处理技术标准（CJJ/T134-2019）》中</w:t>
      </w:r>
      <w:r>
        <w:rPr>
          <w:lang w:eastAsia="en-US"/>
        </w:rPr>
        <w:t>工程渣土的产量是依据现场地形、设计资料及施工工艺等综合确定，</w:t>
      </w:r>
      <w:r>
        <w:rPr>
          <w:rFonts w:hint="eastAsia"/>
          <w:lang w:val="en-US" w:eastAsia="zh-CN"/>
        </w:rPr>
        <w:t>桃江</w:t>
      </w:r>
      <w:r>
        <w:rPr>
          <w:lang w:eastAsia="en-US"/>
        </w:rPr>
        <w:t>县未统计近几年渣土的产生量，参考国内其他城市数据，结合</w:t>
      </w:r>
      <w:r>
        <w:rPr>
          <w:rFonts w:hint="eastAsia"/>
          <w:lang w:val="en-US" w:eastAsia="zh-CN"/>
        </w:rPr>
        <w:t>桃江</w:t>
      </w:r>
      <w:r>
        <w:rPr>
          <w:lang w:eastAsia="en-US"/>
        </w:rPr>
        <w:t>县房屋建筑施工面积，综合确定每新增1万平方米产生约 0.2万吨的工程渣土计算指标，则：预测 2030年</w:t>
      </w:r>
      <w:bookmarkStart w:id="122" w:name="OLE_LINK20"/>
      <w:r>
        <w:rPr>
          <w:rFonts w:hint="eastAsia"/>
          <w:lang w:val="en-US" w:eastAsia="zh-CN"/>
        </w:rPr>
        <w:t>桃江</w:t>
      </w:r>
      <w:bookmarkEnd w:id="122"/>
      <w:r>
        <w:rPr>
          <w:lang w:eastAsia="en-US"/>
        </w:rPr>
        <w:t>县工程渣土年产生量约24.78万吨；预 测2035年</w:t>
      </w:r>
      <w:r>
        <w:rPr>
          <w:rFonts w:hint="eastAsia"/>
          <w:lang w:val="en-US" w:eastAsia="zh-CN"/>
        </w:rPr>
        <w:t>桃江</w:t>
      </w:r>
      <w:r>
        <w:rPr>
          <w:lang w:eastAsia="en-US"/>
        </w:rPr>
        <w:t>县工程渣土年产生量约31.63万吨。</w:t>
      </w:r>
    </w:p>
    <w:p w14:paraId="68EAAD4B">
      <w:pPr>
        <w:bidi w:val="0"/>
      </w:pPr>
      <w:r>
        <w:t>根据</w:t>
      </w:r>
      <w:r>
        <w:rPr>
          <w:rFonts w:hint="eastAsia"/>
          <w:lang w:val="en-US" w:eastAsia="zh-CN"/>
        </w:rPr>
        <w:t>桃江县2020年至2024年</w:t>
      </w:r>
      <w:r>
        <w:t>工程渣土的产生量，预测</w:t>
      </w:r>
      <w:r>
        <w:rPr>
          <w:rFonts w:hint="eastAsia"/>
          <w:lang w:val="en-US" w:eastAsia="zh-CN"/>
        </w:rPr>
        <w:t>桃江县</w:t>
      </w:r>
      <w:r>
        <w:t>2025年度渣土产生量为6</w:t>
      </w:r>
      <w:r>
        <w:rPr>
          <w:rFonts w:hint="eastAsia"/>
          <w:lang w:val="en-US" w:eastAsia="zh-CN"/>
        </w:rPr>
        <w:t>5</w:t>
      </w:r>
      <w:r>
        <w:t>.51万吨，2030年工程渣土产生量为</w:t>
      </w:r>
      <w:r>
        <w:rPr>
          <w:rFonts w:hint="eastAsia"/>
          <w:lang w:val="en-US" w:eastAsia="zh-CN"/>
        </w:rPr>
        <w:t>50.43</w:t>
      </w:r>
      <w:r>
        <w:t>万吨， 2035年建筑工程渣土产生量为</w:t>
      </w:r>
      <w:r>
        <w:rPr>
          <w:rFonts w:hint="eastAsia"/>
          <w:lang w:val="en-US" w:eastAsia="zh-CN"/>
        </w:rPr>
        <w:t>38.81</w:t>
      </w:r>
      <w:r>
        <w:t>万吨。</w:t>
      </w:r>
    </w:p>
    <w:p w14:paraId="706F0D39">
      <w:pPr>
        <w:bidi w:val="0"/>
        <w:ind w:left="0" w:leftChars="0" w:firstLine="0" w:firstLineChars="0"/>
        <w:jc w:val="both"/>
        <w:rPr>
          <w:b/>
          <w:bCs/>
          <w:lang w:eastAsia="en-US"/>
        </w:rPr>
      </w:pPr>
    </w:p>
    <w:p w14:paraId="3049A185">
      <w:pPr>
        <w:bidi w:val="0"/>
        <w:ind w:left="0" w:leftChars="0" w:firstLine="0" w:firstLineChars="0"/>
        <w:jc w:val="center"/>
        <w:rPr>
          <w:b/>
          <w:bCs/>
          <w:lang w:eastAsia="en-US"/>
        </w:rPr>
      </w:pPr>
      <w:r>
        <w:rPr>
          <w:b/>
          <w:bCs/>
          <w:lang w:eastAsia="en-US"/>
        </w:rPr>
        <w:t>表4-</w:t>
      </w:r>
      <w:r>
        <w:rPr>
          <w:rFonts w:hint="eastAsia"/>
          <w:b/>
          <w:bCs/>
          <w:lang w:val="en-US" w:eastAsia="zh-CN"/>
        </w:rPr>
        <w:t>4</w:t>
      </w:r>
      <w:r>
        <w:rPr>
          <w:b/>
          <w:bCs/>
          <w:lang w:eastAsia="en-US"/>
        </w:rPr>
        <w:t xml:space="preserve">  </w:t>
      </w:r>
      <w:r>
        <w:rPr>
          <w:rFonts w:hint="eastAsia"/>
          <w:b/>
          <w:bCs/>
          <w:lang w:val="en-US" w:eastAsia="zh-CN"/>
        </w:rPr>
        <w:t>桃江</w:t>
      </w:r>
      <w:r>
        <w:rPr>
          <w:b/>
          <w:bCs/>
          <w:lang w:eastAsia="en-US"/>
        </w:rPr>
        <w:t>县 2025-2035 年工程渣土预测量</w:t>
      </w:r>
    </w:p>
    <w:tbl>
      <w:tblPr>
        <w:tblStyle w:val="25"/>
        <w:tblW w:w="78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9"/>
        <w:gridCol w:w="3495"/>
        <w:gridCol w:w="2850"/>
      </w:tblGrid>
      <w:tr w14:paraId="53DCE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1529" w:type="dxa"/>
            <w:tcBorders>
              <w:left w:val="single" w:color="000000" w:sz="6" w:space="0"/>
              <w:right w:val="single" w:color="000000" w:sz="8" w:space="0"/>
            </w:tcBorders>
            <w:vAlign w:val="center"/>
          </w:tcPr>
          <w:p w14:paraId="38CE0A6F">
            <w:pPr>
              <w:widowControl/>
              <w:kinsoku w:val="0"/>
              <w:autoSpaceDE w:val="0"/>
              <w:autoSpaceDN w:val="0"/>
              <w:adjustRightInd w:val="0"/>
              <w:snapToGrid w:val="0"/>
              <w:spacing w:before="244" w:line="240" w:lineRule="auto"/>
              <w:ind w:left="0" w:leftChars="0" w:firstLine="0" w:firstLineChars="0"/>
              <w:jc w:val="center"/>
              <w:textAlignment w:val="baseline"/>
              <w:rPr>
                <w:rFonts w:hint="eastAsia" w:ascii="仿宋" w:hAnsi="仿宋" w:eastAsia="仿宋" w:cs="仿宋"/>
                <w:b/>
                <w:bCs/>
                <w:snapToGrid w:val="0"/>
                <w:color w:val="000000"/>
                <w:spacing w:val="-12"/>
                <w:kern w:val="0"/>
                <w:sz w:val="24"/>
                <w:szCs w:val="24"/>
                <w:lang w:eastAsia="en-US"/>
              </w:rPr>
            </w:pPr>
            <w:bookmarkStart w:id="123" w:name="OLE_LINK37"/>
            <w:r>
              <w:rPr>
                <w:rFonts w:hint="eastAsia" w:ascii="仿宋" w:hAnsi="仿宋" w:eastAsia="仿宋" w:cs="仿宋"/>
                <w:b/>
                <w:bCs/>
                <w:snapToGrid w:val="0"/>
                <w:color w:val="000000"/>
                <w:spacing w:val="-12"/>
                <w:kern w:val="0"/>
                <w:sz w:val="24"/>
                <w:szCs w:val="24"/>
                <w:lang w:eastAsia="en-US"/>
              </w:rPr>
              <w:t>时间</w:t>
            </w:r>
          </w:p>
        </w:tc>
        <w:tc>
          <w:tcPr>
            <w:tcW w:w="3495" w:type="dxa"/>
            <w:tcBorders>
              <w:left w:val="single" w:color="000000" w:sz="8" w:space="0"/>
              <w:right w:val="single" w:color="000000" w:sz="8" w:space="0"/>
            </w:tcBorders>
            <w:vAlign w:val="center"/>
          </w:tcPr>
          <w:p w14:paraId="5C6E102A">
            <w:pPr>
              <w:widowControl/>
              <w:kinsoku w:val="0"/>
              <w:autoSpaceDE w:val="0"/>
              <w:autoSpaceDN w:val="0"/>
              <w:adjustRightInd w:val="0"/>
              <w:snapToGrid w:val="0"/>
              <w:spacing w:before="244" w:line="240" w:lineRule="auto"/>
              <w:ind w:left="0" w:leftChars="0" w:firstLine="0" w:firstLineChars="0"/>
              <w:jc w:val="center"/>
              <w:textAlignment w:val="baseline"/>
              <w:rPr>
                <w:rFonts w:hint="eastAsia" w:ascii="仿宋" w:hAnsi="仿宋" w:eastAsia="仿宋" w:cs="仿宋"/>
                <w:b/>
                <w:bCs/>
                <w:snapToGrid w:val="0"/>
                <w:color w:val="000000"/>
                <w:spacing w:val="-3"/>
                <w:kern w:val="0"/>
                <w:sz w:val="24"/>
                <w:szCs w:val="24"/>
                <w:lang w:eastAsia="en-US"/>
              </w:rPr>
            </w:pPr>
            <w:r>
              <w:rPr>
                <w:rFonts w:hint="eastAsia" w:ascii="仿宋" w:hAnsi="仿宋" w:eastAsia="仿宋" w:cs="仿宋"/>
                <w:b/>
                <w:bCs/>
                <w:snapToGrid w:val="0"/>
                <w:color w:val="000000"/>
                <w:spacing w:val="-3"/>
                <w:kern w:val="0"/>
                <w:sz w:val="24"/>
                <w:szCs w:val="24"/>
                <w:lang w:eastAsia="en-US"/>
              </w:rPr>
              <w:t>新增施工面积（万</w:t>
            </w:r>
            <w:r>
              <w:rPr>
                <w:rFonts w:hint="eastAsia" w:ascii="仿宋" w:hAnsi="仿宋" w:eastAsia="仿宋" w:cs="仿宋"/>
                <w:b/>
                <w:bCs/>
                <w:snapToGrid w:val="0"/>
                <w:color w:val="000000"/>
                <w:spacing w:val="-55"/>
                <w:kern w:val="0"/>
                <w:sz w:val="24"/>
                <w:szCs w:val="24"/>
                <w:lang w:eastAsia="en-US"/>
              </w:rPr>
              <w:t xml:space="preserve"> </w:t>
            </w:r>
            <w:r>
              <w:rPr>
                <w:rFonts w:hint="eastAsia" w:ascii="仿宋" w:hAnsi="仿宋" w:cs="仿宋"/>
                <w:b/>
                <w:bCs/>
                <w:snapToGrid w:val="0"/>
                <w:color w:val="000000"/>
                <w:spacing w:val="-3"/>
                <w:kern w:val="0"/>
                <w:sz w:val="24"/>
                <w:szCs w:val="24"/>
                <w:lang w:val="en-US" w:eastAsia="zh-CN"/>
              </w:rPr>
              <w:t>平方米</w:t>
            </w:r>
            <w:r>
              <w:rPr>
                <w:rFonts w:hint="eastAsia" w:ascii="仿宋" w:hAnsi="仿宋" w:eastAsia="仿宋" w:cs="仿宋"/>
                <w:b/>
                <w:bCs/>
                <w:snapToGrid w:val="0"/>
                <w:color w:val="000000"/>
                <w:spacing w:val="-3"/>
                <w:kern w:val="0"/>
                <w:sz w:val="24"/>
                <w:szCs w:val="24"/>
                <w:lang w:eastAsia="en-US"/>
              </w:rPr>
              <w:t>）</w:t>
            </w:r>
          </w:p>
        </w:tc>
        <w:tc>
          <w:tcPr>
            <w:tcW w:w="2850" w:type="dxa"/>
            <w:tcBorders>
              <w:left w:val="single" w:color="000000" w:sz="8" w:space="0"/>
              <w:bottom w:val="single" w:color="000000" w:sz="6" w:space="0"/>
            </w:tcBorders>
            <w:vAlign w:val="center"/>
          </w:tcPr>
          <w:p w14:paraId="1A6A534A">
            <w:pPr>
              <w:widowControl/>
              <w:kinsoku w:val="0"/>
              <w:autoSpaceDE w:val="0"/>
              <w:autoSpaceDN w:val="0"/>
              <w:adjustRightInd w:val="0"/>
              <w:snapToGrid w:val="0"/>
              <w:spacing w:before="244" w:line="240" w:lineRule="auto"/>
              <w:ind w:left="0" w:leftChars="0" w:firstLine="0" w:firstLineChars="0"/>
              <w:jc w:val="center"/>
              <w:textAlignment w:val="baseline"/>
              <w:rPr>
                <w:rFonts w:hint="eastAsia" w:ascii="仿宋" w:hAnsi="仿宋" w:eastAsia="仿宋" w:cs="仿宋"/>
                <w:b/>
                <w:bCs/>
                <w:snapToGrid w:val="0"/>
                <w:color w:val="000000"/>
                <w:spacing w:val="-6"/>
                <w:kern w:val="0"/>
                <w:sz w:val="24"/>
                <w:szCs w:val="24"/>
                <w:lang w:eastAsia="en-US"/>
              </w:rPr>
            </w:pPr>
            <w:r>
              <w:rPr>
                <w:rFonts w:hint="eastAsia" w:ascii="仿宋" w:hAnsi="仿宋" w:eastAsia="仿宋" w:cs="仿宋"/>
                <w:b/>
                <w:bCs/>
                <w:snapToGrid w:val="0"/>
                <w:color w:val="000000"/>
                <w:spacing w:val="-6"/>
                <w:kern w:val="0"/>
                <w:sz w:val="24"/>
                <w:szCs w:val="24"/>
                <w:lang w:eastAsia="en-US"/>
              </w:rPr>
              <w:t>工程渣土（万</w:t>
            </w:r>
            <w:r>
              <w:rPr>
                <w:rFonts w:hint="eastAsia" w:ascii="仿宋" w:hAnsi="仿宋" w:eastAsia="仿宋" w:cs="仿宋"/>
                <w:b/>
                <w:bCs/>
                <w:snapToGrid w:val="0"/>
                <w:color w:val="000000"/>
                <w:spacing w:val="-39"/>
                <w:kern w:val="0"/>
                <w:sz w:val="24"/>
                <w:szCs w:val="24"/>
                <w:lang w:eastAsia="en-US"/>
              </w:rPr>
              <w:t xml:space="preserve"> </w:t>
            </w:r>
            <w:r>
              <w:rPr>
                <w:rFonts w:hint="eastAsia" w:ascii="仿宋" w:hAnsi="仿宋" w:cs="仿宋"/>
                <w:b/>
                <w:bCs/>
                <w:snapToGrid w:val="0"/>
                <w:color w:val="000000"/>
                <w:spacing w:val="-6"/>
                <w:kern w:val="0"/>
                <w:sz w:val="24"/>
                <w:szCs w:val="24"/>
                <w:lang w:val="en-US" w:eastAsia="zh-CN"/>
              </w:rPr>
              <w:t>吨</w:t>
            </w:r>
            <w:r>
              <w:rPr>
                <w:rFonts w:hint="eastAsia" w:ascii="仿宋" w:hAnsi="仿宋" w:eastAsia="仿宋" w:cs="仿宋"/>
                <w:b/>
                <w:bCs/>
                <w:snapToGrid w:val="0"/>
                <w:color w:val="000000"/>
                <w:spacing w:val="-6"/>
                <w:kern w:val="0"/>
                <w:sz w:val="24"/>
                <w:szCs w:val="24"/>
                <w:lang w:eastAsia="en-US"/>
              </w:rPr>
              <w:t>）</w:t>
            </w:r>
          </w:p>
        </w:tc>
      </w:tr>
      <w:tr w14:paraId="7577C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529" w:type="dxa"/>
            <w:tcBorders>
              <w:left w:val="single" w:color="000000" w:sz="6" w:space="0"/>
              <w:right w:val="single" w:color="000000" w:sz="8" w:space="0"/>
            </w:tcBorders>
            <w:vAlign w:val="center"/>
          </w:tcPr>
          <w:p w14:paraId="284DD539">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2023</w:t>
            </w:r>
          </w:p>
        </w:tc>
        <w:tc>
          <w:tcPr>
            <w:tcW w:w="3495" w:type="dxa"/>
            <w:tcBorders>
              <w:left w:val="single" w:color="000000" w:sz="8" w:space="0"/>
              <w:right w:val="single" w:color="000000" w:sz="8" w:space="0"/>
            </w:tcBorders>
            <w:vAlign w:val="center"/>
          </w:tcPr>
          <w:p w14:paraId="32D84FC2">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355.95</w:t>
            </w:r>
          </w:p>
        </w:tc>
        <w:tc>
          <w:tcPr>
            <w:tcW w:w="2850" w:type="dxa"/>
            <w:tcBorders>
              <w:left w:val="single" w:color="000000" w:sz="8" w:space="0"/>
              <w:bottom w:val="single" w:color="000000" w:sz="6" w:space="0"/>
            </w:tcBorders>
            <w:vAlign w:val="center"/>
          </w:tcPr>
          <w:p w14:paraId="05D83459">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71.19</w:t>
            </w:r>
          </w:p>
        </w:tc>
      </w:tr>
      <w:tr w14:paraId="1389EE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529" w:type="dxa"/>
            <w:tcBorders>
              <w:left w:val="single" w:color="000000" w:sz="6" w:space="0"/>
              <w:right w:val="single" w:color="000000" w:sz="8" w:space="0"/>
            </w:tcBorders>
            <w:vAlign w:val="center"/>
          </w:tcPr>
          <w:p w14:paraId="1F0C3EBF">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2024</w:t>
            </w:r>
          </w:p>
        </w:tc>
        <w:tc>
          <w:tcPr>
            <w:tcW w:w="3495" w:type="dxa"/>
            <w:tcBorders>
              <w:left w:val="single" w:color="000000" w:sz="8" w:space="0"/>
              <w:right w:val="single" w:color="000000" w:sz="8" w:space="0"/>
            </w:tcBorders>
            <w:vAlign w:val="center"/>
          </w:tcPr>
          <w:p w14:paraId="323F5844">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345.16</w:t>
            </w:r>
          </w:p>
        </w:tc>
        <w:tc>
          <w:tcPr>
            <w:tcW w:w="2850" w:type="dxa"/>
            <w:tcBorders>
              <w:left w:val="single" w:color="000000" w:sz="8" w:space="0"/>
              <w:bottom w:val="single" w:color="000000" w:sz="6" w:space="0"/>
            </w:tcBorders>
            <w:vAlign w:val="center"/>
          </w:tcPr>
          <w:p w14:paraId="1128B7A4">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69.03</w:t>
            </w:r>
          </w:p>
        </w:tc>
      </w:tr>
      <w:tr w14:paraId="29210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529" w:type="dxa"/>
            <w:tcBorders>
              <w:left w:val="single" w:color="000000" w:sz="6" w:space="0"/>
              <w:right w:val="single" w:color="000000" w:sz="8" w:space="0"/>
            </w:tcBorders>
            <w:vAlign w:val="center"/>
          </w:tcPr>
          <w:p w14:paraId="6CF4A5EC">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2025</w:t>
            </w:r>
          </w:p>
        </w:tc>
        <w:tc>
          <w:tcPr>
            <w:tcW w:w="3495" w:type="dxa"/>
            <w:tcBorders>
              <w:left w:val="single" w:color="000000" w:sz="8" w:space="0"/>
              <w:right w:val="single" w:color="000000" w:sz="8" w:space="0"/>
            </w:tcBorders>
            <w:vAlign w:val="center"/>
          </w:tcPr>
          <w:p w14:paraId="529A1689">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327.56</w:t>
            </w:r>
          </w:p>
        </w:tc>
        <w:tc>
          <w:tcPr>
            <w:tcW w:w="2850" w:type="dxa"/>
            <w:tcBorders>
              <w:left w:val="single" w:color="000000" w:sz="8" w:space="0"/>
              <w:bottom w:val="single" w:color="000000" w:sz="6" w:space="0"/>
            </w:tcBorders>
            <w:vAlign w:val="center"/>
          </w:tcPr>
          <w:p w14:paraId="468B97A7">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65.51</w:t>
            </w:r>
          </w:p>
        </w:tc>
      </w:tr>
      <w:tr w14:paraId="20979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529" w:type="dxa"/>
            <w:tcBorders>
              <w:left w:val="single" w:color="000000" w:sz="6" w:space="0"/>
              <w:right w:val="single" w:color="000000" w:sz="8" w:space="0"/>
            </w:tcBorders>
            <w:vAlign w:val="center"/>
          </w:tcPr>
          <w:p w14:paraId="576E2CE8">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2026</w:t>
            </w:r>
          </w:p>
        </w:tc>
        <w:tc>
          <w:tcPr>
            <w:tcW w:w="3495" w:type="dxa"/>
            <w:tcBorders>
              <w:left w:val="single" w:color="000000" w:sz="8" w:space="0"/>
              <w:right w:val="single" w:color="000000" w:sz="8" w:space="0"/>
            </w:tcBorders>
            <w:vAlign w:val="center"/>
          </w:tcPr>
          <w:p w14:paraId="47F5887B">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310.85</w:t>
            </w:r>
          </w:p>
        </w:tc>
        <w:tc>
          <w:tcPr>
            <w:tcW w:w="2850" w:type="dxa"/>
            <w:tcBorders>
              <w:left w:val="single" w:color="000000" w:sz="8" w:space="0"/>
              <w:bottom w:val="single" w:color="000000" w:sz="6" w:space="0"/>
            </w:tcBorders>
            <w:vAlign w:val="center"/>
          </w:tcPr>
          <w:p w14:paraId="6239C42D">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62.17</w:t>
            </w:r>
          </w:p>
        </w:tc>
      </w:tr>
      <w:tr w14:paraId="77159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1529" w:type="dxa"/>
            <w:tcBorders>
              <w:left w:val="single" w:color="000000" w:sz="6" w:space="0"/>
              <w:right w:val="single" w:color="000000" w:sz="8" w:space="0"/>
            </w:tcBorders>
            <w:vAlign w:val="center"/>
          </w:tcPr>
          <w:p w14:paraId="10E50F67">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2027</w:t>
            </w:r>
          </w:p>
        </w:tc>
        <w:tc>
          <w:tcPr>
            <w:tcW w:w="3495" w:type="dxa"/>
            <w:tcBorders>
              <w:left w:val="single" w:color="000000" w:sz="8" w:space="0"/>
              <w:right w:val="single" w:color="000000" w:sz="8" w:space="0"/>
            </w:tcBorders>
            <w:vAlign w:val="center"/>
          </w:tcPr>
          <w:p w14:paraId="70B32D84">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295</w:t>
            </w:r>
          </w:p>
        </w:tc>
        <w:tc>
          <w:tcPr>
            <w:tcW w:w="2850" w:type="dxa"/>
            <w:tcBorders>
              <w:left w:val="single" w:color="000000" w:sz="8" w:space="0"/>
              <w:bottom w:val="single" w:color="000000" w:sz="6" w:space="0"/>
            </w:tcBorders>
            <w:vAlign w:val="center"/>
          </w:tcPr>
          <w:p w14:paraId="15E00689">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59</w:t>
            </w:r>
          </w:p>
        </w:tc>
      </w:tr>
      <w:tr w14:paraId="4D092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529" w:type="dxa"/>
            <w:tcBorders>
              <w:left w:val="single" w:color="000000" w:sz="6" w:space="0"/>
              <w:right w:val="single" w:color="000000" w:sz="8" w:space="0"/>
            </w:tcBorders>
            <w:vAlign w:val="center"/>
          </w:tcPr>
          <w:p w14:paraId="39ECF840">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2028</w:t>
            </w:r>
          </w:p>
        </w:tc>
        <w:tc>
          <w:tcPr>
            <w:tcW w:w="3495" w:type="dxa"/>
            <w:tcBorders>
              <w:left w:val="single" w:color="000000" w:sz="8" w:space="0"/>
              <w:right w:val="single" w:color="000000" w:sz="8" w:space="0"/>
            </w:tcBorders>
            <w:vAlign w:val="center"/>
          </w:tcPr>
          <w:p w14:paraId="774B1824">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279.95</w:t>
            </w:r>
          </w:p>
        </w:tc>
        <w:tc>
          <w:tcPr>
            <w:tcW w:w="2850" w:type="dxa"/>
            <w:tcBorders>
              <w:left w:val="single" w:color="000000" w:sz="8" w:space="0"/>
              <w:bottom w:val="single" w:color="000000" w:sz="6" w:space="0"/>
            </w:tcBorders>
            <w:vAlign w:val="center"/>
          </w:tcPr>
          <w:p w14:paraId="403810A1">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55.99</w:t>
            </w:r>
          </w:p>
        </w:tc>
      </w:tr>
      <w:tr w14:paraId="7E75F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529" w:type="dxa"/>
            <w:tcBorders>
              <w:left w:val="single" w:color="000000" w:sz="6" w:space="0"/>
              <w:right w:val="single" w:color="000000" w:sz="8" w:space="0"/>
            </w:tcBorders>
            <w:vAlign w:val="center"/>
          </w:tcPr>
          <w:p w14:paraId="2FA41450">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2029</w:t>
            </w:r>
          </w:p>
        </w:tc>
        <w:tc>
          <w:tcPr>
            <w:tcW w:w="3495" w:type="dxa"/>
            <w:tcBorders>
              <w:left w:val="single" w:color="000000" w:sz="8" w:space="0"/>
              <w:right w:val="single" w:color="000000" w:sz="8" w:space="0"/>
            </w:tcBorders>
            <w:vAlign w:val="center"/>
          </w:tcPr>
          <w:p w14:paraId="02056481">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265.68</w:t>
            </w:r>
          </w:p>
        </w:tc>
        <w:tc>
          <w:tcPr>
            <w:tcW w:w="2850" w:type="dxa"/>
            <w:tcBorders>
              <w:left w:val="single" w:color="000000" w:sz="8" w:space="0"/>
              <w:bottom w:val="single" w:color="000000" w:sz="6" w:space="0"/>
            </w:tcBorders>
            <w:vAlign w:val="center"/>
          </w:tcPr>
          <w:p w14:paraId="4FAB2385">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53.13</w:t>
            </w:r>
          </w:p>
        </w:tc>
      </w:tr>
      <w:tr w14:paraId="15D8B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529" w:type="dxa"/>
            <w:tcBorders>
              <w:left w:val="single" w:color="000000" w:sz="6" w:space="0"/>
              <w:right w:val="single" w:color="000000" w:sz="8" w:space="0"/>
            </w:tcBorders>
            <w:vAlign w:val="center"/>
          </w:tcPr>
          <w:p w14:paraId="33CBCD67">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2030</w:t>
            </w:r>
          </w:p>
        </w:tc>
        <w:tc>
          <w:tcPr>
            <w:tcW w:w="3495" w:type="dxa"/>
            <w:tcBorders>
              <w:left w:val="single" w:color="000000" w:sz="8" w:space="0"/>
              <w:right w:val="single" w:color="000000" w:sz="8" w:space="0"/>
            </w:tcBorders>
            <w:vAlign w:val="center"/>
          </w:tcPr>
          <w:p w14:paraId="641BFBCB">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252.13</w:t>
            </w:r>
          </w:p>
        </w:tc>
        <w:tc>
          <w:tcPr>
            <w:tcW w:w="2850" w:type="dxa"/>
            <w:tcBorders>
              <w:left w:val="single" w:color="000000" w:sz="8" w:space="0"/>
              <w:bottom w:val="single" w:color="000000" w:sz="6" w:space="0"/>
            </w:tcBorders>
            <w:vAlign w:val="center"/>
          </w:tcPr>
          <w:p w14:paraId="38F1D58A">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50.43</w:t>
            </w:r>
          </w:p>
        </w:tc>
      </w:tr>
      <w:tr w14:paraId="0D4F1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529" w:type="dxa"/>
            <w:tcBorders>
              <w:left w:val="single" w:color="000000" w:sz="6" w:space="0"/>
              <w:right w:val="single" w:color="000000" w:sz="8" w:space="0"/>
            </w:tcBorders>
            <w:vAlign w:val="center"/>
          </w:tcPr>
          <w:p w14:paraId="2C2328F9">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2031</w:t>
            </w:r>
          </w:p>
        </w:tc>
        <w:tc>
          <w:tcPr>
            <w:tcW w:w="3495" w:type="dxa"/>
            <w:tcBorders>
              <w:left w:val="single" w:color="000000" w:sz="8" w:space="0"/>
              <w:right w:val="single" w:color="000000" w:sz="8" w:space="0"/>
            </w:tcBorders>
            <w:vAlign w:val="center"/>
          </w:tcPr>
          <w:p w14:paraId="4820A8D3">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239.27</w:t>
            </w:r>
          </w:p>
        </w:tc>
        <w:tc>
          <w:tcPr>
            <w:tcW w:w="2850" w:type="dxa"/>
            <w:tcBorders>
              <w:left w:val="single" w:color="000000" w:sz="8" w:space="0"/>
              <w:bottom w:val="single" w:color="000000" w:sz="6" w:space="0"/>
            </w:tcBorders>
            <w:vAlign w:val="center"/>
          </w:tcPr>
          <w:p w14:paraId="23F1B673">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47.85</w:t>
            </w:r>
          </w:p>
        </w:tc>
      </w:tr>
      <w:tr w14:paraId="25245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529" w:type="dxa"/>
            <w:tcBorders>
              <w:left w:val="single" w:color="000000" w:sz="6" w:space="0"/>
              <w:right w:val="single" w:color="000000" w:sz="8" w:space="0"/>
            </w:tcBorders>
            <w:vAlign w:val="center"/>
          </w:tcPr>
          <w:p w14:paraId="577FB791">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2032</w:t>
            </w:r>
          </w:p>
        </w:tc>
        <w:tc>
          <w:tcPr>
            <w:tcW w:w="3495" w:type="dxa"/>
            <w:tcBorders>
              <w:left w:val="single" w:color="000000" w:sz="8" w:space="0"/>
              <w:right w:val="single" w:color="000000" w:sz="8" w:space="0"/>
            </w:tcBorders>
            <w:vAlign w:val="center"/>
          </w:tcPr>
          <w:p w14:paraId="749559EC">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227.06</w:t>
            </w:r>
          </w:p>
        </w:tc>
        <w:tc>
          <w:tcPr>
            <w:tcW w:w="2850" w:type="dxa"/>
            <w:tcBorders>
              <w:left w:val="single" w:color="000000" w:sz="8" w:space="0"/>
              <w:bottom w:val="single" w:color="000000" w:sz="6" w:space="0"/>
            </w:tcBorders>
            <w:vAlign w:val="center"/>
          </w:tcPr>
          <w:p w14:paraId="32A5B7FD">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45.41</w:t>
            </w:r>
          </w:p>
        </w:tc>
      </w:tr>
      <w:tr w14:paraId="5AC6B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529" w:type="dxa"/>
            <w:tcBorders>
              <w:left w:val="single" w:color="000000" w:sz="6" w:space="0"/>
              <w:right w:val="single" w:color="000000" w:sz="8" w:space="0"/>
            </w:tcBorders>
            <w:vAlign w:val="center"/>
          </w:tcPr>
          <w:p w14:paraId="1CB15127">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2033</w:t>
            </w:r>
          </w:p>
        </w:tc>
        <w:tc>
          <w:tcPr>
            <w:tcW w:w="3495" w:type="dxa"/>
            <w:tcBorders>
              <w:left w:val="single" w:color="000000" w:sz="8" w:space="0"/>
              <w:right w:val="single" w:color="000000" w:sz="8" w:space="0"/>
            </w:tcBorders>
            <w:vAlign w:val="center"/>
          </w:tcPr>
          <w:p w14:paraId="49AED432">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215.48</w:t>
            </w:r>
          </w:p>
        </w:tc>
        <w:tc>
          <w:tcPr>
            <w:tcW w:w="2850" w:type="dxa"/>
            <w:tcBorders>
              <w:left w:val="single" w:color="000000" w:sz="8" w:space="0"/>
              <w:bottom w:val="single" w:color="000000" w:sz="6" w:space="0"/>
            </w:tcBorders>
            <w:vAlign w:val="center"/>
          </w:tcPr>
          <w:p w14:paraId="5773BE04">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43.10</w:t>
            </w:r>
          </w:p>
        </w:tc>
      </w:tr>
      <w:tr w14:paraId="5D665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1529" w:type="dxa"/>
            <w:tcBorders>
              <w:left w:val="single" w:color="000000" w:sz="6" w:space="0"/>
              <w:right w:val="single" w:color="000000" w:sz="8" w:space="0"/>
            </w:tcBorders>
            <w:vAlign w:val="top"/>
          </w:tcPr>
          <w:p w14:paraId="4AA6AD3E">
            <w:pPr>
              <w:bidi w:val="0"/>
              <w:rPr>
                <w:rFonts w:hint="eastAsia" w:ascii="仿宋" w:hAnsi="仿宋" w:eastAsia="仿宋" w:cs="仿宋"/>
                <w:sz w:val="24"/>
                <w:szCs w:val="24"/>
                <w:lang w:eastAsia="en-US"/>
              </w:rPr>
            </w:pPr>
            <w:r>
              <w:rPr>
                <w:rFonts w:hint="eastAsia" w:ascii="仿宋" w:hAnsi="仿宋" w:eastAsia="仿宋" w:cs="仿宋"/>
                <w:sz w:val="24"/>
                <w:szCs w:val="24"/>
                <w:lang w:eastAsia="en-US"/>
              </w:rPr>
              <w:t>2034</w:t>
            </w:r>
          </w:p>
        </w:tc>
        <w:tc>
          <w:tcPr>
            <w:tcW w:w="3495" w:type="dxa"/>
            <w:tcBorders>
              <w:left w:val="single" w:color="000000" w:sz="8" w:space="0"/>
              <w:right w:val="single" w:color="000000" w:sz="8" w:space="0"/>
            </w:tcBorders>
            <w:vAlign w:val="center"/>
          </w:tcPr>
          <w:p w14:paraId="368280C3">
            <w:pPr>
              <w:bidi w:val="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204.49</w:t>
            </w:r>
          </w:p>
        </w:tc>
        <w:tc>
          <w:tcPr>
            <w:tcW w:w="2850" w:type="dxa"/>
            <w:tcBorders>
              <w:left w:val="single" w:color="000000" w:sz="8" w:space="0"/>
            </w:tcBorders>
            <w:vAlign w:val="top"/>
          </w:tcPr>
          <w:p w14:paraId="340A591E">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40.90</w:t>
            </w:r>
          </w:p>
        </w:tc>
      </w:tr>
      <w:tr w14:paraId="305BF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1529" w:type="dxa"/>
            <w:vAlign w:val="top"/>
          </w:tcPr>
          <w:p w14:paraId="5AC3F6CC">
            <w:pPr>
              <w:bidi w:val="0"/>
              <w:rPr>
                <w:rFonts w:hint="eastAsia" w:ascii="仿宋" w:hAnsi="仿宋" w:eastAsia="仿宋" w:cs="仿宋"/>
                <w:sz w:val="24"/>
                <w:szCs w:val="24"/>
                <w:lang w:eastAsia="en-US"/>
              </w:rPr>
            </w:pPr>
            <w:r>
              <w:rPr>
                <w:rFonts w:hint="eastAsia" w:ascii="仿宋" w:hAnsi="仿宋" w:eastAsia="仿宋" w:cs="仿宋"/>
                <w:sz w:val="24"/>
                <w:szCs w:val="24"/>
                <w:lang w:eastAsia="en-US"/>
              </w:rPr>
              <w:t>2035</w:t>
            </w:r>
          </w:p>
        </w:tc>
        <w:tc>
          <w:tcPr>
            <w:tcW w:w="3495" w:type="dxa"/>
            <w:vAlign w:val="center"/>
          </w:tcPr>
          <w:p w14:paraId="17AC28B9">
            <w:pPr>
              <w:bidi w:val="0"/>
              <w:jc w:val="center"/>
              <w:rPr>
                <w:rFonts w:hint="eastAsia" w:ascii="仿宋" w:hAnsi="仿宋" w:eastAsia="仿宋" w:cs="仿宋"/>
                <w:sz w:val="24"/>
                <w:szCs w:val="24"/>
                <w:lang w:eastAsia="en-US"/>
              </w:rPr>
            </w:pPr>
            <w:r>
              <w:rPr>
                <w:rFonts w:hint="eastAsia" w:ascii="仿宋" w:hAnsi="仿宋" w:eastAsia="仿宋" w:cs="仿宋"/>
                <w:sz w:val="24"/>
                <w:szCs w:val="24"/>
                <w:lang w:val="en-US" w:eastAsia="zh-CN"/>
              </w:rPr>
              <w:t>194.07</w:t>
            </w:r>
          </w:p>
        </w:tc>
        <w:tc>
          <w:tcPr>
            <w:tcW w:w="2850" w:type="dxa"/>
            <w:vAlign w:val="top"/>
          </w:tcPr>
          <w:p w14:paraId="7D29F88D">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38.81</w:t>
            </w:r>
          </w:p>
        </w:tc>
      </w:tr>
      <w:bookmarkEnd w:id="123"/>
    </w:tbl>
    <w:p w14:paraId="08FACBDD">
      <w:pPr>
        <w:ind w:left="0" w:leftChars="0" w:firstLine="0" w:firstLineChars="0"/>
        <w:rPr>
          <w:rFonts w:hint="eastAsia" w:eastAsia="仿宋"/>
          <w:lang w:val="en-US" w:eastAsia="zh-CN"/>
        </w:rPr>
      </w:pPr>
    </w:p>
    <w:p w14:paraId="2A9819E4">
      <w:pPr>
        <w:pStyle w:val="4"/>
        <w:bidi w:val="0"/>
      </w:pPr>
      <w:r>
        <w:t>5、合计</w:t>
      </w:r>
    </w:p>
    <w:p w14:paraId="5FBEACBC">
      <w:pPr>
        <w:bidi w:val="0"/>
        <w:rPr>
          <w:rFonts w:hint="eastAsia"/>
          <w:lang w:val="en-US" w:eastAsia="zh-CN"/>
        </w:rPr>
      </w:pPr>
      <w:r>
        <w:t>按此方法测算，</w:t>
      </w:r>
      <w:r>
        <w:rPr>
          <w:rFonts w:hint="eastAsia"/>
          <w:lang w:val="en-US" w:eastAsia="zh-CN"/>
        </w:rPr>
        <w:t>桃江县2025年至2035年建筑垃圾产生量预测如下。</w:t>
      </w:r>
    </w:p>
    <w:p w14:paraId="7198C652">
      <w:pPr>
        <w:bidi w:val="0"/>
        <w:ind w:left="0" w:leftChars="0" w:firstLine="0" w:firstLineChars="0"/>
        <w:jc w:val="center"/>
        <w:rPr>
          <w:b/>
          <w:bCs/>
        </w:rPr>
      </w:pPr>
      <w:r>
        <w:rPr>
          <w:b/>
          <w:bCs/>
        </w:rPr>
        <w:t>表4-1</w:t>
      </w:r>
      <w:r>
        <w:rPr>
          <w:rFonts w:hint="eastAsia"/>
          <w:b/>
          <w:bCs/>
          <w:lang w:val="en-US" w:eastAsia="zh-CN"/>
        </w:rPr>
        <w:t>桃江县</w:t>
      </w:r>
      <w:r>
        <w:rPr>
          <w:b/>
          <w:bCs/>
        </w:rPr>
        <w:t>建筑垃圾产生量预测统计表</w:t>
      </w:r>
    </w:p>
    <w:p w14:paraId="01E1872F">
      <w:pPr>
        <w:spacing w:line="91" w:lineRule="exact"/>
      </w:pPr>
    </w:p>
    <w:tbl>
      <w:tblPr>
        <w:tblStyle w:val="25"/>
        <w:tblW w:w="50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8"/>
        <w:gridCol w:w="3236"/>
      </w:tblGrid>
      <w:tr w14:paraId="5EBA0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1788" w:type="dxa"/>
            <w:tcBorders>
              <w:left w:val="single" w:color="000000" w:sz="6" w:space="0"/>
              <w:right w:val="single" w:color="000000" w:sz="8" w:space="0"/>
            </w:tcBorders>
            <w:vAlign w:val="center"/>
          </w:tcPr>
          <w:p w14:paraId="78268BF9">
            <w:pPr>
              <w:bidi w:val="0"/>
              <w:ind w:left="0" w:leftChars="0" w:firstLine="0" w:firstLineChars="0"/>
              <w:jc w:val="center"/>
              <w:rPr>
                <w:rFonts w:hint="eastAsia" w:ascii="仿宋" w:hAnsi="仿宋" w:eastAsia="仿宋" w:cs="仿宋"/>
                <w:b/>
                <w:bCs/>
                <w:sz w:val="24"/>
                <w:szCs w:val="24"/>
                <w:lang w:eastAsia="en-US"/>
              </w:rPr>
            </w:pPr>
            <w:bookmarkStart w:id="124" w:name="OLE_LINK23"/>
            <w:r>
              <w:rPr>
                <w:rFonts w:hint="eastAsia" w:ascii="仿宋" w:hAnsi="仿宋" w:eastAsia="仿宋" w:cs="仿宋"/>
                <w:b/>
                <w:bCs/>
                <w:sz w:val="24"/>
                <w:szCs w:val="24"/>
                <w:lang w:eastAsia="en-US"/>
              </w:rPr>
              <w:t>时间</w:t>
            </w:r>
          </w:p>
        </w:tc>
        <w:tc>
          <w:tcPr>
            <w:tcW w:w="3236" w:type="dxa"/>
            <w:tcBorders>
              <w:left w:val="single" w:color="000000" w:sz="8" w:space="0"/>
              <w:right w:val="single" w:color="000000" w:sz="8" w:space="0"/>
            </w:tcBorders>
            <w:vAlign w:val="center"/>
          </w:tcPr>
          <w:p w14:paraId="2E89EAA6">
            <w:pPr>
              <w:bidi w:val="0"/>
              <w:ind w:left="0" w:leftChars="0" w:firstLine="0" w:firstLineChars="0"/>
              <w:jc w:val="center"/>
              <w:rPr>
                <w:rFonts w:hint="eastAsia" w:ascii="仿宋" w:hAnsi="仿宋" w:eastAsia="仿宋" w:cs="仿宋"/>
                <w:b/>
                <w:bCs/>
                <w:sz w:val="24"/>
                <w:szCs w:val="24"/>
                <w:lang w:eastAsia="en-US"/>
              </w:rPr>
            </w:pPr>
            <w:r>
              <w:rPr>
                <w:rFonts w:hint="eastAsia" w:ascii="仿宋" w:hAnsi="仿宋" w:eastAsia="仿宋" w:cs="仿宋"/>
                <w:b/>
                <w:bCs/>
                <w:sz w:val="24"/>
                <w:szCs w:val="24"/>
                <w:lang w:val="en-US" w:eastAsia="zh-CN"/>
              </w:rPr>
              <w:t>建筑垃圾产生量（万</w:t>
            </w:r>
            <w:r>
              <w:rPr>
                <w:rFonts w:hint="eastAsia" w:ascii="仿宋" w:hAnsi="仿宋" w:cs="仿宋"/>
                <w:b/>
                <w:bCs/>
                <w:sz w:val="24"/>
                <w:szCs w:val="24"/>
                <w:lang w:val="en-US" w:eastAsia="zh-CN"/>
              </w:rPr>
              <w:t>吨</w:t>
            </w:r>
            <w:r>
              <w:rPr>
                <w:rFonts w:hint="eastAsia" w:ascii="仿宋" w:hAnsi="仿宋" w:eastAsia="仿宋" w:cs="仿宋"/>
                <w:b/>
                <w:bCs/>
                <w:sz w:val="24"/>
                <w:szCs w:val="24"/>
                <w:lang w:eastAsia="en-US"/>
              </w:rPr>
              <w:t>）</w:t>
            </w:r>
          </w:p>
        </w:tc>
      </w:tr>
      <w:tr w14:paraId="3B503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788" w:type="dxa"/>
            <w:tcBorders>
              <w:left w:val="single" w:color="000000" w:sz="6" w:space="0"/>
              <w:right w:val="single" w:color="000000" w:sz="8" w:space="0"/>
            </w:tcBorders>
            <w:vAlign w:val="center"/>
          </w:tcPr>
          <w:p w14:paraId="4A393053">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2025</w:t>
            </w:r>
          </w:p>
        </w:tc>
        <w:tc>
          <w:tcPr>
            <w:tcW w:w="3236" w:type="dxa"/>
            <w:tcBorders>
              <w:left w:val="single" w:color="000000" w:sz="8" w:space="0"/>
              <w:right w:val="single" w:color="000000" w:sz="8" w:space="0"/>
            </w:tcBorders>
            <w:vAlign w:val="center"/>
          </w:tcPr>
          <w:p w14:paraId="00598320">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93.28</w:t>
            </w:r>
          </w:p>
        </w:tc>
      </w:tr>
      <w:tr w14:paraId="4405D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788" w:type="dxa"/>
            <w:tcBorders>
              <w:left w:val="single" w:color="000000" w:sz="6" w:space="0"/>
              <w:right w:val="single" w:color="000000" w:sz="8" w:space="0"/>
            </w:tcBorders>
            <w:vAlign w:val="center"/>
          </w:tcPr>
          <w:p w14:paraId="052A7222">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2026</w:t>
            </w:r>
          </w:p>
        </w:tc>
        <w:tc>
          <w:tcPr>
            <w:tcW w:w="3236" w:type="dxa"/>
            <w:tcBorders>
              <w:left w:val="single" w:color="000000" w:sz="8" w:space="0"/>
              <w:right w:val="single" w:color="000000" w:sz="8" w:space="0"/>
            </w:tcBorders>
            <w:vAlign w:val="center"/>
          </w:tcPr>
          <w:p w14:paraId="60B19826">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88.68</w:t>
            </w:r>
          </w:p>
        </w:tc>
      </w:tr>
      <w:tr w14:paraId="60AE9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1788" w:type="dxa"/>
            <w:tcBorders>
              <w:left w:val="single" w:color="000000" w:sz="6" w:space="0"/>
              <w:right w:val="single" w:color="000000" w:sz="8" w:space="0"/>
            </w:tcBorders>
            <w:vAlign w:val="center"/>
          </w:tcPr>
          <w:p w14:paraId="68448E78">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2027</w:t>
            </w:r>
          </w:p>
        </w:tc>
        <w:tc>
          <w:tcPr>
            <w:tcW w:w="3236" w:type="dxa"/>
            <w:tcBorders>
              <w:left w:val="single" w:color="000000" w:sz="8" w:space="0"/>
              <w:right w:val="single" w:color="000000" w:sz="8" w:space="0"/>
            </w:tcBorders>
            <w:vAlign w:val="center"/>
          </w:tcPr>
          <w:p w14:paraId="47D74079">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84.54</w:t>
            </w:r>
          </w:p>
        </w:tc>
      </w:tr>
      <w:tr w14:paraId="2F1E6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788" w:type="dxa"/>
            <w:tcBorders>
              <w:left w:val="single" w:color="000000" w:sz="6" w:space="0"/>
              <w:right w:val="single" w:color="000000" w:sz="8" w:space="0"/>
            </w:tcBorders>
            <w:vAlign w:val="center"/>
          </w:tcPr>
          <w:p w14:paraId="59A8BD2C">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2028</w:t>
            </w:r>
          </w:p>
        </w:tc>
        <w:tc>
          <w:tcPr>
            <w:tcW w:w="3236" w:type="dxa"/>
            <w:tcBorders>
              <w:left w:val="single" w:color="000000" w:sz="8" w:space="0"/>
              <w:right w:val="single" w:color="000000" w:sz="8" w:space="0"/>
            </w:tcBorders>
            <w:vAlign w:val="center"/>
          </w:tcPr>
          <w:p w14:paraId="38B0363B">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80.58</w:t>
            </w:r>
          </w:p>
        </w:tc>
      </w:tr>
      <w:tr w14:paraId="533D1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788" w:type="dxa"/>
            <w:tcBorders>
              <w:left w:val="single" w:color="000000" w:sz="6" w:space="0"/>
              <w:right w:val="single" w:color="000000" w:sz="8" w:space="0"/>
            </w:tcBorders>
            <w:vAlign w:val="center"/>
          </w:tcPr>
          <w:p w14:paraId="123525EA">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2029</w:t>
            </w:r>
          </w:p>
        </w:tc>
        <w:tc>
          <w:tcPr>
            <w:tcW w:w="3236" w:type="dxa"/>
            <w:tcBorders>
              <w:left w:val="single" w:color="000000" w:sz="8" w:space="0"/>
              <w:right w:val="single" w:color="000000" w:sz="8" w:space="0"/>
            </w:tcBorders>
            <w:vAlign w:val="center"/>
          </w:tcPr>
          <w:p w14:paraId="0633C50E">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76.83</w:t>
            </w:r>
          </w:p>
        </w:tc>
      </w:tr>
      <w:tr w14:paraId="3872C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788" w:type="dxa"/>
            <w:tcBorders>
              <w:left w:val="single" w:color="000000" w:sz="6" w:space="0"/>
              <w:right w:val="single" w:color="000000" w:sz="8" w:space="0"/>
            </w:tcBorders>
            <w:vAlign w:val="center"/>
          </w:tcPr>
          <w:p w14:paraId="26C0F27B">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2030</w:t>
            </w:r>
          </w:p>
        </w:tc>
        <w:tc>
          <w:tcPr>
            <w:tcW w:w="3236" w:type="dxa"/>
            <w:tcBorders>
              <w:left w:val="single" w:color="000000" w:sz="8" w:space="0"/>
              <w:right w:val="single" w:color="000000" w:sz="8" w:space="0"/>
            </w:tcBorders>
            <w:vAlign w:val="center"/>
          </w:tcPr>
          <w:p w14:paraId="1A98920C">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73.28</w:t>
            </w:r>
          </w:p>
        </w:tc>
      </w:tr>
      <w:tr w14:paraId="44683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788" w:type="dxa"/>
            <w:tcBorders>
              <w:left w:val="single" w:color="000000" w:sz="6" w:space="0"/>
              <w:right w:val="single" w:color="000000" w:sz="8" w:space="0"/>
            </w:tcBorders>
            <w:vAlign w:val="center"/>
          </w:tcPr>
          <w:p w14:paraId="02D02C43">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2031</w:t>
            </w:r>
          </w:p>
        </w:tc>
        <w:tc>
          <w:tcPr>
            <w:tcW w:w="3236" w:type="dxa"/>
            <w:tcBorders>
              <w:left w:val="single" w:color="000000" w:sz="8" w:space="0"/>
              <w:right w:val="single" w:color="000000" w:sz="8" w:space="0"/>
            </w:tcBorders>
            <w:vAlign w:val="center"/>
          </w:tcPr>
          <w:p w14:paraId="660FD5D0">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69.58</w:t>
            </w:r>
          </w:p>
        </w:tc>
      </w:tr>
      <w:tr w14:paraId="03F2B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788" w:type="dxa"/>
            <w:tcBorders>
              <w:left w:val="single" w:color="000000" w:sz="6" w:space="0"/>
              <w:right w:val="single" w:color="000000" w:sz="8" w:space="0"/>
            </w:tcBorders>
            <w:vAlign w:val="center"/>
          </w:tcPr>
          <w:p w14:paraId="0F186BC4">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2032</w:t>
            </w:r>
          </w:p>
        </w:tc>
        <w:tc>
          <w:tcPr>
            <w:tcW w:w="3236" w:type="dxa"/>
            <w:tcBorders>
              <w:left w:val="single" w:color="000000" w:sz="8" w:space="0"/>
              <w:right w:val="single" w:color="000000" w:sz="8" w:space="0"/>
            </w:tcBorders>
            <w:vAlign w:val="center"/>
          </w:tcPr>
          <w:p w14:paraId="20A4FB20">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66.39</w:t>
            </w:r>
          </w:p>
        </w:tc>
      </w:tr>
      <w:tr w14:paraId="73316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1788" w:type="dxa"/>
            <w:tcBorders>
              <w:left w:val="single" w:color="000000" w:sz="6" w:space="0"/>
              <w:right w:val="single" w:color="000000" w:sz="8" w:space="0"/>
            </w:tcBorders>
            <w:vAlign w:val="center"/>
          </w:tcPr>
          <w:p w14:paraId="45A43119">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2033</w:t>
            </w:r>
          </w:p>
        </w:tc>
        <w:tc>
          <w:tcPr>
            <w:tcW w:w="3236" w:type="dxa"/>
            <w:tcBorders>
              <w:left w:val="single" w:color="000000" w:sz="8" w:space="0"/>
              <w:right w:val="single" w:color="000000" w:sz="8" w:space="0"/>
            </w:tcBorders>
            <w:vAlign w:val="center"/>
          </w:tcPr>
          <w:p w14:paraId="6A626A0D">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63.36</w:t>
            </w:r>
          </w:p>
        </w:tc>
      </w:tr>
      <w:tr w14:paraId="73C23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1788" w:type="dxa"/>
            <w:tcBorders>
              <w:left w:val="single" w:color="000000" w:sz="6" w:space="0"/>
              <w:right w:val="single" w:color="000000" w:sz="8" w:space="0"/>
            </w:tcBorders>
            <w:vAlign w:val="center"/>
          </w:tcPr>
          <w:p w14:paraId="3574FED9">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2034</w:t>
            </w:r>
          </w:p>
        </w:tc>
        <w:tc>
          <w:tcPr>
            <w:tcW w:w="3236" w:type="dxa"/>
            <w:tcBorders>
              <w:left w:val="single" w:color="000000" w:sz="8" w:space="0"/>
              <w:right w:val="single" w:color="000000" w:sz="8" w:space="0"/>
            </w:tcBorders>
            <w:vAlign w:val="center"/>
          </w:tcPr>
          <w:p w14:paraId="13735802">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60.49</w:t>
            </w:r>
          </w:p>
        </w:tc>
      </w:tr>
      <w:tr w14:paraId="492AD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jc w:val="center"/>
        </w:trPr>
        <w:tc>
          <w:tcPr>
            <w:tcW w:w="1788" w:type="dxa"/>
            <w:vAlign w:val="center"/>
          </w:tcPr>
          <w:p w14:paraId="25A73EA3">
            <w:pPr>
              <w:bidi w:val="0"/>
              <w:ind w:left="0" w:leftChars="0" w:firstLine="0" w:firstLineChars="0"/>
              <w:jc w:val="center"/>
              <w:rPr>
                <w:rFonts w:hint="eastAsia" w:ascii="仿宋" w:hAnsi="仿宋" w:eastAsia="仿宋" w:cs="仿宋"/>
                <w:sz w:val="24"/>
                <w:szCs w:val="24"/>
                <w:lang w:eastAsia="en-US"/>
              </w:rPr>
            </w:pPr>
            <w:r>
              <w:rPr>
                <w:rFonts w:hint="eastAsia" w:ascii="仿宋" w:hAnsi="仿宋" w:eastAsia="仿宋" w:cs="仿宋"/>
                <w:sz w:val="24"/>
                <w:szCs w:val="24"/>
                <w:lang w:eastAsia="en-US"/>
              </w:rPr>
              <w:t>2035</w:t>
            </w:r>
          </w:p>
        </w:tc>
        <w:tc>
          <w:tcPr>
            <w:tcW w:w="3236" w:type="dxa"/>
            <w:vAlign w:val="center"/>
          </w:tcPr>
          <w:p w14:paraId="5937A2DF">
            <w:pPr>
              <w:bidi w:val="0"/>
              <w:ind w:left="0" w:lef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57.76</w:t>
            </w:r>
          </w:p>
        </w:tc>
      </w:tr>
      <w:bookmarkEnd w:id="124"/>
    </w:tbl>
    <w:p w14:paraId="7AB8F0B8">
      <w:pPr>
        <w:pageBreakBefore w:val="0"/>
        <w:kinsoku/>
        <w:wordWrap w:val="0"/>
        <w:overflowPunct/>
        <w:topLinePunct w:val="0"/>
        <w:autoSpaceDE/>
        <w:autoSpaceDN/>
        <w:bidi w:val="0"/>
        <w:adjustRightInd/>
        <w:snapToGrid/>
        <w:ind w:firstLine="560"/>
        <w:rPr>
          <w:rFonts w:hint="eastAsia" w:cs="Times New Roman"/>
          <w:sz w:val="32"/>
          <w:szCs w:val="32"/>
          <w:highlight w:val="cyan"/>
        </w:rPr>
      </w:pPr>
    </w:p>
    <w:p w14:paraId="4A0864A5">
      <w:pPr>
        <w:pStyle w:val="2"/>
        <w:bidi w:val="0"/>
        <w:rPr>
          <w:rFonts w:hint="eastAsia"/>
          <w:lang w:val="en-US" w:eastAsia="zh-CN"/>
        </w:rPr>
      </w:pPr>
      <w:bookmarkStart w:id="125" w:name="_Toc24280"/>
      <w:r>
        <w:rPr>
          <w:lang w:eastAsia="en-US"/>
        </w:rPr>
        <w:t>五、建筑垃圾治理总体思路</w:t>
      </w:r>
      <w:bookmarkEnd w:id="125"/>
    </w:p>
    <w:p w14:paraId="3211E37E">
      <w:pPr>
        <w:pStyle w:val="3"/>
        <w:bidi w:val="0"/>
        <w:rPr>
          <w:rFonts w:hint="eastAsia" w:ascii="楷体" w:hAnsi="楷体" w:eastAsia="楷体" w:cs="楷体"/>
          <w:sz w:val="28"/>
          <w:szCs w:val="28"/>
          <w:lang w:val="en-US" w:eastAsia="en-US"/>
        </w:rPr>
      </w:pPr>
      <w:bookmarkStart w:id="126" w:name="_Toc11765"/>
      <w:r>
        <w:rPr>
          <w:rFonts w:hint="eastAsia" w:ascii="楷体" w:hAnsi="楷体" w:eastAsia="楷体" w:cs="楷体"/>
          <w:sz w:val="28"/>
          <w:szCs w:val="28"/>
          <w:lang w:val="en-US" w:eastAsia="en-US"/>
        </w:rPr>
        <w:t>（一）总体思路</w:t>
      </w:r>
      <w:bookmarkEnd w:id="126"/>
    </w:p>
    <w:p w14:paraId="541B857B">
      <w:pPr>
        <w:bidi w:val="0"/>
        <w:rPr>
          <w:rFonts w:hint="eastAsia"/>
          <w:lang w:val="en-US" w:eastAsia="zh-CN"/>
        </w:rPr>
      </w:pPr>
      <w:r>
        <w:rPr>
          <w:rFonts w:hint="eastAsia"/>
          <w:lang w:val="en-US" w:eastAsia="zh-CN"/>
        </w:rPr>
        <w:t>桃江县建筑垃圾治理思路围绕</w:t>
      </w:r>
      <w:r>
        <w:rPr>
          <w:rFonts w:hint="eastAsia" w:ascii="Times New Roman" w:eastAsia="仿宋"/>
          <w:lang w:val="en-US" w:eastAsia="zh-CN"/>
        </w:rPr>
        <w:t>减量化、资源化、无害化</w:t>
      </w:r>
      <w:r>
        <w:rPr>
          <w:rFonts w:hint="eastAsia"/>
          <w:lang w:val="en-US" w:eastAsia="zh-CN"/>
        </w:rPr>
        <w:t>的规划目标</w:t>
      </w:r>
      <w:r>
        <w:rPr>
          <w:rFonts w:hint="eastAsia" w:ascii="Times New Roman" w:eastAsia="仿宋"/>
          <w:lang w:val="en-US" w:eastAsia="zh-CN"/>
        </w:rPr>
        <w:t>，</w:t>
      </w:r>
      <w:r>
        <w:rPr>
          <w:rFonts w:hint="eastAsia"/>
          <w:lang w:val="en-US" w:eastAsia="zh-CN"/>
        </w:rPr>
        <w:t>采用“全县统筹、分类管理、源头减量、资源利用、全程管控”的方式统筹处理建立垃圾。</w:t>
      </w:r>
    </w:p>
    <w:p w14:paraId="5C764A04">
      <w:pPr>
        <w:pStyle w:val="4"/>
        <w:bidi w:val="0"/>
        <w:rPr>
          <w:rFonts w:hint="eastAsia"/>
          <w:lang w:val="en-US" w:eastAsia="zh-CN"/>
        </w:rPr>
      </w:pPr>
      <w:r>
        <w:rPr>
          <w:rFonts w:hint="eastAsia"/>
          <w:lang w:val="en-US" w:eastAsia="zh-CN"/>
        </w:rPr>
        <w:t>1、全县统筹</w:t>
      </w:r>
      <w:bookmarkStart w:id="289" w:name="_GoBack"/>
      <w:bookmarkEnd w:id="289"/>
    </w:p>
    <w:p w14:paraId="6E1E1A4F">
      <w:pPr>
        <w:bidi w:val="0"/>
        <w:rPr>
          <w:rFonts w:hint="eastAsia"/>
          <w:lang w:val="en-US" w:eastAsia="zh-CN"/>
        </w:rPr>
      </w:pPr>
      <w:r>
        <w:rPr>
          <w:rFonts w:hint="eastAsia"/>
        </w:rPr>
        <w:t>建立</w:t>
      </w:r>
      <w:r>
        <w:rPr>
          <w:rFonts w:hint="eastAsia"/>
          <w:lang w:val="en-US" w:eastAsia="zh-CN"/>
        </w:rPr>
        <w:t>以桃江县政府</w:t>
      </w:r>
      <w:r>
        <w:rPr>
          <w:rFonts w:hint="eastAsia"/>
        </w:rPr>
        <w:t>主导、社会参与、行业主管的建筑垃圾管理体系，建设全县一体化、技术先进的建筑垃圾资源化监督体系。</w:t>
      </w:r>
    </w:p>
    <w:p w14:paraId="251474A3">
      <w:pPr>
        <w:pStyle w:val="4"/>
        <w:bidi w:val="0"/>
        <w:rPr>
          <w:rFonts w:hint="eastAsia"/>
          <w:lang w:val="en-US" w:eastAsia="zh-CN"/>
        </w:rPr>
      </w:pPr>
      <w:r>
        <w:rPr>
          <w:rFonts w:hint="eastAsia"/>
          <w:lang w:val="en-US" w:eastAsia="zh-CN"/>
        </w:rPr>
        <w:t>2、</w:t>
      </w:r>
      <w:bookmarkStart w:id="127" w:name="OLE_LINK27"/>
      <w:r>
        <w:rPr>
          <w:rFonts w:hint="eastAsia"/>
          <w:lang w:val="en-US" w:eastAsia="zh-CN"/>
        </w:rPr>
        <w:t>分类</w:t>
      </w:r>
      <w:bookmarkEnd w:id="127"/>
      <w:r>
        <w:rPr>
          <w:rFonts w:hint="eastAsia"/>
          <w:lang w:val="en-US" w:eastAsia="zh-CN"/>
        </w:rPr>
        <w:t>管理</w:t>
      </w:r>
    </w:p>
    <w:p w14:paraId="5F541B30">
      <w:pPr>
        <w:bidi w:val="0"/>
        <w:rPr>
          <w:lang w:eastAsia="en-US"/>
        </w:rPr>
      </w:pPr>
      <w:r>
        <w:rPr>
          <w:rFonts w:hint="eastAsia"/>
          <w:lang w:val="en-US" w:eastAsia="zh-CN"/>
        </w:rPr>
        <w:t>将建筑垃圾</w:t>
      </w:r>
      <w:r>
        <w:rPr>
          <w:lang w:eastAsia="en-US"/>
        </w:rPr>
        <w:t>按照工程渣土</w:t>
      </w:r>
      <w:r>
        <w:rPr>
          <w:rFonts w:hint="eastAsia"/>
          <w:lang w:eastAsia="zh-CN"/>
        </w:rPr>
        <w:t>（</w:t>
      </w:r>
      <w:r>
        <w:rPr>
          <w:rFonts w:hint="eastAsia"/>
          <w:lang w:val="en-US" w:eastAsia="zh-CN"/>
        </w:rPr>
        <w:t>含工程泥浆</w:t>
      </w:r>
      <w:r>
        <w:rPr>
          <w:rFonts w:hint="eastAsia"/>
          <w:lang w:eastAsia="zh-CN"/>
        </w:rPr>
        <w:t>）</w:t>
      </w:r>
      <w:r>
        <w:rPr>
          <w:lang w:eastAsia="en-US"/>
        </w:rPr>
        <w:t>、工程垃圾</w:t>
      </w:r>
      <w:r>
        <w:rPr>
          <w:rFonts w:hint="eastAsia"/>
          <w:lang w:eastAsia="zh-CN"/>
        </w:rPr>
        <w:t>、</w:t>
      </w:r>
      <w:r>
        <w:rPr>
          <w:rFonts w:hint="eastAsia"/>
          <w:lang w:val="en-US" w:eastAsia="zh-CN"/>
        </w:rPr>
        <w:t>拆除垃圾、装修垃圾</w:t>
      </w:r>
      <w:r>
        <w:rPr>
          <w:lang w:eastAsia="en-US"/>
        </w:rPr>
        <w:t>等进行分类，鼓励工程渣土就地回填和工程废料循环利用，提高临时设施和周转材料重复利用率。拆除垃圾按照可资源化利用建筑垃圾和回填消纳建筑垃圾进行现场分类。装修垃圾建立装修垃圾管理体系，落实</w:t>
      </w:r>
      <w:r>
        <w:rPr>
          <w:rFonts w:hint="eastAsia"/>
          <w:lang w:val="en-US" w:eastAsia="zh-CN"/>
        </w:rPr>
        <w:t>乡镇、</w:t>
      </w:r>
      <w:r>
        <w:rPr>
          <w:lang w:eastAsia="en-US"/>
        </w:rPr>
        <w:t>社区、小区装修垃圾管理主体责任。</w:t>
      </w:r>
    </w:p>
    <w:p w14:paraId="43AA705E">
      <w:pPr>
        <w:pStyle w:val="4"/>
        <w:bidi w:val="0"/>
        <w:rPr>
          <w:rFonts w:hint="eastAsia"/>
          <w:lang w:val="en-US" w:eastAsia="zh-CN"/>
        </w:rPr>
      </w:pPr>
      <w:r>
        <w:rPr>
          <w:rFonts w:hint="eastAsia"/>
          <w:lang w:val="en-US" w:eastAsia="zh-CN"/>
        </w:rPr>
        <w:t>3、源头减量</w:t>
      </w:r>
    </w:p>
    <w:p w14:paraId="45EC1E8F">
      <w:pPr>
        <w:bidi w:val="0"/>
        <w:rPr>
          <w:lang w:eastAsia="zh-CN"/>
        </w:rPr>
      </w:pPr>
      <w:bookmarkStart w:id="128" w:name="OLE_LINK28"/>
      <w:r>
        <w:rPr>
          <w:rFonts w:hint="eastAsia"/>
          <w:lang w:val="en-US" w:eastAsia="zh-CN"/>
        </w:rPr>
        <w:t>根据《住房和城乡建设部关于推进建筑垃圾减量化的指导意见》（建质〔</w:t>
      </w:r>
      <w:r>
        <w:rPr>
          <w:rFonts w:hint="default"/>
          <w:lang w:val="en-US" w:eastAsia="zh-CN"/>
        </w:rPr>
        <w:t>2020</w:t>
      </w:r>
      <w:r>
        <w:rPr>
          <w:rFonts w:hint="eastAsia"/>
          <w:lang w:val="en-US" w:eastAsia="zh-CN"/>
        </w:rPr>
        <w:t>〕</w:t>
      </w:r>
      <w:r>
        <w:rPr>
          <w:rFonts w:hint="default"/>
          <w:lang w:val="en-US" w:eastAsia="zh-CN"/>
        </w:rPr>
        <w:t>46</w:t>
      </w:r>
      <w:r>
        <w:rPr>
          <w:rFonts w:hint="eastAsia"/>
          <w:lang w:val="en-US" w:eastAsia="zh-CN"/>
        </w:rPr>
        <w:t>号）的要求，将建筑垃圾源头减量化作为项目管理和核准要求的工作重点事项，</w:t>
      </w:r>
      <w:r>
        <w:rPr>
          <w:lang w:eastAsia="en-US"/>
        </w:rPr>
        <w:t>严格落实建设单位建筑垃圾减量化和处理首要责任。实施绿色设计、</w:t>
      </w:r>
      <w:r>
        <w:rPr>
          <w:rFonts w:hint="eastAsia"/>
          <w:lang w:val="en-US" w:eastAsia="zh-CN"/>
        </w:rPr>
        <w:t>使用绿色建材、</w:t>
      </w:r>
      <w:r>
        <w:rPr>
          <w:lang w:eastAsia="zh-CN"/>
        </w:rPr>
        <w:t>提高施工水平</w:t>
      </w:r>
      <w:r>
        <w:rPr>
          <w:rFonts w:hint="eastAsia"/>
          <w:lang w:eastAsia="zh-CN"/>
        </w:rPr>
        <w:t>、</w:t>
      </w:r>
      <w:r>
        <w:rPr>
          <w:lang w:eastAsia="zh-CN"/>
        </w:rPr>
        <w:t>发展预制装配式建筑</w:t>
      </w:r>
      <w:r>
        <w:rPr>
          <w:rFonts w:hint="eastAsia"/>
          <w:lang w:eastAsia="zh-CN"/>
        </w:rPr>
        <w:t>、</w:t>
      </w:r>
      <w:r>
        <w:rPr>
          <w:lang w:eastAsia="zh-CN"/>
        </w:rPr>
        <w:t>推广</w:t>
      </w:r>
      <w:r>
        <w:rPr>
          <w:rFonts w:hint="eastAsia"/>
          <w:lang w:eastAsia="zh-CN"/>
        </w:rPr>
        <w:t>精</w:t>
      </w:r>
      <w:r>
        <w:rPr>
          <w:lang w:eastAsia="zh-CN"/>
        </w:rPr>
        <w:t>装修</w:t>
      </w:r>
      <w:r>
        <w:rPr>
          <w:rFonts w:hint="eastAsia"/>
          <w:lang w:eastAsia="zh-CN"/>
        </w:rPr>
        <w:t>住</w:t>
      </w:r>
      <w:r>
        <w:rPr>
          <w:lang w:eastAsia="zh-CN"/>
        </w:rPr>
        <w:t>房，能从源头上减少</w:t>
      </w:r>
      <w:r>
        <w:rPr>
          <w:rFonts w:hint="eastAsia"/>
          <w:lang w:val="en-US" w:eastAsia="zh-CN"/>
        </w:rPr>
        <w:t>建筑</w:t>
      </w:r>
      <w:r>
        <w:rPr>
          <w:lang w:eastAsia="zh-CN"/>
        </w:rPr>
        <w:t>垃圾的产生量。</w:t>
      </w:r>
    </w:p>
    <w:bookmarkEnd w:id="128"/>
    <w:p w14:paraId="7A301583">
      <w:pPr>
        <w:pStyle w:val="4"/>
        <w:bidi w:val="0"/>
        <w:rPr>
          <w:rFonts w:hint="eastAsia"/>
          <w:lang w:val="en-US" w:eastAsia="zh-CN"/>
        </w:rPr>
      </w:pPr>
      <w:r>
        <w:rPr>
          <w:rFonts w:hint="eastAsia"/>
          <w:lang w:val="en-US" w:eastAsia="zh-CN"/>
        </w:rPr>
        <w:t>4、资源利用</w:t>
      </w:r>
    </w:p>
    <w:p w14:paraId="1B9D0BC5">
      <w:pPr>
        <w:bidi w:val="0"/>
        <w:rPr>
          <w:rFonts w:hint="default"/>
        </w:rPr>
      </w:pPr>
      <w:r>
        <w:rPr>
          <w:rFonts w:hint="eastAsia"/>
        </w:rPr>
        <w:t>发展科技为先、创新为本的建筑垃圾</w:t>
      </w:r>
      <w:bookmarkStart w:id="129" w:name="OLE_LINK29"/>
      <w:r>
        <w:rPr>
          <w:rFonts w:hint="eastAsia"/>
        </w:rPr>
        <w:t>资源化利用</w:t>
      </w:r>
      <w:bookmarkEnd w:id="129"/>
      <w:r>
        <w:rPr>
          <w:rFonts w:hint="eastAsia"/>
        </w:rPr>
        <w:t>技术体系，</w:t>
      </w:r>
      <w:r>
        <w:rPr>
          <w:rFonts w:hint="eastAsia"/>
          <w:lang w:val="en-US" w:eastAsia="zh-CN"/>
        </w:rPr>
        <w:t>加快推进建筑垃圾消纳场所和资源化利用设施建设，补齐建筑垃圾资源化利用短板，拓宽建筑垃圾再生产品使用渠道，加强建筑垃圾资源化利用优惠政策落实等举措，</w:t>
      </w:r>
      <w:r>
        <w:rPr>
          <w:lang w:eastAsia="en-US"/>
        </w:rPr>
        <w:t>逐步提高建筑垃圾再生产品的使用比例。</w:t>
      </w:r>
      <w:bookmarkStart w:id="130" w:name="OLE_LINK38"/>
      <w:r>
        <w:rPr>
          <w:rFonts w:hint="eastAsia"/>
        </w:rPr>
        <w:t>具体目标如下：</w:t>
      </w:r>
      <w:bookmarkStart w:id="131" w:name="OLE_LINK84"/>
      <w:r>
        <w:rPr>
          <w:rFonts w:hint="default"/>
        </w:rPr>
        <w:t>2030</w:t>
      </w:r>
      <w:r>
        <w:rPr>
          <w:rFonts w:hint="eastAsia"/>
        </w:rPr>
        <w:t>年</w:t>
      </w:r>
      <w:bookmarkStart w:id="132" w:name="OLE_LINK40"/>
      <w:r>
        <w:rPr>
          <w:rFonts w:hint="eastAsia"/>
          <w:lang w:val="en-US" w:eastAsia="zh-CN"/>
        </w:rPr>
        <w:t>桃江</w:t>
      </w:r>
      <w:bookmarkEnd w:id="132"/>
      <w:r>
        <w:rPr>
          <w:rFonts w:hint="eastAsia"/>
        </w:rPr>
        <w:t>县建筑垃圾量达到</w:t>
      </w:r>
      <w:r>
        <w:rPr>
          <w:rFonts w:hint="eastAsia"/>
          <w:lang w:val="en-US" w:eastAsia="zh-CN"/>
        </w:rPr>
        <w:t>73.28</w:t>
      </w:r>
      <w:r>
        <w:rPr>
          <w:rFonts w:hint="eastAsia"/>
        </w:rPr>
        <w:t>万吨</w:t>
      </w:r>
      <w:r>
        <w:rPr>
          <w:rFonts w:hint="default"/>
        </w:rPr>
        <w:t>/</w:t>
      </w:r>
      <w:r>
        <w:rPr>
          <w:rFonts w:hint="eastAsia"/>
        </w:rPr>
        <w:t>年，</w:t>
      </w:r>
      <w:bookmarkStart w:id="133" w:name="OLE_LINK82"/>
      <w:r>
        <w:rPr>
          <w:rFonts w:hint="eastAsia"/>
          <w:lang w:val="en-US" w:eastAsia="zh-CN"/>
        </w:rPr>
        <w:t>资源化</w:t>
      </w:r>
      <w:bookmarkEnd w:id="133"/>
      <w:r>
        <w:rPr>
          <w:rFonts w:hint="eastAsia"/>
        </w:rPr>
        <w:t>利用量达到</w:t>
      </w:r>
      <w:r>
        <w:rPr>
          <w:rFonts w:hint="eastAsia"/>
          <w:lang w:val="en-US" w:eastAsia="zh-CN"/>
        </w:rPr>
        <w:t>47.63</w:t>
      </w:r>
      <w:r>
        <w:rPr>
          <w:rFonts w:hint="eastAsia"/>
        </w:rPr>
        <w:t>万吨</w:t>
      </w:r>
      <w:r>
        <w:rPr>
          <w:rFonts w:hint="default"/>
        </w:rPr>
        <w:t>/</w:t>
      </w:r>
      <w:r>
        <w:rPr>
          <w:rFonts w:hint="eastAsia"/>
        </w:rPr>
        <w:t>年，消纳</w:t>
      </w:r>
      <w:r>
        <w:rPr>
          <w:rFonts w:hint="eastAsia"/>
          <w:lang w:val="en-US" w:eastAsia="zh-CN"/>
        </w:rPr>
        <w:t>处理25.65</w:t>
      </w:r>
      <w:r>
        <w:rPr>
          <w:rFonts w:hint="eastAsia"/>
        </w:rPr>
        <w:t>万吨</w:t>
      </w:r>
      <w:r>
        <w:rPr>
          <w:rFonts w:hint="default"/>
        </w:rPr>
        <w:t>/</w:t>
      </w:r>
      <w:r>
        <w:rPr>
          <w:rFonts w:hint="eastAsia"/>
        </w:rPr>
        <w:t>年；</w:t>
      </w:r>
      <w:r>
        <w:rPr>
          <w:rFonts w:hint="default"/>
        </w:rPr>
        <w:t>2035</w:t>
      </w:r>
      <w:r>
        <w:rPr>
          <w:rFonts w:hint="eastAsia"/>
        </w:rPr>
        <w:t>年</w:t>
      </w:r>
      <w:r>
        <w:rPr>
          <w:rFonts w:hint="eastAsia"/>
          <w:lang w:val="en-US" w:eastAsia="zh-CN"/>
        </w:rPr>
        <w:t>桃江</w:t>
      </w:r>
      <w:r>
        <w:rPr>
          <w:rFonts w:hint="eastAsia"/>
        </w:rPr>
        <w:t>县建筑垃圾量达</w:t>
      </w:r>
      <w:r>
        <w:rPr>
          <w:rFonts w:hint="eastAsia"/>
          <w:lang w:val="en-US" w:eastAsia="zh-CN"/>
        </w:rPr>
        <w:t>57.77</w:t>
      </w:r>
      <w:r>
        <w:rPr>
          <w:rFonts w:hint="eastAsia"/>
        </w:rPr>
        <w:t>万吨</w:t>
      </w:r>
      <w:r>
        <w:rPr>
          <w:rFonts w:hint="default"/>
        </w:rPr>
        <w:t>/</w:t>
      </w:r>
      <w:r>
        <w:rPr>
          <w:rFonts w:hint="eastAsia"/>
        </w:rPr>
        <w:t>年，</w:t>
      </w:r>
      <w:r>
        <w:rPr>
          <w:rFonts w:hint="eastAsia"/>
          <w:lang w:val="en-US" w:eastAsia="zh-CN"/>
        </w:rPr>
        <w:t>资源化利用量达</w:t>
      </w:r>
      <w:r>
        <w:rPr>
          <w:rFonts w:hint="eastAsia"/>
        </w:rPr>
        <w:t>到</w:t>
      </w:r>
      <w:r>
        <w:rPr>
          <w:rFonts w:hint="eastAsia"/>
          <w:lang w:val="en-US" w:eastAsia="zh-CN"/>
        </w:rPr>
        <w:t>54.88</w:t>
      </w:r>
      <w:r>
        <w:rPr>
          <w:rFonts w:hint="eastAsia"/>
        </w:rPr>
        <w:t>万吨</w:t>
      </w:r>
      <w:r>
        <w:rPr>
          <w:rFonts w:hint="default"/>
        </w:rPr>
        <w:t>/</w:t>
      </w:r>
      <w:r>
        <w:rPr>
          <w:rFonts w:hint="eastAsia"/>
        </w:rPr>
        <w:t>年，</w:t>
      </w:r>
      <w:r>
        <w:rPr>
          <w:rFonts w:hint="eastAsia"/>
          <w:lang w:val="en-US" w:eastAsia="zh-CN"/>
        </w:rPr>
        <w:t>消耗处理2.89</w:t>
      </w:r>
      <w:r>
        <w:rPr>
          <w:rFonts w:hint="eastAsia"/>
        </w:rPr>
        <w:t>万吨</w:t>
      </w:r>
      <w:r>
        <w:rPr>
          <w:rFonts w:hint="default"/>
        </w:rPr>
        <w:t>/</w:t>
      </w:r>
      <w:r>
        <w:rPr>
          <w:rFonts w:hint="eastAsia"/>
        </w:rPr>
        <w:t>年。</w:t>
      </w:r>
      <w:bookmarkEnd w:id="131"/>
    </w:p>
    <w:bookmarkEnd w:id="130"/>
    <w:p w14:paraId="6E14519F">
      <w:pPr>
        <w:pStyle w:val="4"/>
        <w:bidi w:val="0"/>
        <w:rPr>
          <w:rFonts w:hint="eastAsia"/>
          <w:lang w:val="en-US" w:eastAsia="zh-CN"/>
        </w:rPr>
      </w:pPr>
      <w:r>
        <w:rPr>
          <w:rFonts w:hint="eastAsia"/>
          <w:lang w:val="en-US" w:eastAsia="zh-CN"/>
        </w:rPr>
        <w:t>5、</w:t>
      </w:r>
      <w:bookmarkStart w:id="134" w:name="OLE_LINK30"/>
      <w:r>
        <w:rPr>
          <w:rFonts w:hint="eastAsia"/>
          <w:lang w:val="en-US" w:eastAsia="zh-CN"/>
        </w:rPr>
        <w:t>全程管控</w:t>
      </w:r>
      <w:bookmarkEnd w:id="134"/>
    </w:p>
    <w:p w14:paraId="40D86074">
      <w:pPr>
        <w:bidi w:val="0"/>
        <w:rPr>
          <w:rFonts w:hint="eastAsia"/>
          <w:lang w:eastAsia="zh-CN"/>
        </w:rPr>
      </w:pPr>
      <w:r>
        <w:rPr>
          <w:rFonts w:hint="eastAsia"/>
          <w:lang w:val="en-US" w:eastAsia="zh-CN"/>
        </w:rPr>
        <w:t>建立</w:t>
      </w:r>
      <w:r>
        <w:rPr>
          <w:rFonts w:hint="eastAsia"/>
        </w:rPr>
        <w:t>“进场管控—过程监管—封场修复”的全生命周期管理体系，</w:t>
      </w:r>
      <w:r>
        <w:rPr>
          <w:lang w:eastAsia="zh-CN"/>
        </w:rPr>
        <w:t>着力建设建筑垃圾全过程环境保护与安全卫生管控机制，形成建筑垃圾源头、运输、终端全过程闭环管理</w:t>
      </w:r>
      <w:r>
        <w:rPr>
          <w:rFonts w:hint="eastAsia"/>
          <w:lang w:eastAsia="zh-CN"/>
        </w:rPr>
        <w:t>，</w:t>
      </w:r>
      <w:r>
        <w:rPr>
          <w:lang w:eastAsia="zh-CN"/>
        </w:rPr>
        <w:t>建立数字化综合监管服务体系。</w:t>
      </w:r>
      <w:r>
        <w:rPr>
          <w:rFonts w:hint="eastAsia"/>
          <w:lang w:val="en-US" w:eastAsia="zh-CN"/>
        </w:rPr>
        <w:t>各单位各司其职、协同联动，共同筑牢建筑垃圾源头管控防线，确保管控责任落实到位。</w:t>
      </w:r>
    </w:p>
    <w:p w14:paraId="32FA77C6">
      <w:pPr>
        <w:pStyle w:val="3"/>
        <w:bidi w:val="0"/>
        <w:rPr>
          <w:rFonts w:hint="eastAsia" w:ascii="楷体" w:hAnsi="楷体" w:eastAsia="楷体" w:cs="楷体"/>
          <w:sz w:val="28"/>
          <w:szCs w:val="28"/>
          <w:lang w:val="en-US" w:eastAsia="en-US"/>
        </w:rPr>
      </w:pPr>
      <w:bookmarkStart w:id="135" w:name="_Toc22274"/>
      <w:r>
        <w:rPr>
          <w:rFonts w:hint="eastAsia" w:ascii="楷体" w:hAnsi="楷体" w:eastAsia="楷体" w:cs="楷体"/>
          <w:sz w:val="28"/>
          <w:szCs w:val="28"/>
          <w:lang w:val="en-US" w:eastAsia="en-US"/>
        </w:rPr>
        <w:t>（二）目标任务</w:t>
      </w:r>
      <w:bookmarkEnd w:id="135"/>
    </w:p>
    <w:p w14:paraId="1E203061">
      <w:pPr>
        <w:bidi w:val="0"/>
        <w:rPr>
          <w:lang w:eastAsia="zh-CN"/>
        </w:rPr>
      </w:pPr>
      <w:r>
        <w:rPr>
          <w:lang w:eastAsia="zh-CN"/>
        </w:rPr>
        <w:t>逐步建立</w:t>
      </w:r>
      <w:r>
        <w:rPr>
          <w:rFonts w:hint="eastAsia"/>
          <w:lang w:val="en-US" w:eastAsia="zh-CN"/>
        </w:rPr>
        <w:t>县</w:t>
      </w:r>
      <w:r>
        <w:rPr>
          <w:lang w:eastAsia="zh-CN"/>
        </w:rPr>
        <w:t>域统筹、布局合理、技术先进、资源得到有效利用的建筑垃圾处理系统；加快构建规范有序、安全卫生、全程可控的建筑垃圾收运系统；促进形成链条完整、环境友好、良性发展的建筑垃圾产业体系。着力建设建筑垃圾全过程环境保护与安全卫生管控机制，建立数字化综合监管服务体系；基本形成建筑垃圾源头、运输、终端全过程闭环管理，建立建筑垃圾分类处理制度，建立完善建筑垃圾治理模式。</w:t>
      </w:r>
    </w:p>
    <w:p w14:paraId="6B7DAAA4">
      <w:pPr>
        <w:bidi w:val="0"/>
        <w:rPr>
          <w:lang w:eastAsia="zh-CN"/>
        </w:rPr>
      </w:pPr>
      <w:bookmarkStart w:id="136" w:name="OLE_LINK83"/>
      <w:r>
        <w:rPr>
          <w:lang w:eastAsia="zh-CN"/>
        </w:rPr>
        <w:t>通过科学规划和系统建设，最终建立科学合理的</w:t>
      </w:r>
      <w:r>
        <w:rPr>
          <w:rFonts w:hint="eastAsia"/>
          <w:lang w:val="en-US" w:eastAsia="zh-CN"/>
        </w:rPr>
        <w:t>桃江县</w:t>
      </w:r>
      <w:r>
        <w:rPr>
          <w:lang w:eastAsia="zh-CN"/>
        </w:rPr>
        <w:t>建筑垃圾治理体系，实现</w:t>
      </w:r>
      <w:bookmarkStart w:id="137" w:name="OLE_LINK32"/>
      <w:r>
        <w:rPr>
          <w:rFonts w:hint="eastAsia"/>
          <w:lang w:val="en-US" w:eastAsia="zh-CN"/>
        </w:rPr>
        <w:t>桃江</w:t>
      </w:r>
      <w:bookmarkEnd w:id="137"/>
      <w:r>
        <w:rPr>
          <w:rFonts w:hint="eastAsia"/>
          <w:lang w:val="en-US" w:eastAsia="zh-CN"/>
        </w:rPr>
        <w:t>县</w:t>
      </w:r>
      <w:r>
        <w:rPr>
          <w:lang w:eastAsia="zh-CN"/>
        </w:rPr>
        <w:t>建筑垃圾的综合利用和科学处置，大幅提升</w:t>
      </w:r>
      <w:r>
        <w:rPr>
          <w:rFonts w:hint="eastAsia"/>
          <w:lang w:val="en-US" w:eastAsia="zh-CN"/>
        </w:rPr>
        <w:t>桃江县</w:t>
      </w:r>
      <w:r>
        <w:rPr>
          <w:lang w:eastAsia="zh-CN"/>
        </w:rPr>
        <w:t>建筑垃圾资源化利用和安全处置水平，</w:t>
      </w:r>
      <w:r>
        <w:rPr>
          <w:rFonts w:hint="eastAsia"/>
          <w:lang w:val="en-US" w:eastAsia="zh-CN"/>
        </w:rPr>
        <w:t>实现建筑垃圾处置减量化、资源化、无害化目标，</w:t>
      </w:r>
      <w:r>
        <w:rPr>
          <w:lang w:eastAsia="zh-CN"/>
        </w:rPr>
        <w:t>促进城市发展质量全面提升，力争实现</w:t>
      </w:r>
      <w:r>
        <w:rPr>
          <w:rFonts w:hint="eastAsia"/>
          <w:lang w:eastAsia="zh-CN"/>
        </w:rPr>
        <w:t>“</w:t>
      </w:r>
      <w:r>
        <w:rPr>
          <w:lang w:eastAsia="zh-CN"/>
        </w:rPr>
        <w:t>无废城市</w:t>
      </w:r>
      <w:r>
        <w:rPr>
          <w:rFonts w:hint="eastAsia"/>
          <w:lang w:eastAsia="zh-CN"/>
        </w:rPr>
        <w:t>”</w:t>
      </w:r>
      <w:r>
        <w:rPr>
          <w:lang w:eastAsia="zh-CN"/>
        </w:rPr>
        <w:t>目标。</w:t>
      </w:r>
    </w:p>
    <w:bookmarkEnd w:id="136"/>
    <w:p w14:paraId="05D6561E">
      <w:pPr>
        <w:pStyle w:val="4"/>
        <w:bidi w:val="0"/>
        <w:rPr>
          <w:lang w:eastAsia="en-US"/>
        </w:rPr>
      </w:pPr>
      <w:r>
        <w:rPr>
          <w:lang w:eastAsia="en-US"/>
        </w:rPr>
        <w:t>1、近期目标（2025-2030年）</w:t>
      </w:r>
    </w:p>
    <w:p w14:paraId="4FDBE8A5">
      <w:pPr>
        <w:bidi w:val="0"/>
        <w:rPr>
          <w:rFonts w:hint="default"/>
          <w:lang w:val="en-US" w:eastAsia="zh-CN"/>
        </w:rPr>
      </w:pPr>
      <w:r>
        <w:rPr>
          <w:rFonts w:hint="eastAsia"/>
          <w:lang w:val="en-US" w:eastAsia="zh-CN"/>
        </w:rPr>
        <w:t>全面建成城镇建筑垃圾处置设施，实现建筑垃圾产消基本平衡，加强源头分类、控源减量，建设符合城镇建设发展的建筑垃圾分类收运、规范处置、监管闭环的全过程监管制度体系。</w:t>
      </w:r>
    </w:p>
    <w:p w14:paraId="24AF9D8C">
      <w:pPr>
        <w:pStyle w:val="4"/>
        <w:bidi w:val="0"/>
        <w:rPr>
          <w:lang w:eastAsia="en-US"/>
        </w:rPr>
      </w:pPr>
      <w:bookmarkStart w:id="138" w:name="bookmark151"/>
      <w:bookmarkEnd w:id="138"/>
      <w:r>
        <w:rPr>
          <w:lang w:eastAsia="en-US"/>
        </w:rPr>
        <w:t>2、远期目标（2031-2035年）</w:t>
      </w:r>
    </w:p>
    <w:p w14:paraId="26D4375C">
      <w:pPr>
        <w:bidi w:val="0"/>
        <w:rPr>
          <w:rFonts w:hint="eastAsia"/>
          <w:lang w:val="en-US" w:eastAsia="zh-CN"/>
        </w:rPr>
      </w:pPr>
      <w:r>
        <w:rPr>
          <w:rFonts w:hint="eastAsia"/>
          <w:lang w:val="en-US" w:eastAsia="zh-CN"/>
        </w:rPr>
        <w:t>建立与城镇发展相协调的建筑垃圾处理系统，设施处理能力满足建筑垃圾产量和资源化利用的需求，再生产品得到充分利用，建筑垃圾循环利用体系加快构建，建筑垃圾产生、收集、贮存、运输、利用、处置全过程管理体系全面形成，建筑垃圾减量化、资源化、无害化水平显著提升。</w:t>
      </w:r>
    </w:p>
    <w:p w14:paraId="2141F300">
      <w:pPr>
        <w:bidi w:val="0"/>
        <w:ind w:left="0" w:leftChars="0" w:firstLine="0" w:firstLineChars="0"/>
        <w:jc w:val="center"/>
        <w:rPr>
          <w:b/>
          <w:bCs/>
          <w:lang w:eastAsia="en-US"/>
        </w:rPr>
      </w:pPr>
      <w:r>
        <w:rPr>
          <w:b/>
          <w:bCs/>
          <w:lang w:eastAsia="en-US"/>
        </w:rPr>
        <w:t xml:space="preserve">表5-1 </w:t>
      </w:r>
      <w:r>
        <w:rPr>
          <w:rFonts w:hint="eastAsia"/>
          <w:b/>
          <w:bCs/>
          <w:lang w:val="en-US" w:eastAsia="zh-CN"/>
        </w:rPr>
        <w:t>桃江县</w:t>
      </w:r>
      <w:r>
        <w:rPr>
          <w:b/>
          <w:bCs/>
          <w:lang w:eastAsia="en-US"/>
        </w:rPr>
        <w:t>建筑垃圾处理控制指标表</w:t>
      </w:r>
    </w:p>
    <w:p w14:paraId="18BDC915">
      <w:pPr>
        <w:widowControl/>
        <w:kinsoku w:val="0"/>
        <w:autoSpaceDE w:val="0"/>
        <w:autoSpaceDN w:val="0"/>
        <w:adjustRightInd w:val="0"/>
        <w:snapToGrid w:val="0"/>
        <w:spacing w:line="92" w:lineRule="exact"/>
        <w:ind w:firstLine="0" w:firstLineChars="0"/>
        <w:jc w:val="left"/>
        <w:textAlignment w:val="baseline"/>
        <w:rPr>
          <w:rFonts w:ascii="Arial" w:hAnsi="Arial" w:eastAsia="Arial" w:cs="Arial"/>
          <w:snapToGrid w:val="0"/>
          <w:color w:val="000000"/>
          <w:kern w:val="0"/>
          <w:sz w:val="21"/>
          <w:szCs w:val="21"/>
          <w:lang w:eastAsia="en-US"/>
        </w:rPr>
      </w:pPr>
    </w:p>
    <w:tbl>
      <w:tblPr>
        <w:tblStyle w:val="25"/>
        <w:tblW w:w="8880" w:type="dxa"/>
        <w:tblInd w:w="-3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5"/>
        <w:gridCol w:w="5595"/>
        <w:gridCol w:w="1215"/>
        <w:gridCol w:w="1155"/>
      </w:tblGrid>
      <w:tr w14:paraId="447D7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7" w:hRule="atLeast"/>
        </w:trPr>
        <w:tc>
          <w:tcPr>
            <w:tcW w:w="915" w:type="dxa"/>
            <w:vAlign w:val="top"/>
          </w:tcPr>
          <w:p w14:paraId="33FA1A8A">
            <w:pPr>
              <w:kinsoku w:val="0"/>
              <w:autoSpaceDE w:val="0"/>
              <w:autoSpaceDN w:val="0"/>
              <w:adjustRightInd w:val="0"/>
              <w:snapToGrid w:val="0"/>
              <w:spacing w:before="139" w:line="289" w:lineRule="auto"/>
              <w:ind w:left="0" w:leftChars="0" w:right="185"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2"/>
                <w:kern w:val="0"/>
                <w:sz w:val="24"/>
                <w:szCs w:val="24"/>
                <w:lang w:val="en-US" w:eastAsia="en-US" w:bidi="ar-SA"/>
              </w:rPr>
              <w:t>指标</w:t>
            </w:r>
            <w:r>
              <w:rPr>
                <w:rFonts w:hint="eastAsia" w:ascii="仿宋" w:hAnsi="仿宋" w:eastAsia="仿宋" w:cs="仿宋"/>
                <w:b/>
                <w:bCs/>
                <w:snapToGrid w:val="0"/>
                <w:color w:val="000000"/>
                <w:spacing w:val="3"/>
                <w:kern w:val="0"/>
                <w:sz w:val="24"/>
                <w:szCs w:val="24"/>
                <w:lang w:val="en-US" w:eastAsia="en-US" w:bidi="ar-SA"/>
              </w:rPr>
              <w:t>类别</w:t>
            </w:r>
          </w:p>
        </w:tc>
        <w:tc>
          <w:tcPr>
            <w:tcW w:w="5595" w:type="dxa"/>
            <w:vAlign w:val="top"/>
          </w:tcPr>
          <w:p w14:paraId="0F6E8AD7">
            <w:pPr>
              <w:kinsoku w:val="0"/>
              <w:autoSpaceDE w:val="0"/>
              <w:autoSpaceDN w:val="0"/>
              <w:adjustRightInd w:val="0"/>
              <w:snapToGrid w:val="0"/>
              <w:spacing w:before="294" w:line="228" w:lineRule="auto"/>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5"/>
                <w:kern w:val="0"/>
                <w:sz w:val="24"/>
                <w:szCs w:val="24"/>
                <w:lang w:val="en-US" w:eastAsia="en-US" w:bidi="ar-SA"/>
              </w:rPr>
              <w:t>指标内容</w:t>
            </w:r>
          </w:p>
        </w:tc>
        <w:tc>
          <w:tcPr>
            <w:tcW w:w="1215" w:type="dxa"/>
            <w:vAlign w:val="top"/>
          </w:tcPr>
          <w:p w14:paraId="1F577307">
            <w:pPr>
              <w:kinsoku w:val="0"/>
              <w:autoSpaceDE w:val="0"/>
              <w:autoSpaceDN w:val="0"/>
              <w:adjustRightInd w:val="0"/>
              <w:snapToGrid w:val="0"/>
              <w:spacing w:before="139" w:line="228" w:lineRule="auto"/>
              <w:ind w:left="0" w:leftChars="0" w:firstLine="0" w:firstLineChars="0"/>
              <w:jc w:val="both"/>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6"/>
                <w:kern w:val="0"/>
                <w:sz w:val="24"/>
                <w:szCs w:val="24"/>
                <w:lang w:val="en-US" w:eastAsia="en-US" w:bidi="ar-SA"/>
              </w:rPr>
              <w:t>近期指标</w:t>
            </w:r>
            <w:r>
              <w:rPr>
                <w:rFonts w:hint="eastAsia" w:ascii="仿宋" w:hAnsi="仿宋" w:eastAsia="仿宋" w:cs="仿宋"/>
                <w:b/>
                <w:bCs/>
                <w:snapToGrid w:val="0"/>
                <w:color w:val="000000"/>
                <w:spacing w:val="-1"/>
                <w:kern w:val="0"/>
                <w:sz w:val="24"/>
                <w:szCs w:val="24"/>
                <w:lang w:val="en-US" w:eastAsia="en-US" w:bidi="ar-SA"/>
              </w:rPr>
              <w:t>（2030</w:t>
            </w:r>
            <w:r>
              <w:rPr>
                <w:rFonts w:hint="eastAsia" w:ascii="仿宋" w:hAnsi="仿宋" w:eastAsia="仿宋" w:cs="仿宋"/>
                <w:snapToGrid w:val="0"/>
                <w:color w:val="000000"/>
                <w:spacing w:val="-34"/>
                <w:kern w:val="0"/>
                <w:sz w:val="24"/>
                <w:szCs w:val="24"/>
                <w:lang w:val="en-US" w:eastAsia="en-US" w:bidi="ar-SA"/>
              </w:rPr>
              <w:t xml:space="preserve"> </w:t>
            </w:r>
            <w:r>
              <w:rPr>
                <w:rFonts w:hint="eastAsia" w:ascii="仿宋" w:hAnsi="仿宋" w:eastAsia="仿宋" w:cs="仿宋"/>
                <w:b/>
                <w:bCs/>
                <w:snapToGrid w:val="0"/>
                <w:color w:val="000000"/>
                <w:spacing w:val="-1"/>
                <w:kern w:val="0"/>
                <w:sz w:val="24"/>
                <w:szCs w:val="24"/>
                <w:lang w:val="en-US" w:eastAsia="en-US" w:bidi="ar-SA"/>
              </w:rPr>
              <w:t>年）</w:t>
            </w:r>
          </w:p>
        </w:tc>
        <w:tc>
          <w:tcPr>
            <w:tcW w:w="1155" w:type="dxa"/>
            <w:vAlign w:val="top"/>
          </w:tcPr>
          <w:p w14:paraId="13EA2DAE">
            <w:pPr>
              <w:kinsoku w:val="0"/>
              <w:autoSpaceDE w:val="0"/>
              <w:autoSpaceDN w:val="0"/>
              <w:adjustRightInd w:val="0"/>
              <w:snapToGrid w:val="0"/>
              <w:spacing w:before="139" w:line="228" w:lineRule="auto"/>
              <w:ind w:left="0" w:leftChars="0" w:firstLine="0" w:firstLineChars="0"/>
              <w:jc w:val="both"/>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6"/>
                <w:kern w:val="0"/>
                <w:sz w:val="24"/>
                <w:szCs w:val="24"/>
                <w:lang w:val="en-US" w:eastAsia="en-US" w:bidi="ar-SA"/>
              </w:rPr>
              <w:t>远期指标</w:t>
            </w:r>
            <w:r>
              <w:rPr>
                <w:rFonts w:hint="eastAsia" w:ascii="仿宋" w:hAnsi="仿宋" w:eastAsia="仿宋" w:cs="仿宋"/>
                <w:b/>
                <w:bCs/>
                <w:snapToGrid w:val="0"/>
                <w:color w:val="000000"/>
                <w:kern w:val="0"/>
                <w:sz w:val="24"/>
                <w:szCs w:val="24"/>
                <w:lang w:val="en-US" w:eastAsia="en-US" w:bidi="ar-SA"/>
              </w:rPr>
              <w:t>（2035</w:t>
            </w:r>
            <w:r>
              <w:rPr>
                <w:rFonts w:hint="eastAsia" w:ascii="仿宋" w:hAnsi="仿宋" w:eastAsia="仿宋" w:cs="仿宋"/>
                <w:snapToGrid w:val="0"/>
                <w:color w:val="000000"/>
                <w:spacing w:val="-39"/>
                <w:kern w:val="0"/>
                <w:sz w:val="24"/>
                <w:szCs w:val="24"/>
                <w:lang w:val="en-US" w:eastAsia="en-US" w:bidi="ar-SA"/>
              </w:rPr>
              <w:t xml:space="preserve"> </w:t>
            </w:r>
            <w:r>
              <w:rPr>
                <w:rFonts w:hint="eastAsia" w:ascii="仿宋" w:hAnsi="仿宋" w:eastAsia="仿宋" w:cs="仿宋"/>
                <w:b/>
                <w:bCs/>
                <w:snapToGrid w:val="0"/>
                <w:color w:val="000000"/>
                <w:kern w:val="0"/>
                <w:sz w:val="24"/>
                <w:szCs w:val="24"/>
                <w:lang w:val="en-US" w:eastAsia="en-US" w:bidi="ar-SA"/>
              </w:rPr>
              <w:t>年）</w:t>
            </w:r>
          </w:p>
        </w:tc>
      </w:tr>
      <w:tr w14:paraId="6C8AB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915" w:type="dxa"/>
            <w:vMerge w:val="restart"/>
            <w:tcBorders>
              <w:bottom w:val="nil"/>
            </w:tcBorders>
            <w:textDirection w:val="tbRlV"/>
            <w:vAlign w:val="top"/>
          </w:tcPr>
          <w:p w14:paraId="40C6FC0A">
            <w:pPr>
              <w:kinsoku w:val="0"/>
              <w:autoSpaceDE w:val="0"/>
              <w:autoSpaceDN w:val="0"/>
              <w:adjustRightInd w:val="0"/>
              <w:snapToGrid w:val="0"/>
              <w:spacing w:before="291" w:line="217" w:lineRule="auto"/>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6"/>
                <w:kern w:val="0"/>
                <w:sz w:val="24"/>
                <w:szCs w:val="24"/>
                <w:lang w:val="en-US" w:eastAsia="en-US" w:bidi="ar-SA"/>
              </w:rPr>
              <w:t>减 量 化</w:t>
            </w:r>
          </w:p>
        </w:tc>
        <w:tc>
          <w:tcPr>
            <w:tcW w:w="5595" w:type="dxa"/>
            <w:vAlign w:val="top"/>
          </w:tcPr>
          <w:p w14:paraId="64A92A36">
            <w:pPr>
              <w:kinsoku w:val="0"/>
              <w:autoSpaceDE w:val="0"/>
              <w:autoSpaceDN w:val="0"/>
              <w:adjustRightInd w:val="0"/>
              <w:snapToGrid w:val="0"/>
              <w:spacing w:before="161" w:line="281" w:lineRule="auto"/>
              <w:ind w:left="0" w:leftChars="0" w:right="106"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8"/>
                <w:kern w:val="0"/>
                <w:sz w:val="24"/>
                <w:szCs w:val="24"/>
                <w:lang w:val="en-US" w:eastAsia="en-US" w:bidi="ar-SA"/>
              </w:rPr>
              <w:t>新建建筑施工现场建筑垃圾排放量（不包</w:t>
            </w:r>
            <w:r>
              <w:rPr>
                <w:rFonts w:hint="eastAsia" w:ascii="仿宋" w:hAnsi="仿宋" w:eastAsia="仿宋" w:cs="仿宋"/>
                <w:snapToGrid w:val="0"/>
                <w:color w:val="000000"/>
                <w:spacing w:val="9"/>
                <w:kern w:val="0"/>
                <w:sz w:val="24"/>
                <w:szCs w:val="24"/>
                <w:lang w:val="en-US" w:eastAsia="en-US" w:bidi="ar-SA"/>
              </w:rPr>
              <w:t>括工程渣土、工程泥浆</w:t>
            </w:r>
            <w:r>
              <w:rPr>
                <w:rFonts w:hint="eastAsia" w:ascii="仿宋" w:hAnsi="仿宋" w:eastAsia="仿宋" w:cs="仿宋"/>
                <w:snapToGrid w:val="0"/>
                <w:color w:val="000000"/>
                <w:spacing w:val="-5"/>
                <w:kern w:val="0"/>
                <w:sz w:val="24"/>
                <w:szCs w:val="24"/>
                <w:lang w:val="en-US" w:eastAsia="en-US" w:bidi="ar-SA"/>
              </w:rPr>
              <w:t>）（</w:t>
            </w:r>
            <w:r>
              <w:rPr>
                <w:rFonts w:hint="eastAsia" w:ascii="仿宋" w:hAnsi="仿宋" w:eastAsia="仿宋" w:cs="仿宋"/>
                <w:snapToGrid w:val="0"/>
                <w:color w:val="000000"/>
                <w:spacing w:val="9"/>
                <w:kern w:val="0"/>
                <w:sz w:val="24"/>
                <w:szCs w:val="24"/>
                <w:lang w:val="en-US" w:eastAsia="en-US" w:bidi="ar-SA"/>
              </w:rPr>
              <w:t>t/万</w:t>
            </w:r>
            <w:r>
              <w:rPr>
                <w:rFonts w:hint="eastAsia" w:ascii="仿宋" w:hAnsi="仿宋" w:eastAsia="仿宋" w:cs="仿宋"/>
                <w:snapToGrid w:val="0"/>
                <w:color w:val="000000"/>
                <w:spacing w:val="-45"/>
                <w:kern w:val="0"/>
                <w:sz w:val="24"/>
                <w:szCs w:val="24"/>
                <w:lang w:val="en-US" w:eastAsia="en-US" w:bidi="ar-SA"/>
              </w:rPr>
              <w:t xml:space="preserve"> </w:t>
            </w:r>
            <w:r>
              <w:rPr>
                <w:rFonts w:hint="eastAsia" w:ascii="仿宋" w:hAnsi="仿宋" w:eastAsia="仿宋" w:cs="仿宋"/>
                <w:snapToGrid w:val="0"/>
                <w:color w:val="000000"/>
                <w:spacing w:val="9"/>
                <w:kern w:val="0"/>
                <w:sz w:val="24"/>
                <w:szCs w:val="24"/>
                <w:lang w:val="en-US" w:eastAsia="en-US" w:bidi="ar-SA"/>
              </w:rPr>
              <w:t>m</w:t>
            </w:r>
            <w:r>
              <w:rPr>
                <w:rFonts w:hint="eastAsia" w:ascii="仿宋" w:hAnsi="仿宋" w:eastAsia="仿宋" w:cs="仿宋"/>
                <w:snapToGrid w:val="0"/>
                <w:color w:val="000000"/>
                <w:spacing w:val="9"/>
                <w:kern w:val="0"/>
                <w:position w:val="10"/>
                <w:sz w:val="24"/>
                <w:szCs w:val="24"/>
                <w:lang w:val="en-US" w:eastAsia="en-US" w:bidi="ar-SA"/>
              </w:rPr>
              <w:t>2</w:t>
            </w:r>
            <w:r>
              <w:rPr>
                <w:rFonts w:hint="eastAsia" w:ascii="仿宋" w:hAnsi="仿宋" w:eastAsia="仿宋" w:cs="仿宋"/>
                <w:snapToGrid w:val="0"/>
                <w:color w:val="000000"/>
                <w:spacing w:val="9"/>
                <w:kern w:val="0"/>
                <w:sz w:val="24"/>
                <w:szCs w:val="24"/>
                <w:lang w:val="en-US" w:eastAsia="en-US" w:bidi="ar-SA"/>
              </w:rPr>
              <w:t>）</w:t>
            </w:r>
          </w:p>
        </w:tc>
        <w:tc>
          <w:tcPr>
            <w:tcW w:w="1215" w:type="dxa"/>
            <w:vAlign w:val="top"/>
          </w:tcPr>
          <w:p w14:paraId="55EAEE59">
            <w:pPr>
              <w:widowControl/>
              <w:kinsoku w:val="0"/>
              <w:autoSpaceDE w:val="0"/>
              <w:autoSpaceDN w:val="0"/>
              <w:adjustRightInd w:val="0"/>
              <w:snapToGrid w:val="0"/>
              <w:spacing w:line="251"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041B77B5">
            <w:pPr>
              <w:kinsoku w:val="0"/>
              <w:autoSpaceDE w:val="0"/>
              <w:autoSpaceDN w:val="0"/>
              <w:adjustRightInd w:val="0"/>
              <w:snapToGrid w:val="0"/>
              <w:spacing w:before="65" w:line="265"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position w:val="1"/>
                <w:sz w:val="24"/>
                <w:szCs w:val="24"/>
                <w:lang w:val="en-US" w:eastAsia="en-US" w:bidi="ar-SA"/>
              </w:rPr>
              <w:t>≤300</w:t>
            </w:r>
          </w:p>
        </w:tc>
        <w:tc>
          <w:tcPr>
            <w:tcW w:w="1155" w:type="dxa"/>
            <w:vAlign w:val="top"/>
          </w:tcPr>
          <w:p w14:paraId="70FB469F">
            <w:pPr>
              <w:widowControl/>
              <w:kinsoku w:val="0"/>
              <w:autoSpaceDE w:val="0"/>
              <w:autoSpaceDN w:val="0"/>
              <w:adjustRightInd w:val="0"/>
              <w:snapToGrid w:val="0"/>
              <w:spacing w:line="251"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499BAFB5">
            <w:pPr>
              <w:kinsoku w:val="0"/>
              <w:autoSpaceDE w:val="0"/>
              <w:autoSpaceDN w:val="0"/>
              <w:adjustRightInd w:val="0"/>
              <w:snapToGrid w:val="0"/>
              <w:spacing w:before="65" w:line="265"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position w:val="1"/>
                <w:sz w:val="24"/>
                <w:szCs w:val="24"/>
                <w:lang w:val="en-US" w:eastAsia="en-US" w:bidi="ar-SA"/>
              </w:rPr>
              <w:t>≤2</w:t>
            </w:r>
            <w:r>
              <w:rPr>
                <w:rFonts w:hint="eastAsia" w:ascii="仿宋" w:hAnsi="仿宋" w:eastAsia="仿宋" w:cs="仿宋"/>
                <w:snapToGrid w:val="0"/>
                <w:color w:val="000000"/>
                <w:kern w:val="0"/>
                <w:position w:val="1"/>
                <w:sz w:val="24"/>
                <w:szCs w:val="24"/>
                <w:lang w:val="en-US" w:eastAsia="zh-CN" w:bidi="ar-SA"/>
              </w:rPr>
              <w:t>8</w:t>
            </w:r>
            <w:r>
              <w:rPr>
                <w:rFonts w:hint="eastAsia" w:ascii="仿宋" w:hAnsi="仿宋" w:eastAsia="仿宋" w:cs="仿宋"/>
                <w:snapToGrid w:val="0"/>
                <w:color w:val="000000"/>
                <w:kern w:val="0"/>
                <w:position w:val="1"/>
                <w:sz w:val="24"/>
                <w:szCs w:val="24"/>
                <w:lang w:val="en-US" w:eastAsia="en-US" w:bidi="ar-SA"/>
              </w:rPr>
              <w:t>0</w:t>
            </w:r>
          </w:p>
        </w:tc>
      </w:tr>
      <w:tr w14:paraId="37FFC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915" w:type="dxa"/>
            <w:vMerge w:val="continue"/>
            <w:tcBorders>
              <w:top w:val="nil"/>
            </w:tcBorders>
            <w:textDirection w:val="tbRlV"/>
            <w:vAlign w:val="top"/>
          </w:tcPr>
          <w:p w14:paraId="1F92D65D">
            <w:pPr>
              <w:widowControl/>
              <w:kinsoku w:val="0"/>
              <w:autoSpaceDE w:val="0"/>
              <w:autoSpaceDN w:val="0"/>
              <w:adjustRightInd w:val="0"/>
              <w:snapToGrid w:val="0"/>
              <w:spacing w:line="240" w:lineRule="auto"/>
              <w:ind w:firstLine="0" w:firstLineChars="0"/>
              <w:jc w:val="left"/>
              <w:textAlignment w:val="baseline"/>
              <w:rPr>
                <w:rFonts w:hint="eastAsia" w:ascii="仿宋" w:hAnsi="仿宋" w:eastAsia="仿宋" w:cs="仿宋"/>
                <w:snapToGrid w:val="0"/>
                <w:color w:val="000000"/>
                <w:kern w:val="0"/>
                <w:sz w:val="24"/>
                <w:szCs w:val="24"/>
                <w:lang w:eastAsia="en-US"/>
              </w:rPr>
            </w:pPr>
          </w:p>
        </w:tc>
        <w:tc>
          <w:tcPr>
            <w:tcW w:w="5595" w:type="dxa"/>
            <w:vAlign w:val="top"/>
          </w:tcPr>
          <w:p w14:paraId="3677A6FF">
            <w:pPr>
              <w:kinsoku w:val="0"/>
              <w:autoSpaceDE w:val="0"/>
              <w:autoSpaceDN w:val="0"/>
              <w:adjustRightInd w:val="0"/>
              <w:snapToGrid w:val="0"/>
              <w:spacing w:before="228" w:line="281" w:lineRule="auto"/>
              <w:ind w:left="0" w:leftChars="0" w:right="106"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9"/>
                <w:kern w:val="0"/>
                <w:sz w:val="24"/>
                <w:szCs w:val="24"/>
                <w:lang w:val="en-US" w:eastAsia="en-US" w:bidi="ar-SA"/>
              </w:rPr>
              <w:t>装配式建筑施工现场建筑垃圾排放量（不包含工程渣土、工程泥浆</w:t>
            </w:r>
            <w:r>
              <w:rPr>
                <w:rFonts w:hint="eastAsia" w:ascii="仿宋" w:hAnsi="仿宋" w:eastAsia="仿宋" w:cs="仿宋"/>
                <w:snapToGrid w:val="0"/>
                <w:color w:val="000000"/>
                <w:spacing w:val="-4"/>
                <w:kern w:val="0"/>
                <w:sz w:val="24"/>
                <w:szCs w:val="24"/>
                <w:lang w:val="en-US" w:eastAsia="en-US" w:bidi="ar-SA"/>
              </w:rPr>
              <w:t>）（</w:t>
            </w:r>
            <w:r>
              <w:rPr>
                <w:rFonts w:hint="eastAsia" w:ascii="仿宋" w:hAnsi="仿宋" w:eastAsia="仿宋" w:cs="仿宋"/>
                <w:snapToGrid w:val="0"/>
                <w:color w:val="000000"/>
                <w:spacing w:val="9"/>
                <w:kern w:val="0"/>
                <w:sz w:val="24"/>
                <w:szCs w:val="24"/>
                <w:lang w:val="en-US" w:eastAsia="en-US" w:bidi="ar-SA"/>
              </w:rPr>
              <w:t>t/万</w:t>
            </w:r>
            <w:r>
              <w:rPr>
                <w:rFonts w:hint="eastAsia" w:ascii="仿宋" w:hAnsi="仿宋" w:eastAsia="仿宋" w:cs="仿宋"/>
                <w:snapToGrid w:val="0"/>
                <w:color w:val="000000"/>
                <w:spacing w:val="-44"/>
                <w:kern w:val="0"/>
                <w:sz w:val="24"/>
                <w:szCs w:val="24"/>
                <w:lang w:val="en-US" w:eastAsia="en-US" w:bidi="ar-SA"/>
              </w:rPr>
              <w:t xml:space="preserve"> </w:t>
            </w:r>
            <w:r>
              <w:rPr>
                <w:rFonts w:hint="eastAsia" w:ascii="仿宋" w:hAnsi="仿宋" w:eastAsia="仿宋" w:cs="仿宋"/>
                <w:snapToGrid w:val="0"/>
                <w:color w:val="000000"/>
                <w:spacing w:val="9"/>
                <w:kern w:val="0"/>
                <w:sz w:val="24"/>
                <w:szCs w:val="24"/>
                <w:lang w:val="en-US" w:eastAsia="en-US" w:bidi="ar-SA"/>
              </w:rPr>
              <w:t>m</w:t>
            </w:r>
            <w:r>
              <w:rPr>
                <w:rFonts w:hint="eastAsia" w:ascii="仿宋" w:hAnsi="仿宋" w:eastAsia="仿宋" w:cs="仿宋"/>
                <w:snapToGrid w:val="0"/>
                <w:color w:val="000000"/>
                <w:spacing w:val="9"/>
                <w:kern w:val="0"/>
                <w:position w:val="10"/>
                <w:sz w:val="24"/>
                <w:szCs w:val="24"/>
                <w:vertAlign w:val="baseline"/>
                <w:lang w:val="en-US" w:eastAsia="en-US" w:bidi="ar-SA"/>
              </w:rPr>
              <w:t>2</w:t>
            </w:r>
            <w:r>
              <w:rPr>
                <w:rFonts w:hint="eastAsia" w:ascii="仿宋" w:hAnsi="仿宋" w:eastAsia="仿宋" w:cs="仿宋"/>
                <w:snapToGrid w:val="0"/>
                <w:color w:val="000000"/>
                <w:spacing w:val="9"/>
                <w:kern w:val="0"/>
                <w:sz w:val="24"/>
                <w:szCs w:val="24"/>
                <w:lang w:val="en-US" w:eastAsia="en-US" w:bidi="ar-SA"/>
              </w:rPr>
              <w:t>）</w:t>
            </w:r>
          </w:p>
        </w:tc>
        <w:tc>
          <w:tcPr>
            <w:tcW w:w="1215" w:type="dxa"/>
            <w:vAlign w:val="top"/>
          </w:tcPr>
          <w:p w14:paraId="35E4CF71">
            <w:pPr>
              <w:widowControl/>
              <w:kinsoku w:val="0"/>
              <w:autoSpaceDE w:val="0"/>
              <w:autoSpaceDN w:val="0"/>
              <w:adjustRightInd w:val="0"/>
              <w:snapToGrid w:val="0"/>
              <w:spacing w:line="318"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2FDA4D52">
            <w:pPr>
              <w:kinsoku w:val="0"/>
              <w:autoSpaceDE w:val="0"/>
              <w:autoSpaceDN w:val="0"/>
              <w:adjustRightInd w:val="0"/>
              <w:snapToGrid w:val="0"/>
              <w:spacing w:before="65" w:line="265"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position w:val="1"/>
                <w:sz w:val="24"/>
                <w:szCs w:val="24"/>
                <w:lang w:val="en-US" w:eastAsia="en-US" w:bidi="ar-SA"/>
              </w:rPr>
              <w:t>≤200</w:t>
            </w:r>
          </w:p>
        </w:tc>
        <w:tc>
          <w:tcPr>
            <w:tcW w:w="1155" w:type="dxa"/>
            <w:vAlign w:val="top"/>
          </w:tcPr>
          <w:p w14:paraId="48F934F1">
            <w:pPr>
              <w:widowControl/>
              <w:kinsoku w:val="0"/>
              <w:autoSpaceDE w:val="0"/>
              <w:autoSpaceDN w:val="0"/>
              <w:adjustRightInd w:val="0"/>
              <w:snapToGrid w:val="0"/>
              <w:spacing w:line="318"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4B56E217">
            <w:pPr>
              <w:kinsoku w:val="0"/>
              <w:autoSpaceDE w:val="0"/>
              <w:autoSpaceDN w:val="0"/>
              <w:adjustRightInd w:val="0"/>
              <w:snapToGrid w:val="0"/>
              <w:spacing w:before="65" w:line="265"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kern w:val="0"/>
                <w:position w:val="1"/>
                <w:sz w:val="24"/>
                <w:szCs w:val="24"/>
                <w:lang w:val="en-US" w:eastAsia="en-US" w:bidi="ar-SA"/>
              </w:rPr>
              <w:t>≤200</w:t>
            </w:r>
          </w:p>
        </w:tc>
      </w:tr>
      <w:tr w14:paraId="5A943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915" w:type="dxa"/>
            <w:textDirection w:val="tbRlV"/>
            <w:vAlign w:val="top"/>
          </w:tcPr>
          <w:p w14:paraId="4E03E1CA">
            <w:pPr>
              <w:kinsoku w:val="0"/>
              <w:autoSpaceDE w:val="0"/>
              <w:autoSpaceDN w:val="0"/>
              <w:adjustRightInd w:val="0"/>
              <w:snapToGrid w:val="0"/>
              <w:spacing w:before="290" w:line="218" w:lineRule="auto"/>
              <w:ind w:left="0"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6"/>
                <w:kern w:val="0"/>
                <w:sz w:val="24"/>
                <w:szCs w:val="24"/>
                <w:lang w:val="en-US" w:eastAsia="en-US" w:bidi="ar-SA"/>
              </w:rPr>
              <w:t>资 源 化</w:t>
            </w:r>
          </w:p>
        </w:tc>
        <w:tc>
          <w:tcPr>
            <w:tcW w:w="5595" w:type="dxa"/>
            <w:vAlign w:val="top"/>
          </w:tcPr>
          <w:p w14:paraId="35939ED2">
            <w:pPr>
              <w:widowControl/>
              <w:kinsoku w:val="0"/>
              <w:autoSpaceDE w:val="0"/>
              <w:autoSpaceDN w:val="0"/>
              <w:adjustRightInd w:val="0"/>
              <w:snapToGrid w:val="0"/>
              <w:spacing w:line="350"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771A7A38">
            <w:pPr>
              <w:kinsoku w:val="0"/>
              <w:autoSpaceDE w:val="0"/>
              <w:autoSpaceDN w:val="0"/>
              <w:adjustRightInd w:val="0"/>
              <w:snapToGrid w:val="0"/>
              <w:spacing w:before="65" w:line="228" w:lineRule="auto"/>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7"/>
                <w:kern w:val="0"/>
                <w:sz w:val="24"/>
                <w:szCs w:val="24"/>
                <w:lang w:val="en-US" w:eastAsia="en-US" w:bidi="ar-SA"/>
              </w:rPr>
              <w:t>建筑垃圾资源化利用率（%）</w:t>
            </w:r>
          </w:p>
        </w:tc>
        <w:tc>
          <w:tcPr>
            <w:tcW w:w="1215" w:type="dxa"/>
            <w:vAlign w:val="top"/>
          </w:tcPr>
          <w:p w14:paraId="68E874B4">
            <w:pPr>
              <w:widowControl/>
              <w:kinsoku w:val="0"/>
              <w:autoSpaceDE w:val="0"/>
              <w:autoSpaceDN w:val="0"/>
              <w:adjustRightInd w:val="0"/>
              <w:snapToGrid w:val="0"/>
              <w:spacing w:line="351"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69960DB9">
            <w:pPr>
              <w:kinsoku w:val="0"/>
              <w:autoSpaceDE w:val="0"/>
              <w:autoSpaceDN w:val="0"/>
              <w:adjustRightInd w:val="0"/>
              <w:snapToGrid w:val="0"/>
              <w:spacing w:before="65" w:line="268" w:lineRule="exact"/>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position w:val="1"/>
                <w:sz w:val="24"/>
                <w:szCs w:val="24"/>
                <w:lang w:val="en-US" w:eastAsia="zh-CN" w:bidi="ar-SA"/>
              </w:rPr>
              <w:t>65</w:t>
            </w:r>
          </w:p>
        </w:tc>
        <w:tc>
          <w:tcPr>
            <w:tcW w:w="1155" w:type="dxa"/>
            <w:vAlign w:val="top"/>
          </w:tcPr>
          <w:p w14:paraId="7FE08949">
            <w:pPr>
              <w:widowControl/>
              <w:kinsoku w:val="0"/>
              <w:autoSpaceDE w:val="0"/>
              <w:autoSpaceDN w:val="0"/>
              <w:adjustRightInd w:val="0"/>
              <w:snapToGrid w:val="0"/>
              <w:spacing w:line="351"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48F1870F">
            <w:pPr>
              <w:kinsoku w:val="0"/>
              <w:autoSpaceDE w:val="0"/>
              <w:autoSpaceDN w:val="0"/>
              <w:adjustRightInd w:val="0"/>
              <w:snapToGrid w:val="0"/>
              <w:spacing w:before="65" w:line="268" w:lineRule="exact"/>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kern w:val="0"/>
                <w:position w:val="1"/>
                <w:sz w:val="24"/>
                <w:szCs w:val="24"/>
                <w:lang w:val="en-US" w:eastAsia="zh-CN" w:bidi="ar-SA"/>
              </w:rPr>
              <w:t>80</w:t>
            </w:r>
          </w:p>
        </w:tc>
      </w:tr>
      <w:tr w14:paraId="60773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915" w:type="dxa"/>
            <w:vMerge w:val="restart"/>
            <w:tcBorders>
              <w:bottom w:val="nil"/>
            </w:tcBorders>
            <w:textDirection w:val="tbRlV"/>
            <w:vAlign w:val="top"/>
          </w:tcPr>
          <w:p w14:paraId="3209D970">
            <w:pPr>
              <w:kinsoku w:val="0"/>
              <w:autoSpaceDE w:val="0"/>
              <w:autoSpaceDN w:val="0"/>
              <w:adjustRightInd w:val="0"/>
              <w:snapToGrid w:val="0"/>
              <w:spacing w:before="290" w:line="216" w:lineRule="auto"/>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6"/>
                <w:kern w:val="0"/>
                <w:sz w:val="24"/>
                <w:szCs w:val="24"/>
                <w:lang w:val="en-US" w:eastAsia="en-US" w:bidi="ar-SA"/>
              </w:rPr>
              <w:t>无 害 化</w:t>
            </w:r>
          </w:p>
        </w:tc>
        <w:tc>
          <w:tcPr>
            <w:tcW w:w="5595" w:type="dxa"/>
            <w:vAlign w:val="top"/>
          </w:tcPr>
          <w:p w14:paraId="473903A9">
            <w:pPr>
              <w:kinsoku w:val="0"/>
              <w:autoSpaceDE w:val="0"/>
              <w:autoSpaceDN w:val="0"/>
              <w:adjustRightInd w:val="0"/>
              <w:snapToGrid w:val="0"/>
              <w:spacing w:before="131" w:line="228" w:lineRule="auto"/>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7"/>
                <w:kern w:val="0"/>
                <w:sz w:val="24"/>
                <w:szCs w:val="24"/>
                <w:lang w:val="en-US" w:eastAsia="en-US" w:bidi="ar-SA"/>
              </w:rPr>
              <w:t>建筑垃圾密闭化收运率（%）</w:t>
            </w:r>
          </w:p>
        </w:tc>
        <w:tc>
          <w:tcPr>
            <w:tcW w:w="1215" w:type="dxa"/>
            <w:vAlign w:val="top"/>
          </w:tcPr>
          <w:p w14:paraId="21EF86E2">
            <w:pPr>
              <w:kinsoku w:val="0"/>
              <w:autoSpaceDE w:val="0"/>
              <w:autoSpaceDN w:val="0"/>
              <w:adjustRightInd w:val="0"/>
              <w:snapToGrid w:val="0"/>
              <w:spacing w:before="131" w:line="268"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c>
          <w:tcPr>
            <w:tcW w:w="1155" w:type="dxa"/>
            <w:vAlign w:val="top"/>
          </w:tcPr>
          <w:p w14:paraId="06FD79F7">
            <w:pPr>
              <w:kinsoku w:val="0"/>
              <w:autoSpaceDE w:val="0"/>
              <w:autoSpaceDN w:val="0"/>
              <w:adjustRightInd w:val="0"/>
              <w:snapToGrid w:val="0"/>
              <w:spacing w:before="131" w:line="268"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r>
      <w:tr w14:paraId="25687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915" w:type="dxa"/>
            <w:vMerge w:val="continue"/>
            <w:tcBorders>
              <w:top w:val="nil"/>
              <w:bottom w:val="nil"/>
            </w:tcBorders>
            <w:textDirection w:val="tbRlV"/>
            <w:vAlign w:val="top"/>
          </w:tcPr>
          <w:p w14:paraId="019EFD11">
            <w:pPr>
              <w:widowControl/>
              <w:kinsoku w:val="0"/>
              <w:autoSpaceDE w:val="0"/>
              <w:autoSpaceDN w:val="0"/>
              <w:adjustRightInd w:val="0"/>
              <w:snapToGrid w:val="0"/>
              <w:spacing w:line="240" w:lineRule="auto"/>
              <w:ind w:firstLine="0" w:firstLineChars="0"/>
              <w:jc w:val="left"/>
              <w:textAlignment w:val="baseline"/>
              <w:rPr>
                <w:rFonts w:hint="eastAsia" w:ascii="仿宋" w:hAnsi="仿宋" w:eastAsia="仿宋" w:cs="仿宋"/>
                <w:snapToGrid w:val="0"/>
                <w:color w:val="000000"/>
                <w:kern w:val="0"/>
                <w:sz w:val="24"/>
                <w:szCs w:val="24"/>
                <w:lang w:eastAsia="en-US"/>
              </w:rPr>
            </w:pPr>
          </w:p>
        </w:tc>
        <w:tc>
          <w:tcPr>
            <w:tcW w:w="5595" w:type="dxa"/>
            <w:vAlign w:val="top"/>
          </w:tcPr>
          <w:p w14:paraId="5D8C2268">
            <w:pPr>
              <w:kinsoku w:val="0"/>
              <w:autoSpaceDE w:val="0"/>
              <w:autoSpaceDN w:val="0"/>
              <w:adjustRightInd w:val="0"/>
              <w:snapToGrid w:val="0"/>
              <w:spacing w:before="156" w:line="228" w:lineRule="auto"/>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7"/>
                <w:kern w:val="0"/>
                <w:sz w:val="24"/>
                <w:szCs w:val="24"/>
                <w:lang w:val="en-US" w:eastAsia="en-US" w:bidi="ar-SA"/>
              </w:rPr>
              <w:t>建筑垃圾无害化处置率（%）</w:t>
            </w:r>
          </w:p>
        </w:tc>
        <w:tc>
          <w:tcPr>
            <w:tcW w:w="1215" w:type="dxa"/>
            <w:vAlign w:val="top"/>
          </w:tcPr>
          <w:p w14:paraId="74B82203">
            <w:pPr>
              <w:kinsoku w:val="0"/>
              <w:autoSpaceDE w:val="0"/>
              <w:autoSpaceDN w:val="0"/>
              <w:adjustRightInd w:val="0"/>
              <w:snapToGrid w:val="0"/>
              <w:spacing w:before="156" w:line="269"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c>
          <w:tcPr>
            <w:tcW w:w="1155" w:type="dxa"/>
            <w:vAlign w:val="top"/>
          </w:tcPr>
          <w:p w14:paraId="6D85D6D4">
            <w:pPr>
              <w:kinsoku w:val="0"/>
              <w:autoSpaceDE w:val="0"/>
              <w:autoSpaceDN w:val="0"/>
              <w:adjustRightInd w:val="0"/>
              <w:snapToGrid w:val="0"/>
              <w:spacing w:before="156" w:line="269"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r>
      <w:tr w14:paraId="20070E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915" w:type="dxa"/>
            <w:vMerge w:val="continue"/>
            <w:tcBorders>
              <w:top w:val="nil"/>
            </w:tcBorders>
            <w:textDirection w:val="tbRlV"/>
            <w:vAlign w:val="top"/>
          </w:tcPr>
          <w:p w14:paraId="62BE55BD">
            <w:pPr>
              <w:widowControl/>
              <w:kinsoku w:val="0"/>
              <w:autoSpaceDE w:val="0"/>
              <w:autoSpaceDN w:val="0"/>
              <w:adjustRightInd w:val="0"/>
              <w:snapToGrid w:val="0"/>
              <w:spacing w:line="240" w:lineRule="auto"/>
              <w:ind w:firstLine="0" w:firstLineChars="0"/>
              <w:jc w:val="left"/>
              <w:textAlignment w:val="baseline"/>
              <w:rPr>
                <w:rFonts w:hint="eastAsia" w:ascii="仿宋" w:hAnsi="仿宋" w:eastAsia="仿宋" w:cs="仿宋"/>
                <w:snapToGrid w:val="0"/>
                <w:color w:val="000000"/>
                <w:kern w:val="0"/>
                <w:sz w:val="24"/>
                <w:szCs w:val="24"/>
                <w:lang w:eastAsia="en-US"/>
              </w:rPr>
            </w:pPr>
          </w:p>
        </w:tc>
        <w:tc>
          <w:tcPr>
            <w:tcW w:w="5595" w:type="dxa"/>
            <w:vAlign w:val="top"/>
          </w:tcPr>
          <w:p w14:paraId="0CC6FBFA">
            <w:pPr>
              <w:kinsoku w:val="0"/>
              <w:autoSpaceDE w:val="0"/>
              <w:autoSpaceDN w:val="0"/>
              <w:adjustRightInd w:val="0"/>
              <w:snapToGrid w:val="0"/>
              <w:spacing w:before="273" w:line="228" w:lineRule="auto"/>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8"/>
                <w:kern w:val="0"/>
                <w:sz w:val="24"/>
                <w:szCs w:val="24"/>
                <w:lang w:val="en-US" w:eastAsia="en-US" w:bidi="ar-SA"/>
              </w:rPr>
              <w:t>停用堆填场安全封场与生态恢复率（%）</w:t>
            </w:r>
          </w:p>
        </w:tc>
        <w:tc>
          <w:tcPr>
            <w:tcW w:w="1215" w:type="dxa"/>
            <w:vAlign w:val="top"/>
          </w:tcPr>
          <w:p w14:paraId="5BEE989F">
            <w:pPr>
              <w:kinsoku w:val="0"/>
              <w:autoSpaceDE w:val="0"/>
              <w:autoSpaceDN w:val="0"/>
              <w:adjustRightInd w:val="0"/>
              <w:snapToGrid w:val="0"/>
              <w:spacing w:before="273" w:line="268"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c>
          <w:tcPr>
            <w:tcW w:w="1155" w:type="dxa"/>
            <w:vAlign w:val="top"/>
          </w:tcPr>
          <w:p w14:paraId="054E16C0">
            <w:pPr>
              <w:kinsoku w:val="0"/>
              <w:autoSpaceDE w:val="0"/>
              <w:autoSpaceDN w:val="0"/>
              <w:adjustRightInd w:val="0"/>
              <w:snapToGrid w:val="0"/>
              <w:spacing w:before="273" w:line="268"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r>
      <w:tr w14:paraId="57BB6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915" w:type="dxa"/>
            <w:vMerge w:val="restart"/>
            <w:tcBorders>
              <w:bottom w:val="nil"/>
            </w:tcBorders>
            <w:textDirection w:val="tbRlV"/>
            <w:vAlign w:val="top"/>
          </w:tcPr>
          <w:p w14:paraId="422E5B4A">
            <w:pPr>
              <w:kinsoku w:val="0"/>
              <w:autoSpaceDE w:val="0"/>
              <w:autoSpaceDN w:val="0"/>
              <w:adjustRightInd w:val="0"/>
              <w:snapToGrid w:val="0"/>
              <w:spacing w:before="290" w:line="215" w:lineRule="auto"/>
              <w:ind w:left="0" w:leftChars="0" w:firstLine="0" w:firstLineChars="0"/>
              <w:jc w:val="left"/>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6"/>
                <w:kern w:val="0"/>
                <w:sz w:val="24"/>
                <w:szCs w:val="24"/>
                <w:lang w:val="en-US" w:eastAsia="en-US" w:bidi="ar-SA"/>
              </w:rPr>
              <w:t>数 字 化</w:t>
            </w:r>
          </w:p>
        </w:tc>
        <w:tc>
          <w:tcPr>
            <w:tcW w:w="5595" w:type="dxa"/>
            <w:vAlign w:val="top"/>
          </w:tcPr>
          <w:p w14:paraId="13C6FC29">
            <w:pPr>
              <w:kinsoku w:val="0"/>
              <w:autoSpaceDE w:val="0"/>
              <w:autoSpaceDN w:val="0"/>
              <w:adjustRightInd w:val="0"/>
              <w:snapToGrid w:val="0"/>
              <w:spacing w:before="96" w:line="228"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9"/>
                <w:kern w:val="0"/>
                <w:sz w:val="24"/>
                <w:szCs w:val="24"/>
                <w:lang w:val="en-US" w:eastAsia="en-US" w:bidi="ar-SA"/>
              </w:rPr>
              <w:t>建筑垃圾运输车辆车载卫星定位</w:t>
            </w:r>
            <w:r>
              <w:rPr>
                <w:rFonts w:hint="eastAsia" w:ascii="仿宋" w:hAnsi="仿宋" w:eastAsia="仿宋" w:cs="仿宋"/>
                <w:snapToGrid w:val="0"/>
                <w:color w:val="000000"/>
                <w:spacing w:val="7"/>
                <w:kern w:val="0"/>
                <w:sz w:val="24"/>
                <w:szCs w:val="24"/>
                <w:lang w:val="en-US" w:eastAsia="en-US" w:bidi="ar-SA"/>
              </w:rPr>
              <w:t>装置接入率（%）</w:t>
            </w:r>
          </w:p>
        </w:tc>
        <w:tc>
          <w:tcPr>
            <w:tcW w:w="1215" w:type="dxa"/>
            <w:vAlign w:val="top"/>
          </w:tcPr>
          <w:p w14:paraId="036EC81A">
            <w:pPr>
              <w:kinsoku w:val="0"/>
              <w:autoSpaceDE w:val="0"/>
              <w:autoSpaceDN w:val="0"/>
              <w:adjustRightInd w:val="0"/>
              <w:snapToGrid w:val="0"/>
              <w:spacing w:before="253" w:line="268"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c>
          <w:tcPr>
            <w:tcW w:w="1155" w:type="dxa"/>
            <w:vAlign w:val="top"/>
          </w:tcPr>
          <w:p w14:paraId="6CDDA7B3">
            <w:pPr>
              <w:kinsoku w:val="0"/>
              <w:autoSpaceDE w:val="0"/>
              <w:autoSpaceDN w:val="0"/>
              <w:adjustRightInd w:val="0"/>
              <w:snapToGrid w:val="0"/>
              <w:spacing w:before="253" w:line="268"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r>
      <w:tr w14:paraId="7FFB1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15" w:type="dxa"/>
            <w:vMerge w:val="continue"/>
            <w:tcBorders>
              <w:top w:val="nil"/>
            </w:tcBorders>
            <w:textDirection w:val="tbRlV"/>
            <w:vAlign w:val="top"/>
          </w:tcPr>
          <w:p w14:paraId="3268BF4E">
            <w:pPr>
              <w:widowControl/>
              <w:kinsoku w:val="0"/>
              <w:autoSpaceDE w:val="0"/>
              <w:autoSpaceDN w:val="0"/>
              <w:adjustRightInd w:val="0"/>
              <w:snapToGrid w:val="0"/>
              <w:spacing w:line="240" w:lineRule="auto"/>
              <w:ind w:firstLine="0" w:firstLineChars="0"/>
              <w:jc w:val="left"/>
              <w:textAlignment w:val="baseline"/>
              <w:rPr>
                <w:rFonts w:hint="eastAsia" w:ascii="仿宋" w:hAnsi="仿宋" w:eastAsia="仿宋" w:cs="仿宋"/>
                <w:snapToGrid w:val="0"/>
                <w:color w:val="000000"/>
                <w:kern w:val="0"/>
                <w:sz w:val="24"/>
                <w:szCs w:val="24"/>
                <w:lang w:eastAsia="en-US"/>
              </w:rPr>
            </w:pPr>
          </w:p>
        </w:tc>
        <w:tc>
          <w:tcPr>
            <w:tcW w:w="5595" w:type="dxa"/>
            <w:vAlign w:val="top"/>
          </w:tcPr>
          <w:p w14:paraId="44BDDBB2">
            <w:pPr>
              <w:kinsoku w:val="0"/>
              <w:autoSpaceDE w:val="0"/>
              <w:autoSpaceDN w:val="0"/>
              <w:adjustRightInd w:val="0"/>
              <w:snapToGrid w:val="0"/>
              <w:spacing w:before="55" w:line="228"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9"/>
                <w:kern w:val="0"/>
                <w:sz w:val="24"/>
                <w:szCs w:val="24"/>
                <w:lang w:val="en-US" w:eastAsia="en-US" w:bidi="ar-SA"/>
              </w:rPr>
              <w:t>施工工地、堆填场监控管理系统安装比例</w:t>
            </w:r>
            <w:r>
              <w:rPr>
                <w:rFonts w:hint="eastAsia" w:ascii="仿宋" w:hAnsi="仿宋" w:eastAsia="仿宋" w:cs="仿宋"/>
                <w:snapToGrid w:val="0"/>
                <w:color w:val="000000"/>
                <w:spacing w:val="-1"/>
                <w:kern w:val="0"/>
                <w:sz w:val="24"/>
                <w:szCs w:val="24"/>
                <w:lang w:val="en-US" w:eastAsia="en-US" w:bidi="ar-SA"/>
              </w:rPr>
              <w:t>（%）</w:t>
            </w:r>
          </w:p>
        </w:tc>
        <w:tc>
          <w:tcPr>
            <w:tcW w:w="1215" w:type="dxa"/>
            <w:vAlign w:val="top"/>
          </w:tcPr>
          <w:p w14:paraId="01E127F9">
            <w:pPr>
              <w:kinsoku w:val="0"/>
              <w:autoSpaceDE w:val="0"/>
              <w:autoSpaceDN w:val="0"/>
              <w:adjustRightInd w:val="0"/>
              <w:snapToGrid w:val="0"/>
              <w:spacing w:before="212" w:line="268" w:lineRule="exact"/>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eastAsia="仿宋" w:cs="仿宋"/>
                <w:snapToGrid w:val="0"/>
                <w:color w:val="000000"/>
                <w:spacing w:val="-3"/>
                <w:kern w:val="0"/>
                <w:position w:val="1"/>
                <w:sz w:val="24"/>
                <w:szCs w:val="24"/>
                <w:lang w:val="en-US" w:eastAsia="zh-CN" w:bidi="ar-SA"/>
              </w:rPr>
              <w:t>85</w:t>
            </w:r>
          </w:p>
        </w:tc>
        <w:tc>
          <w:tcPr>
            <w:tcW w:w="1155" w:type="dxa"/>
            <w:vAlign w:val="top"/>
          </w:tcPr>
          <w:p w14:paraId="08C9FA8A">
            <w:pPr>
              <w:kinsoku w:val="0"/>
              <w:autoSpaceDE w:val="0"/>
              <w:autoSpaceDN w:val="0"/>
              <w:adjustRightInd w:val="0"/>
              <w:snapToGrid w:val="0"/>
              <w:spacing w:before="212" w:line="268" w:lineRule="exact"/>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3"/>
                <w:kern w:val="0"/>
                <w:position w:val="1"/>
                <w:sz w:val="24"/>
                <w:szCs w:val="24"/>
                <w:lang w:val="en-US" w:eastAsia="en-US" w:bidi="ar-SA"/>
              </w:rPr>
              <w:t>100</w:t>
            </w:r>
          </w:p>
        </w:tc>
      </w:tr>
    </w:tbl>
    <w:p w14:paraId="7BCA2637">
      <w:pPr>
        <w:bidi w:val="0"/>
        <w:rPr>
          <w:rFonts w:hint="default"/>
          <w:lang w:val="en-US" w:eastAsia="zh-CN"/>
        </w:rPr>
      </w:pPr>
    </w:p>
    <w:p w14:paraId="1B0B5B3D">
      <w:pPr>
        <w:pStyle w:val="3"/>
        <w:bidi w:val="0"/>
        <w:rPr>
          <w:rFonts w:hint="eastAsia" w:ascii="楷体" w:hAnsi="楷体" w:eastAsia="楷体" w:cs="楷体"/>
          <w:sz w:val="28"/>
          <w:szCs w:val="28"/>
          <w:lang w:val="en-US" w:eastAsia="en-US"/>
        </w:rPr>
      </w:pPr>
      <w:bookmarkStart w:id="139" w:name="_Toc15772"/>
      <w:r>
        <w:rPr>
          <w:rFonts w:hint="eastAsia" w:ascii="楷体" w:hAnsi="楷体" w:eastAsia="楷体" w:cs="楷体"/>
          <w:sz w:val="28"/>
          <w:szCs w:val="28"/>
          <w:lang w:val="en-US" w:eastAsia="en-US"/>
        </w:rPr>
        <w:t>（三）技术路线</w:t>
      </w:r>
      <w:bookmarkEnd w:id="139"/>
    </w:p>
    <w:p w14:paraId="65AC7602">
      <w:pPr>
        <w:pStyle w:val="4"/>
        <w:bidi w:val="0"/>
        <w:rPr>
          <w:rFonts w:hint="eastAsia"/>
          <w:lang w:val="en-US" w:eastAsia="zh-CN"/>
        </w:rPr>
      </w:pPr>
      <w:r>
        <w:rPr>
          <w:rFonts w:hint="default"/>
          <w:lang w:val="en-US" w:eastAsia="zh-CN"/>
        </w:rPr>
        <w:t>1</w:t>
      </w:r>
      <w:r>
        <w:rPr>
          <w:rFonts w:hint="eastAsia"/>
          <w:lang w:val="en-US" w:eastAsia="zh-CN"/>
        </w:rPr>
        <w:t>、源头减量</w:t>
      </w:r>
    </w:p>
    <w:p w14:paraId="2BF0726B">
      <w:pPr>
        <w:bidi w:val="0"/>
        <w:rPr>
          <w:rFonts w:hint="eastAsia"/>
          <w:lang w:val="en-US" w:eastAsia="zh-CN"/>
        </w:rPr>
      </w:pPr>
      <w:r>
        <w:rPr>
          <w:rFonts w:hint="eastAsia"/>
          <w:lang w:val="en-US" w:eastAsia="zh-CN"/>
        </w:rPr>
        <w:t>施工现场通过施工图纸深化、施工方案优化、永临结合、临时设施和周转材料重复利用、施工过程管控等措施，减少建筑垃圾的产生。</w:t>
      </w:r>
    </w:p>
    <w:p w14:paraId="142506C1">
      <w:pPr>
        <w:bidi w:val="0"/>
      </w:pPr>
      <w:r>
        <w:rPr>
          <w:b/>
          <w:bCs/>
        </w:rPr>
        <w:t>设计优化：</w:t>
      </w:r>
      <w:r>
        <w:t>推广装配式建筑与</w:t>
      </w:r>
      <w:bookmarkStart w:id="140" w:name="OLE_LINK39"/>
      <w:r>
        <w:t>BIM技术</w:t>
      </w:r>
      <w:bookmarkEnd w:id="140"/>
      <w:r>
        <w:t>，减少施工阶段建材损耗；推行全装修成品住房，降低装修垃圾产生量。鼓励绿色建筑设计，将建筑垃圾减量化纳入文明施工考核体系。</w:t>
      </w:r>
    </w:p>
    <w:p w14:paraId="238F93F5">
      <w:pPr>
        <w:bidi w:val="0"/>
      </w:pPr>
      <w:r>
        <w:rPr>
          <w:b/>
          <w:bCs/>
        </w:rPr>
        <w:t>施工工艺改进：</w:t>
      </w:r>
      <w:r>
        <w:t>采用模块化施工、干法作业工艺，减少工程渣土和泥浆排放；施工现场设置智能称重系统，实时监控垃圾产生量，优化材料使用效率。</w:t>
      </w:r>
    </w:p>
    <w:p w14:paraId="6FF18044">
      <w:pPr>
        <w:bidi w:val="0"/>
      </w:pPr>
      <w:r>
        <w:rPr>
          <w:b/>
          <w:bCs/>
        </w:rPr>
        <w:t>分类收集与暂存：</w:t>
      </w:r>
      <w:r>
        <w:t>按工程渣土、工程泥浆、工程垃圾、拆除垃圾、装修垃圾五类设置专用收集容器，配备物联网标签实现溯源管理。临时堆放点需落实防尘降尘措施，避免二次污染。</w:t>
      </w:r>
    </w:p>
    <w:p w14:paraId="67CFD636">
      <w:pPr>
        <w:pStyle w:val="4"/>
        <w:bidi w:val="0"/>
        <w:rPr>
          <w:rFonts w:hint="eastAsia"/>
          <w:lang w:val="en-US" w:eastAsia="zh-CN"/>
        </w:rPr>
      </w:pPr>
      <w:r>
        <w:rPr>
          <w:rFonts w:hint="default"/>
          <w:lang w:val="en-US" w:eastAsia="zh-CN"/>
        </w:rPr>
        <w:t>2</w:t>
      </w:r>
      <w:r>
        <w:rPr>
          <w:rFonts w:hint="eastAsia"/>
          <w:lang w:val="en-US" w:eastAsia="zh-CN"/>
        </w:rPr>
        <w:t>、调剂减量</w:t>
      </w:r>
    </w:p>
    <w:p w14:paraId="2291FF33">
      <w:pPr>
        <w:bidi w:val="0"/>
        <w:rPr>
          <w:rFonts w:hint="eastAsia"/>
          <w:lang w:val="en-US" w:eastAsia="zh-CN"/>
        </w:rPr>
      </w:pPr>
      <w:bookmarkStart w:id="141" w:name="OLE_LINK33"/>
      <w:r>
        <w:rPr>
          <w:rFonts w:hint="eastAsia"/>
          <w:lang w:val="en-US" w:eastAsia="zh-CN"/>
        </w:rPr>
        <w:t>针对</w:t>
      </w:r>
      <w:bookmarkEnd w:id="141"/>
      <w:r>
        <w:rPr>
          <w:rFonts w:hint="eastAsia"/>
          <w:lang w:val="en-US" w:eastAsia="zh-CN"/>
        </w:rPr>
        <w:t>在路基的施工中产生的工程渣土、工程泥浆，结合道路沿线的填充和开挖的情况，在考虑经济运距的情况下做到</w:t>
      </w:r>
      <w:r>
        <w:rPr>
          <w:rFonts w:hint="default"/>
          <w:lang w:val="en-US" w:eastAsia="zh-CN"/>
        </w:rPr>
        <w:t>“</w:t>
      </w:r>
      <w:r>
        <w:rPr>
          <w:rFonts w:hint="eastAsia"/>
          <w:lang w:val="en-US" w:eastAsia="zh-CN"/>
        </w:rPr>
        <w:t>移挖作填</w:t>
      </w:r>
      <w:r>
        <w:rPr>
          <w:rFonts w:hint="default"/>
          <w:lang w:val="en-US" w:eastAsia="zh-CN"/>
        </w:rPr>
        <w:t>”</w:t>
      </w:r>
      <w:r>
        <w:rPr>
          <w:rFonts w:hint="eastAsia"/>
          <w:lang w:val="en-US" w:eastAsia="zh-CN"/>
        </w:rPr>
        <w:t>。</w:t>
      </w:r>
    </w:p>
    <w:p w14:paraId="4E3B80B2">
      <w:pPr>
        <w:pStyle w:val="4"/>
        <w:bidi w:val="0"/>
        <w:rPr>
          <w:rFonts w:hint="eastAsia"/>
          <w:lang w:val="en-US" w:eastAsia="zh-CN"/>
        </w:rPr>
      </w:pPr>
      <w:r>
        <w:rPr>
          <w:rFonts w:hint="default"/>
          <w:lang w:val="en-US" w:eastAsia="zh-CN"/>
        </w:rPr>
        <w:t>3</w:t>
      </w:r>
      <w:r>
        <w:rPr>
          <w:rFonts w:hint="eastAsia"/>
          <w:lang w:val="en-US" w:eastAsia="zh-CN"/>
        </w:rPr>
        <w:t>、资源化利用</w:t>
      </w:r>
    </w:p>
    <w:p w14:paraId="5E104925">
      <w:pPr>
        <w:bidi w:val="0"/>
        <w:rPr>
          <w:rFonts w:hint="eastAsia"/>
          <w:lang w:val="en-US" w:eastAsia="zh-CN"/>
        </w:rPr>
      </w:pPr>
      <w:r>
        <w:rPr>
          <w:rFonts w:hint="eastAsia"/>
          <w:lang w:val="en-US" w:eastAsia="zh-CN"/>
        </w:rPr>
        <w:t>工程垃圾、拆除垃圾</w:t>
      </w:r>
      <w:r>
        <w:rPr>
          <w:rFonts w:hint="default"/>
          <w:lang w:val="en-US" w:eastAsia="zh-CN"/>
        </w:rPr>
        <w:t>90%</w:t>
      </w:r>
      <w:r>
        <w:rPr>
          <w:rFonts w:hint="eastAsia"/>
          <w:lang w:val="en-US" w:eastAsia="zh-CN"/>
        </w:rPr>
        <w:t>以上成分可用于生产再生建材，具备再利用的经济效益。装修垃圾为居民、店铺、办公装修过程产生，不可直接利用，需要进行分选后再资源化利用。</w:t>
      </w:r>
    </w:p>
    <w:p w14:paraId="0796AD2B">
      <w:pPr>
        <w:pStyle w:val="4"/>
        <w:bidi w:val="0"/>
      </w:pPr>
      <w:r>
        <w:rPr>
          <w:rFonts w:hint="eastAsia"/>
          <w:lang w:val="en-US" w:eastAsia="zh-CN"/>
        </w:rPr>
        <w:t>4、</w:t>
      </w:r>
      <w:r>
        <w:t>堆填与填埋处置技术路线</w:t>
      </w:r>
    </w:p>
    <w:p w14:paraId="32849960">
      <w:pPr>
        <w:bidi w:val="0"/>
      </w:pPr>
      <w:r>
        <w:rPr>
          <w:b/>
          <w:bCs/>
        </w:rPr>
        <w:t>生态堆填：</w:t>
      </w:r>
      <w:r>
        <w:t>对无法资源化的工程渣土和稳定化泥浆，选择低洼地带进行生态堆填，同步实施植被恢复，用于环境治理或地形改造，减少土地占用。</w:t>
      </w:r>
    </w:p>
    <w:p w14:paraId="38511DC9">
      <w:pPr>
        <w:bidi w:val="0"/>
        <w:rPr>
          <w:rFonts w:hint="default"/>
          <w:lang w:val="en-US" w:eastAsia="zh-CN"/>
        </w:rPr>
      </w:pPr>
      <w:r>
        <w:rPr>
          <w:b/>
          <w:bCs/>
        </w:rPr>
        <w:t>规范填埋：</w:t>
      </w:r>
      <w:r>
        <w:t>对残留的无害化处理垃圾，进入专用填埋场处置。填埋场需配备“调节池+MBR膜生物反应器”渗滤液处理系统，确保达标排放；设置地下水监测井，实时监控水质变化，防控环境风险。填埋区域实施分层压实与覆盖，减少扬尘和渗漏。</w:t>
      </w:r>
    </w:p>
    <w:p w14:paraId="7FF96308">
      <w:pPr>
        <w:bidi w:val="0"/>
      </w:pPr>
      <w:r>
        <w:rPr>
          <w:b/>
          <w:bCs/>
        </w:rPr>
        <w:t>工程渣土与泥浆：</w:t>
      </w:r>
      <w:r>
        <w:t>优先用于土方平衡、场地平整、道路路基填筑及矿山复绿；建立县域内渣土供需信息平台，实现动态调配，促进产消平衡。对工程泥浆采用快速脱水固化技术，转化为路基材料。</w:t>
      </w:r>
    </w:p>
    <w:p w14:paraId="48354EED">
      <w:pPr>
        <w:bidi w:val="0"/>
      </w:pPr>
      <w:r>
        <w:rPr>
          <w:b/>
          <w:bCs/>
        </w:rPr>
        <w:t>工程垃圾与拆除垃圾：</w:t>
      </w:r>
      <w:r>
        <w:t>建设固定式破碎分选生产线，生产再生骨料用于市政道路基层；金属类垃圾通过磁选回收再利用，无机非金属类用于再生建材生产，提升资源附加值。</w:t>
      </w:r>
    </w:p>
    <w:p w14:paraId="4F9F5823">
      <w:pPr>
        <w:bidi w:val="0"/>
      </w:pPr>
      <w:r>
        <w:rPr>
          <w:b/>
          <w:bCs/>
        </w:rPr>
        <w:t>装修垃圾：</w:t>
      </w:r>
      <w:r>
        <w:t>采用“人工分选+机械破碎”工艺，分离木材、金属、塑料等可回收物；剩余部分经无害化处理后用于填埋场覆土或低价值利用，推动循环经济模式。</w:t>
      </w:r>
    </w:p>
    <w:p w14:paraId="2E35562C">
      <w:pPr>
        <w:pStyle w:val="2"/>
        <w:bidi w:val="0"/>
        <w:rPr>
          <w:lang w:eastAsia="en-US"/>
        </w:rPr>
      </w:pPr>
      <w:bookmarkStart w:id="142" w:name="_Toc13751"/>
      <w:r>
        <w:rPr>
          <w:lang w:eastAsia="en-US"/>
        </w:rPr>
        <w:t>六、建筑垃圾源头减量规划</w:t>
      </w:r>
      <w:bookmarkEnd w:id="142"/>
    </w:p>
    <w:p w14:paraId="1639DB7B">
      <w:pPr>
        <w:pStyle w:val="3"/>
        <w:bidi w:val="0"/>
        <w:rPr>
          <w:rFonts w:hint="eastAsia" w:ascii="楷体" w:hAnsi="楷体" w:eastAsia="楷体" w:cs="楷体"/>
          <w:sz w:val="28"/>
          <w:szCs w:val="28"/>
          <w:lang w:val="en-US" w:eastAsia="en-US"/>
        </w:rPr>
      </w:pPr>
      <w:bookmarkStart w:id="143" w:name="_Toc5661"/>
      <w:r>
        <w:rPr>
          <w:rFonts w:hint="eastAsia" w:ascii="楷体" w:hAnsi="楷体" w:eastAsia="楷体" w:cs="楷体"/>
          <w:sz w:val="28"/>
          <w:szCs w:val="28"/>
          <w:lang w:val="en-US" w:eastAsia="en-US"/>
        </w:rPr>
        <w:t>（一）源头减量目标</w:t>
      </w:r>
      <w:bookmarkEnd w:id="143"/>
    </w:p>
    <w:p w14:paraId="0EC44AD8">
      <w:pPr>
        <w:bidi w:val="0"/>
        <w:rPr>
          <w:lang w:eastAsia="en-US"/>
        </w:rPr>
      </w:pPr>
      <w:r>
        <w:rPr>
          <w:rFonts w:hint="eastAsia"/>
        </w:rPr>
        <w:t>根据《</w:t>
      </w:r>
      <w:bookmarkStart w:id="144" w:name="OLE_LINK41"/>
      <w:r>
        <w:rPr>
          <w:rFonts w:hint="eastAsia"/>
        </w:rPr>
        <w:t>住房和城乡建设部关于推进建筑垃圾减量化的指导意见</w:t>
      </w:r>
      <w:bookmarkEnd w:id="144"/>
      <w:r>
        <w:rPr>
          <w:rFonts w:hint="eastAsia"/>
        </w:rPr>
        <w:t>》（建质〔2020〕46号）</w:t>
      </w:r>
      <w:r>
        <w:rPr>
          <w:rFonts w:hint="eastAsia"/>
          <w:lang w:val="en-US" w:eastAsia="zh-CN"/>
        </w:rPr>
        <w:t>的要求</w:t>
      </w:r>
      <w:r>
        <w:rPr>
          <w:rFonts w:hint="eastAsia"/>
        </w:rPr>
        <w:t>，</w:t>
      </w:r>
      <w:r>
        <w:rPr>
          <w:lang w:eastAsia="en-US"/>
        </w:rPr>
        <w:t>建立健全建筑垃圾减量化工作机制，推动工程建设生产组织模式转变，从源头上预防和减少工程建设过程中建筑垃圾产生。到202</w:t>
      </w:r>
      <w:r>
        <w:rPr>
          <w:rFonts w:hint="eastAsia"/>
          <w:lang w:val="en-US" w:eastAsia="zh-CN"/>
        </w:rPr>
        <w:t>6</w:t>
      </w:r>
      <w:r>
        <w:rPr>
          <w:lang w:eastAsia="en-US"/>
        </w:rPr>
        <w:t>年，实现新建建筑施工现场建筑垃圾（不包括工程渣土、工程泥浆）排放量每万平方米不高于300吨，装配式建筑施工现场建筑垃圾（不包括工程渣土、工程泥浆）排放量每万平方米不高于200吨</w:t>
      </w:r>
      <w:r>
        <w:rPr>
          <w:rFonts w:hint="eastAsia"/>
          <w:lang w:eastAsia="zh-CN"/>
        </w:rPr>
        <w:t>，</w:t>
      </w:r>
      <w:bookmarkStart w:id="145" w:name="OLE_LINK34"/>
      <w:r>
        <w:rPr>
          <w:rFonts w:hint="eastAsia"/>
          <w:lang w:eastAsia="zh-CN"/>
        </w:rPr>
        <w:t>新建装配式建筑面积占新建建筑面积的比例达到20%以上，其中政府投资工程装配式建筑面积占比达到 50%以上</w:t>
      </w:r>
      <w:r>
        <w:rPr>
          <w:lang w:eastAsia="en-US"/>
        </w:rPr>
        <w:t>。到2035年，</w:t>
      </w:r>
      <w:r>
        <w:rPr>
          <w:rFonts w:hint="eastAsia"/>
          <w:lang w:eastAsia="en-US"/>
        </w:rPr>
        <w:t>新建装配式建筑面积占新建建筑面积的比例达到</w:t>
      </w:r>
      <w:r>
        <w:rPr>
          <w:rFonts w:hint="eastAsia"/>
          <w:lang w:val="en-US" w:eastAsia="zh-CN"/>
        </w:rPr>
        <w:t>40</w:t>
      </w:r>
      <w:r>
        <w:rPr>
          <w:rFonts w:hint="eastAsia"/>
          <w:lang w:eastAsia="en-US"/>
        </w:rPr>
        <w:t>%以上，其中政府投资工程装配式建筑面积占比达到</w:t>
      </w:r>
      <w:r>
        <w:rPr>
          <w:rFonts w:hint="eastAsia"/>
          <w:lang w:val="en-US" w:eastAsia="zh-CN"/>
        </w:rPr>
        <w:t>80</w:t>
      </w:r>
      <w:r>
        <w:rPr>
          <w:rFonts w:hint="eastAsia"/>
          <w:lang w:eastAsia="en-US"/>
        </w:rPr>
        <w:t>%以上</w:t>
      </w:r>
      <w:r>
        <w:rPr>
          <w:rFonts w:hint="eastAsia"/>
          <w:lang w:eastAsia="zh-CN"/>
        </w:rPr>
        <w:t>，</w:t>
      </w:r>
      <w:r>
        <w:rPr>
          <w:lang w:eastAsia="en-US"/>
        </w:rPr>
        <w:t>建筑垃圾减量化工作机制进一步完善。</w:t>
      </w:r>
      <w:bookmarkEnd w:id="145"/>
    </w:p>
    <w:p w14:paraId="5FA142EE">
      <w:pPr>
        <w:pStyle w:val="3"/>
        <w:bidi w:val="0"/>
        <w:rPr>
          <w:rFonts w:hint="eastAsia" w:ascii="楷体" w:hAnsi="楷体" w:eastAsia="楷体" w:cs="楷体"/>
          <w:sz w:val="28"/>
          <w:szCs w:val="28"/>
          <w:lang w:val="en-US" w:eastAsia="en-US"/>
        </w:rPr>
      </w:pPr>
      <w:bookmarkStart w:id="146" w:name="_Toc30071"/>
      <w:r>
        <w:rPr>
          <w:rFonts w:hint="eastAsia" w:ascii="楷体" w:hAnsi="楷体" w:eastAsia="楷体" w:cs="楷体"/>
          <w:sz w:val="28"/>
          <w:szCs w:val="28"/>
          <w:lang w:val="en-US" w:eastAsia="en-US"/>
        </w:rPr>
        <w:t>（二）源头减量措施</w:t>
      </w:r>
      <w:bookmarkEnd w:id="146"/>
    </w:p>
    <w:p w14:paraId="11ED2414">
      <w:pPr>
        <w:pStyle w:val="4"/>
        <w:bidi w:val="0"/>
        <w:rPr>
          <w:rFonts w:hint="default"/>
          <w:lang w:val="en-US" w:eastAsia="zh-CN"/>
        </w:rPr>
      </w:pPr>
      <w:r>
        <w:rPr>
          <w:rFonts w:hint="eastAsia"/>
          <w:lang w:val="en-US" w:eastAsia="zh-CN"/>
        </w:rPr>
        <w:t>1、落实主体责任</w:t>
      </w:r>
    </w:p>
    <w:p w14:paraId="43B0AC98">
      <w:pPr>
        <w:bidi w:val="0"/>
        <w:rPr>
          <w:rFonts w:hint="eastAsia"/>
          <w:lang w:val="en-US" w:eastAsia="zh-CN"/>
        </w:rPr>
      </w:pPr>
      <w:r>
        <w:rPr>
          <w:rFonts w:hint="eastAsia"/>
          <w:b/>
          <w:bCs/>
          <w:lang w:val="en-US" w:eastAsia="zh-CN"/>
        </w:rPr>
        <w:t>县人民政府</w:t>
      </w:r>
      <w:r>
        <w:rPr>
          <w:rFonts w:hint="eastAsia"/>
          <w:lang w:val="en-US" w:eastAsia="zh-CN"/>
        </w:rPr>
        <w:t>通过推广装配式建筑、全装修成品住房、绿色建筑，鼓励采用先进技术、标准、工艺、设备、材料和管理措施等方式，开展绿色策划、实施绿色设计、推广绿色施工，推进建筑垃圾源头减量。</w:t>
      </w:r>
    </w:p>
    <w:p w14:paraId="733ACF32">
      <w:pPr>
        <w:bidi w:val="0"/>
        <w:rPr>
          <w:rFonts w:hint="eastAsia"/>
          <w:lang w:val="en-US" w:eastAsia="zh-CN"/>
        </w:rPr>
      </w:pPr>
      <w:r>
        <w:rPr>
          <w:rFonts w:hint="eastAsia"/>
          <w:b/>
          <w:bCs/>
          <w:lang w:val="en-US" w:eastAsia="zh-CN"/>
        </w:rPr>
        <w:t>建设单位</w:t>
      </w:r>
      <w:r>
        <w:rPr>
          <w:rFonts w:hint="eastAsia"/>
          <w:lang w:val="en-US" w:eastAsia="zh-CN"/>
        </w:rPr>
        <w:t>应当履行源头减量义务，采取有效措施预防和减少建筑垃圾的产生和排放，并将建筑垃圾减量化措施费用纳入工程概算。</w:t>
      </w:r>
    </w:p>
    <w:p w14:paraId="319FAE6A">
      <w:pPr>
        <w:bidi w:val="0"/>
        <w:rPr>
          <w:rFonts w:hint="eastAsia"/>
          <w:lang w:val="en-US" w:eastAsia="zh-CN"/>
        </w:rPr>
      </w:pPr>
      <w:r>
        <w:rPr>
          <w:rFonts w:hint="eastAsia"/>
          <w:b/>
          <w:bCs/>
          <w:lang w:val="en-US" w:eastAsia="zh-CN"/>
        </w:rPr>
        <w:t>建设单位、施工单位</w:t>
      </w:r>
      <w:r>
        <w:rPr>
          <w:rFonts w:hint="eastAsia"/>
          <w:lang w:val="en-US" w:eastAsia="zh-CN"/>
        </w:rPr>
        <w:t>应当在工程招标文件、承发包合同和施工组织设计中明确施工现场建筑垃圾源头减量的具体要求和措施，以及建筑垃圾综合利用产品的使用要求。</w:t>
      </w:r>
    </w:p>
    <w:p w14:paraId="042284A5">
      <w:pPr>
        <w:bidi w:val="0"/>
        <w:rPr>
          <w:rFonts w:hint="eastAsia"/>
          <w:lang w:val="en-US" w:eastAsia="zh-CN"/>
        </w:rPr>
      </w:pPr>
      <w:r>
        <w:rPr>
          <w:rFonts w:hint="eastAsia"/>
          <w:b/>
          <w:bCs/>
          <w:lang w:val="en-US" w:eastAsia="zh-CN"/>
        </w:rPr>
        <w:t>设计单位</w:t>
      </w:r>
      <w:r>
        <w:rPr>
          <w:rFonts w:hint="eastAsia"/>
          <w:lang w:val="en-US" w:eastAsia="zh-CN"/>
        </w:rPr>
        <w:t>应当优化工程设计、提高设计质量，从源头上减少建筑材料的消耗和建筑垃圾的产生，提高对建筑垃圾综合利用产品的使用;监理单位应当监督施工单位落实建筑垃圾源头减量措施。</w:t>
      </w:r>
    </w:p>
    <w:p w14:paraId="675519EE">
      <w:pPr>
        <w:bidi w:val="0"/>
        <w:rPr>
          <w:rFonts w:hint="eastAsia"/>
          <w:lang w:val="en-US" w:eastAsia="zh-CN"/>
        </w:rPr>
      </w:pPr>
      <w:bookmarkStart w:id="147" w:name="OLE_LINK85"/>
      <w:r>
        <w:rPr>
          <w:rFonts w:hint="eastAsia"/>
          <w:b/>
          <w:bCs/>
          <w:lang w:val="en-US" w:eastAsia="zh-CN"/>
        </w:rPr>
        <w:t>住房和城乡建设、城市综合管理、交通运输、水利</w:t>
      </w:r>
      <w:r>
        <w:rPr>
          <w:rFonts w:hint="eastAsia"/>
          <w:lang w:val="en-US" w:eastAsia="zh-CN"/>
        </w:rPr>
        <w:t>等主管部门应当对建设单位建筑垃圾源头减量目标管理情况实施监督管理。</w:t>
      </w:r>
    </w:p>
    <w:bookmarkEnd w:id="147"/>
    <w:p w14:paraId="77A3D95D">
      <w:pPr>
        <w:pStyle w:val="4"/>
        <w:bidi w:val="0"/>
        <w:rPr>
          <w:lang w:eastAsia="en-US"/>
        </w:rPr>
      </w:pPr>
      <w:r>
        <w:rPr>
          <w:rFonts w:hint="eastAsia"/>
          <w:lang w:val="en-US" w:eastAsia="zh-CN"/>
        </w:rPr>
        <w:t>2、</w:t>
      </w:r>
      <w:r>
        <w:rPr>
          <w:lang w:eastAsia="en-US"/>
        </w:rPr>
        <w:t>开展绿色策划</w:t>
      </w:r>
    </w:p>
    <w:p w14:paraId="10DC870C">
      <w:pPr>
        <w:bidi w:val="0"/>
        <w:rPr>
          <w:lang w:eastAsia="en-US"/>
        </w:rPr>
      </w:pPr>
      <w:r>
        <w:rPr>
          <w:b/>
          <w:bCs/>
          <w:lang w:eastAsia="en-US"/>
        </w:rPr>
        <w:t>鼓励发展装配式建筑。</w:t>
      </w:r>
      <w:r>
        <w:rPr>
          <w:lang w:eastAsia="en-US"/>
        </w:rPr>
        <w:t>大力发展装配式建筑，积极推广钢结构装配式住宅，推行工厂化预制、装配化施工、信息化管理的建造模式。鼓励创新设计、施工技术与装备，优先选用绿色建材，实行全装修交付，减少施工现场建筑垃圾的产生。在建设单位主导下，推进建筑信息模型（BIM）等技术在工程设计和施工中的应用，减少设计中的“错漏碰缺”，辅助施工现场管理，提高资源利用率。</w:t>
      </w:r>
    </w:p>
    <w:p w14:paraId="1C4836CC">
      <w:pPr>
        <w:bidi w:val="0"/>
        <w:rPr>
          <w:lang w:eastAsia="en-US"/>
        </w:rPr>
      </w:pPr>
      <w:r>
        <w:rPr>
          <w:b/>
          <w:bCs/>
          <w:lang w:eastAsia="en-US"/>
        </w:rPr>
        <w:t>采用新型组织模式。</w:t>
      </w:r>
      <w:r>
        <w:rPr>
          <w:lang w:eastAsia="en-US"/>
        </w:rPr>
        <w:t>推动工程建设组织方式改革，指导建设单位在工程项目中推行工程总承包和全过程工程咨询，推进建筑师负责制，加强设计与施工的深度协同，构建有利于推进建筑垃圾减量化的组织模式。</w:t>
      </w:r>
    </w:p>
    <w:p w14:paraId="7E419E44">
      <w:pPr>
        <w:pStyle w:val="4"/>
        <w:bidi w:val="0"/>
        <w:rPr>
          <w:lang w:eastAsia="en-US"/>
        </w:rPr>
      </w:pPr>
      <w:r>
        <w:rPr>
          <w:rFonts w:hint="eastAsia"/>
          <w:lang w:val="en-US" w:eastAsia="zh-CN"/>
        </w:rPr>
        <w:t>3、</w:t>
      </w:r>
      <w:r>
        <w:rPr>
          <w:lang w:eastAsia="en-US"/>
        </w:rPr>
        <w:t>实施绿色设计</w:t>
      </w:r>
    </w:p>
    <w:p w14:paraId="1818FBE0">
      <w:pPr>
        <w:bidi w:val="0"/>
        <w:rPr>
          <w:lang w:eastAsia="en-US"/>
        </w:rPr>
      </w:pPr>
      <w:r>
        <w:rPr>
          <w:b/>
          <w:bCs/>
          <w:lang w:eastAsia="en-US"/>
        </w:rPr>
        <w:t>树立全寿命期理念。</w:t>
      </w:r>
      <w:r>
        <w:rPr>
          <w:lang w:eastAsia="en-US"/>
        </w:rPr>
        <w:t>统筹考虑工程全寿命期的耐久性、可持续性，鼓励设计单位采用高强、高性能、高耐久性和可循环材料以及先进适用技术体系等开展工程设计。根据</w:t>
      </w:r>
      <w:r>
        <w:rPr>
          <w:rFonts w:hint="eastAsia"/>
          <w:lang w:eastAsia="zh-CN"/>
        </w:rPr>
        <w:t>“</w:t>
      </w:r>
      <w:r>
        <w:rPr>
          <w:lang w:eastAsia="en-US"/>
        </w:rPr>
        <w:t>模数统一、模块协同</w:t>
      </w:r>
      <w:r>
        <w:rPr>
          <w:rFonts w:hint="eastAsia"/>
          <w:lang w:eastAsia="zh-CN"/>
        </w:rPr>
        <w:t>”</w:t>
      </w:r>
      <w:r>
        <w:rPr>
          <w:lang w:eastAsia="en-US"/>
        </w:rPr>
        <w:t>原则，推进功能模块和部品构件标准化，减少异型和非标准部品构件。对改建扩建工程，鼓励充分利用原结构及满足要求的原机电设备。</w:t>
      </w:r>
    </w:p>
    <w:p w14:paraId="4D3A6B81">
      <w:pPr>
        <w:bidi w:val="0"/>
        <w:rPr>
          <w:lang w:eastAsia="en-US"/>
        </w:rPr>
      </w:pPr>
      <w:r>
        <w:rPr>
          <w:b/>
          <w:bCs/>
          <w:lang w:eastAsia="en-US"/>
        </w:rPr>
        <w:t>提高设计质量。</w:t>
      </w:r>
      <w:r>
        <w:rPr>
          <w:lang w:eastAsia="en-US"/>
        </w:rPr>
        <w:t>设计单位应根据地形地貌合理确定场地标高，开展土方平衡论证，减少渣土外运。选择适宜的结构体系，减少建筑形体不规则性。提倡建筑、结构、机电、装修、景观全专业一体化协同设计，保证设计深度满足施工需要，减少施工过程设计变更。</w:t>
      </w:r>
    </w:p>
    <w:p w14:paraId="5885D681">
      <w:pPr>
        <w:pStyle w:val="4"/>
        <w:bidi w:val="0"/>
        <w:rPr>
          <w:lang w:eastAsia="en-US"/>
        </w:rPr>
      </w:pPr>
      <w:r>
        <w:rPr>
          <w:rFonts w:hint="eastAsia"/>
          <w:lang w:val="en-US" w:eastAsia="zh-CN"/>
        </w:rPr>
        <w:t>4、</w:t>
      </w:r>
      <w:r>
        <w:rPr>
          <w:lang w:eastAsia="en-US"/>
        </w:rPr>
        <w:t>推广绿色施工</w:t>
      </w:r>
    </w:p>
    <w:p w14:paraId="23461AD9">
      <w:pPr>
        <w:bidi w:val="0"/>
        <w:rPr>
          <w:lang w:eastAsia="en-US"/>
        </w:rPr>
      </w:pPr>
      <w:r>
        <w:rPr>
          <w:b/>
          <w:bCs/>
          <w:lang w:eastAsia="en-US"/>
        </w:rPr>
        <w:t>编制专项方案。</w:t>
      </w:r>
      <w:r>
        <w:rPr>
          <w:lang w:eastAsia="en-US"/>
        </w:rPr>
        <w:t>施工单位应组织编制施工现场建筑垃圾减量化专项方案，明确建筑垃圾减量化目标和职责分工，提出源头减量、分类管理、就地处置、排放控制的具体措施。</w:t>
      </w:r>
    </w:p>
    <w:p w14:paraId="7DB32FCF">
      <w:pPr>
        <w:bidi w:val="0"/>
        <w:rPr>
          <w:lang w:eastAsia="en-US"/>
        </w:rPr>
      </w:pPr>
      <w:r>
        <w:rPr>
          <w:b/>
          <w:bCs/>
          <w:lang w:eastAsia="en-US"/>
        </w:rPr>
        <w:t>做好设计深化和施工组织优化。</w:t>
      </w:r>
      <w:r>
        <w:rPr>
          <w:lang w:eastAsia="en-US"/>
        </w:rPr>
        <w:t>施工单位应结合工程加工、运输、安装方案和施工工艺要求，细化节点构造和具体做法。优化施工组织设计，合理确定施工工序，推行数字化加工和信息化管理，实现精准下料、精细管理，降低建筑材料损耗率。</w:t>
      </w:r>
    </w:p>
    <w:p w14:paraId="366EB425">
      <w:pPr>
        <w:bidi w:val="0"/>
        <w:rPr>
          <w:highlight w:val="none"/>
          <w:lang w:eastAsia="en-US"/>
        </w:rPr>
      </w:pPr>
      <w:r>
        <w:rPr>
          <w:b/>
          <w:bCs/>
          <w:highlight w:val="none"/>
          <w:lang w:eastAsia="en-US"/>
        </w:rPr>
        <w:t>强化施工质量管控。</w:t>
      </w:r>
      <w:r>
        <w:rPr>
          <w:highlight w:val="none"/>
          <w:lang w:eastAsia="en-US"/>
        </w:rPr>
        <w:t>施工、监理等单位应严格按设计要求控 制进场材料和设备的质量，严把施工质量关，强化各工序质量管控， 减少因质量问题导致的返工或修补。加强对已完工工程的成品保护， 避免二次损坏。</w:t>
      </w:r>
    </w:p>
    <w:p w14:paraId="4A3601D6">
      <w:pPr>
        <w:bidi w:val="0"/>
        <w:rPr>
          <w:highlight w:val="none"/>
          <w:lang w:eastAsia="en-US"/>
        </w:rPr>
      </w:pPr>
      <w:r>
        <w:rPr>
          <w:b/>
          <w:bCs/>
          <w:highlight w:val="none"/>
          <w:lang w:eastAsia="en-US"/>
        </w:rPr>
        <w:t>提高临时设施和周转材料的重复利用率。</w:t>
      </w:r>
      <w:r>
        <w:rPr>
          <w:highlight w:val="none"/>
          <w:lang w:eastAsia="en-US"/>
        </w:rPr>
        <w:t>施工现场办公用房、 宿舍、围挡、大门、工具棚、安全防护栏杆等推广采用重复利用率高  的标准化设施。鼓励采用工具式脚手架和模板支撑体系，推广应用铝  模板、金属防护网、金属通道板、拼装式道路板等周转材料。鼓励施  工单位在一定区域范围内统筹临时设施和周转材料的调配。</w:t>
      </w:r>
    </w:p>
    <w:p w14:paraId="43D9CA8E">
      <w:pPr>
        <w:bidi w:val="0"/>
        <w:rPr>
          <w:lang w:eastAsia="en-US"/>
        </w:rPr>
      </w:pPr>
      <w:r>
        <w:rPr>
          <w:b/>
          <w:bCs/>
          <w:lang w:eastAsia="en-US"/>
        </w:rPr>
        <w:t>推行临时设施和永久性设施的结合利用。</w:t>
      </w:r>
      <w:r>
        <w:rPr>
          <w:lang w:eastAsia="en-US"/>
        </w:rPr>
        <w:t>施工单位应充分考 虑施工用消防立管、消防水池、照明线路、道路、围挡等与永久性设 施的结合利用，减少因拆除临时设施产生的建筑垃圾。</w:t>
      </w:r>
    </w:p>
    <w:p w14:paraId="4B4BDDF4">
      <w:pPr>
        <w:bidi w:val="0"/>
        <w:rPr>
          <w:lang w:eastAsia="en-US"/>
        </w:rPr>
      </w:pPr>
      <w:r>
        <w:rPr>
          <w:b/>
          <w:bCs/>
          <w:lang w:eastAsia="en-US"/>
        </w:rPr>
        <w:t>实行建筑垃圾分类管理。</w:t>
      </w:r>
      <w:r>
        <w:rPr>
          <w:lang w:eastAsia="en-US"/>
        </w:rPr>
        <w:t>施工单位应建立建筑垃圾分类收集与存放管理制度，实行分类收集、分类存放、分类处置。鼓励以末端处置为导向对建筑垃圾进行细化分类。严禁将危险废物和生活垃圾混入建筑垃圾。</w:t>
      </w:r>
    </w:p>
    <w:p w14:paraId="17664FC5">
      <w:pPr>
        <w:bidi w:val="0"/>
        <w:rPr>
          <w:lang w:eastAsia="en-US"/>
        </w:rPr>
      </w:pPr>
      <w:r>
        <w:rPr>
          <w:b/>
          <w:bCs/>
          <w:lang w:eastAsia="en-US"/>
        </w:rPr>
        <w:t>引导施工现场建筑垃圾再利用。</w:t>
      </w:r>
      <w:r>
        <w:rPr>
          <w:lang w:eastAsia="en-US"/>
        </w:rPr>
        <w:t>施工单位应充分利用混凝土、钢筋、模板、珍珠岩保温材料等余料，在满足质量要求的前提下，根据实际需求加工制作成各类工程材料，实行循环利用。施工现场不具备就地利用条件的，应按规定及时转运到建筑垃圾处置场所进行资源化处置和再利用。</w:t>
      </w:r>
    </w:p>
    <w:p w14:paraId="7133B9F2">
      <w:pPr>
        <w:bidi w:val="0"/>
        <w:rPr>
          <w:lang w:eastAsia="en-US"/>
        </w:rPr>
      </w:pPr>
      <w:r>
        <w:rPr>
          <w:b/>
          <w:bCs/>
          <w:lang w:eastAsia="en-US"/>
        </w:rPr>
        <w:t>减少施工现场建筑垃圾排放。</w:t>
      </w:r>
      <w:r>
        <w:rPr>
          <w:lang w:eastAsia="en-US"/>
        </w:rPr>
        <w:t>施工单位应实时统计并监控建筑垃圾产生量，及时采取针对性措施降低建筑垃圾排放量。鼓励采用现场泥沙分离、泥浆脱水预处理等工艺，减少工程渣土和工程泥浆排放。</w:t>
      </w:r>
    </w:p>
    <w:p w14:paraId="0B4603C6">
      <w:pPr>
        <w:pStyle w:val="4"/>
        <w:bidi w:val="0"/>
        <w:rPr>
          <w:lang w:eastAsia="en-US"/>
        </w:rPr>
      </w:pPr>
      <w:r>
        <w:rPr>
          <w:rFonts w:hint="eastAsia"/>
          <w:lang w:val="en-US" w:eastAsia="zh-CN"/>
        </w:rPr>
        <w:t>5、</w:t>
      </w:r>
      <w:r>
        <w:rPr>
          <w:lang w:eastAsia="en-US"/>
        </w:rPr>
        <w:t>实行源头分类</w:t>
      </w:r>
    </w:p>
    <w:p w14:paraId="572EB1B8">
      <w:pPr>
        <w:bidi w:val="0"/>
        <w:rPr>
          <w:lang w:eastAsia="en-US"/>
        </w:rPr>
      </w:pPr>
      <w:r>
        <w:rPr>
          <w:b/>
          <w:bCs/>
          <w:lang w:eastAsia="en-US"/>
        </w:rPr>
        <w:t>实行建筑垃圾分类管理。</w:t>
      </w:r>
      <w:r>
        <w:rPr>
          <w:lang w:eastAsia="en-US"/>
        </w:rPr>
        <w:t>施工单位应按照住房城乡建设部《施工现场建筑垃圾减量化指导手册（试行）》要求，建立施工现场建筑垃圾分类收集与存放管理制度，按照工程渣土、工程泥浆、工程垃圾拆除垃圾、装修垃圾实行分类收集、分类存放、分类处置。在上述分类基础上鼓励以末端处置为导向对建筑垃圾进行细化分类，对剩油漆、剩涂料等有毒有害废弃物封闭分类存放，并设置醒目标识。鼓励利用智慧工地监管平台等信息化手段，对建筑垃圾收集、存放、利用外运等过程进行实时监管，并建立电子台账。在生活区、办公区按照城市生活垃圾分类要求推行垃圾分类，分别设置可回收物垃圾桶与其他垃圾桶，严禁将危险废物和生活垃圾混入建筑垃圾。</w:t>
      </w:r>
    </w:p>
    <w:p w14:paraId="39EFA4ED">
      <w:pPr>
        <w:bidi w:val="0"/>
        <w:rPr>
          <w:lang w:eastAsia="en-US"/>
        </w:rPr>
      </w:pPr>
      <w:r>
        <w:rPr>
          <w:b/>
          <w:bCs/>
          <w:lang w:eastAsia="en-US"/>
        </w:rPr>
        <w:t>引导施工现场建筑垃圾再利用。</w:t>
      </w:r>
      <w:r>
        <w:rPr>
          <w:lang w:eastAsia="en-US"/>
        </w:rPr>
        <w:t>引导施工现场建筑垃圾再利用，施工单位应充分利用废旧沥青路面、废旧水泥路面冷再生作为沥青面层与基层材料，应用碎石、土石方类等利用材料作为地基和路基回填材料，应用建筑残余物作为路基、混凝土余料浇筑路面；采用基坑降水利用技术、雨水收集利用技术及生活废水收集利用等先进技术，实现水资源循环利用。对施工现场不具备就地利用条件的，应按规定及时转运到建筑垃圾处置场所进行资源化处置和再利用。</w:t>
      </w:r>
    </w:p>
    <w:p w14:paraId="417454A4">
      <w:pPr>
        <w:bidi w:val="0"/>
        <w:rPr>
          <w:lang w:eastAsia="en-US"/>
        </w:rPr>
      </w:pPr>
      <w:r>
        <w:rPr>
          <w:b/>
          <w:bCs/>
          <w:lang w:eastAsia="en-US"/>
        </w:rPr>
        <w:t>减少施工现场建筑垃圾排放。</w:t>
      </w:r>
      <w:r>
        <w:rPr>
          <w:lang w:eastAsia="en-US"/>
        </w:rPr>
        <w:t>工程项目施工阶段，施工单位应实时统计并监控建筑垃圾产生量，填写《施工现场建筑垃圾出场统计表》， 并存档备案，及时采取针对性措施降低建筑垃圾排放量。鼓励采用沥青路面就地热再生、水泥路面就地共振碎石化、现场泥沙分离、泥浆脱水预处理等工艺，减少废旧路面材料、工程渣土和工程泥浆排放。加强对外运处理建筑垃圾的运输管理，杜绝擅自倾倒、抛洒行为。</w:t>
      </w:r>
    </w:p>
    <w:p w14:paraId="0C9DB795">
      <w:pPr>
        <w:pStyle w:val="4"/>
        <w:bidi w:val="0"/>
        <w:rPr>
          <w:lang w:eastAsia="en-US"/>
        </w:rPr>
      </w:pPr>
      <w:r>
        <w:rPr>
          <w:rFonts w:hint="eastAsia"/>
          <w:lang w:val="en-US" w:eastAsia="zh-CN"/>
        </w:rPr>
        <w:t>6、</w:t>
      </w:r>
      <w:r>
        <w:rPr>
          <w:lang w:eastAsia="en-US"/>
        </w:rPr>
        <w:t>源头污染防治要求</w:t>
      </w:r>
    </w:p>
    <w:p w14:paraId="313AF727">
      <w:pPr>
        <w:bidi w:val="0"/>
        <w:rPr>
          <w:rFonts w:hint="default"/>
          <w:b/>
          <w:bCs/>
          <w:lang w:val="en-US" w:eastAsia="zh-CN"/>
        </w:rPr>
      </w:pPr>
      <w:r>
        <w:rPr>
          <w:rFonts w:hint="eastAsia"/>
          <w:b/>
          <w:bCs/>
          <w:lang w:val="en-US" w:eastAsia="zh-CN"/>
        </w:rPr>
        <w:t>（1）环境保护要求</w:t>
      </w:r>
    </w:p>
    <w:p w14:paraId="48EC1A15">
      <w:pPr>
        <w:bidi w:val="0"/>
        <w:rPr>
          <w:rFonts w:hint="eastAsia"/>
          <w:lang w:val="en-US" w:eastAsia="zh-CN"/>
        </w:rPr>
      </w:pPr>
      <w:r>
        <w:rPr>
          <w:rFonts w:hint="eastAsia"/>
          <w:b/>
          <w:bCs/>
          <w:lang w:val="en-US" w:eastAsia="zh-CN"/>
        </w:rPr>
        <w:t>减少废弃物产生：</w:t>
      </w:r>
      <w:r>
        <w:rPr>
          <w:rFonts w:hint="eastAsia"/>
          <w:lang w:val="en-US" w:eastAsia="zh-CN"/>
        </w:rPr>
        <w:t>施工单位应优化施工方案，采用先进的施工技术和设备，尽量减少建筑垃圾的产生。通过精确计算材料用量，避免过度使用，减少建筑废弃物的生成。</w:t>
      </w:r>
    </w:p>
    <w:p w14:paraId="39998BC1">
      <w:pPr>
        <w:bidi w:val="0"/>
        <w:rPr>
          <w:rFonts w:hint="eastAsia"/>
          <w:lang w:val="en-US" w:eastAsia="zh-CN"/>
        </w:rPr>
      </w:pPr>
      <w:r>
        <w:rPr>
          <w:rFonts w:hint="eastAsia"/>
          <w:b/>
          <w:bCs/>
          <w:lang w:val="en-US" w:eastAsia="zh-CN"/>
        </w:rPr>
        <w:t>合理分类与存放：</w:t>
      </w:r>
      <w:r>
        <w:rPr>
          <w:rFonts w:hint="eastAsia"/>
          <w:lang w:val="en-US" w:eastAsia="zh-CN"/>
        </w:rPr>
        <w:t>建筑垃圾应按照不同的类型和性质进行分类存放，防止不同性质的垃圾相互污染。对于可回收和可利用的材料，应单独存放，以便于后续的回收利用工作。</w:t>
      </w:r>
    </w:p>
    <w:p w14:paraId="53045FF1">
      <w:pPr>
        <w:bidi w:val="0"/>
        <w:rPr>
          <w:rFonts w:hint="eastAsia"/>
          <w:lang w:val="en-US" w:eastAsia="zh-CN"/>
        </w:rPr>
      </w:pPr>
      <w:r>
        <w:rPr>
          <w:rFonts w:hint="eastAsia"/>
          <w:b/>
          <w:bCs/>
          <w:lang w:val="en-US" w:eastAsia="zh-CN"/>
        </w:rPr>
        <w:t>控制扬尘污染：</w:t>
      </w:r>
      <w:r>
        <w:rPr>
          <w:rFonts w:hint="eastAsia"/>
          <w:lang w:val="en-US" w:eastAsia="zh-CN"/>
        </w:rPr>
        <w:t>施工现场应设置有效的防尘设施，如酒水装置、挡风墙等，以减少施工过程中的扬尘污染。同时，对于易产生扬尘的材料，应采取遮盖、封闭等措施，确保扬尘得到有效控制。</w:t>
      </w:r>
    </w:p>
    <w:p w14:paraId="7B62EA61">
      <w:pPr>
        <w:bidi w:val="0"/>
        <w:rPr>
          <w:rFonts w:hint="eastAsia"/>
          <w:lang w:val="en-US" w:eastAsia="zh-CN"/>
        </w:rPr>
      </w:pPr>
      <w:r>
        <w:rPr>
          <w:rFonts w:hint="eastAsia"/>
          <w:b/>
          <w:bCs/>
          <w:lang w:val="en-US" w:eastAsia="zh-CN"/>
        </w:rPr>
        <w:t>减少噪声和振动：</w:t>
      </w:r>
      <w:r>
        <w:rPr>
          <w:rFonts w:hint="eastAsia"/>
          <w:lang w:val="en-US" w:eastAsia="zh-CN"/>
        </w:rPr>
        <w:t>施工单位应选用低噪声、低振动的施工设备和工艺，确保施工活动对周围环境的影响最小化。在噪声敏感区域，应采取降噪措施，如设置隔音屏障、合理安排施工时间等。</w:t>
      </w:r>
    </w:p>
    <w:p w14:paraId="2187E340">
      <w:pPr>
        <w:bidi w:val="0"/>
        <w:rPr>
          <w:rFonts w:hint="eastAsia"/>
          <w:lang w:val="en-US" w:eastAsia="zh-CN"/>
        </w:rPr>
      </w:pPr>
      <w:r>
        <w:rPr>
          <w:rFonts w:hint="eastAsia"/>
          <w:b/>
          <w:bCs/>
          <w:lang w:val="en-US" w:eastAsia="zh-CN"/>
        </w:rPr>
        <w:t>控制污水排放：</w:t>
      </w:r>
      <w:r>
        <w:rPr>
          <w:rFonts w:hint="eastAsia"/>
          <w:lang w:val="en-US" w:eastAsia="zh-CN"/>
        </w:rPr>
        <w:t>施工过程中应严格控制污水排放，确保施工废水经过处理后达到排放标准。同时，加强施工现场的雨水收集和利用，减少对自然水源的依赖。</w:t>
      </w:r>
    </w:p>
    <w:p w14:paraId="6426B3F6">
      <w:pPr>
        <w:bidi w:val="0"/>
        <w:rPr>
          <w:rFonts w:hint="eastAsia"/>
          <w:lang w:val="en-US" w:eastAsia="zh-CN"/>
        </w:rPr>
      </w:pPr>
      <w:r>
        <w:rPr>
          <w:rFonts w:hint="eastAsia"/>
          <w:b/>
          <w:bCs/>
          <w:lang w:val="en-US" w:eastAsia="zh-CN"/>
        </w:rPr>
        <w:t>建立监测与报告制度：</w:t>
      </w:r>
      <w:r>
        <w:rPr>
          <w:rFonts w:hint="eastAsia"/>
          <w:lang w:val="en-US" w:eastAsia="zh-CN"/>
        </w:rPr>
        <w:t>施工单位应建立施工现场环境监测与报告制度，定期对施工活动产生的环境影响进行监测和评估。一旦发现环境问题，应及时采取措施进行整改，并向相关部门报告。</w:t>
      </w:r>
    </w:p>
    <w:p w14:paraId="2212FF4A">
      <w:pPr>
        <w:pStyle w:val="4"/>
        <w:bidi w:val="0"/>
        <w:rPr>
          <w:rFonts w:hint="eastAsia"/>
          <w:lang w:val="en-US" w:eastAsia="zh-CN"/>
        </w:rPr>
      </w:pPr>
      <w:r>
        <w:rPr>
          <w:rFonts w:hint="eastAsia"/>
          <w:lang w:val="en-US" w:eastAsia="zh-CN"/>
        </w:rPr>
        <w:t>（2）大气污染防治措施</w:t>
      </w:r>
    </w:p>
    <w:p w14:paraId="1B7D46B6">
      <w:pPr>
        <w:bidi w:val="0"/>
        <w:rPr>
          <w:rFonts w:hint="default"/>
          <w:lang w:val="en-US" w:eastAsia="zh-CN"/>
        </w:rPr>
      </w:pPr>
      <w:r>
        <w:rPr>
          <w:rFonts w:hint="default"/>
          <w:b/>
          <w:bCs/>
          <w:lang w:val="en-US" w:eastAsia="zh-CN"/>
        </w:rPr>
        <w:t>严格管理施工现场：</w:t>
      </w:r>
      <w:r>
        <w:rPr>
          <w:rFonts w:hint="default"/>
          <w:lang w:val="en-US" w:eastAsia="zh-CN"/>
        </w:rPr>
        <w:t>施工单位在清理施工垃圾时，应搭设封闭式专用垃圾道，禁止凌空随意抛撒，以减少扬尘的产生。同时，施工现场道路应使用不易产生扬尘的材料铺设，并定期洒水清扫，防止道路扬尘。</w:t>
      </w:r>
    </w:p>
    <w:p w14:paraId="6620C71B">
      <w:pPr>
        <w:bidi w:val="0"/>
        <w:rPr>
          <w:rFonts w:hint="default"/>
          <w:lang w:val="en-US" w:eastAsia="zh-CN"/>
        </w:rPr>
      </w:pPr>
      <w:r>
        <w:rPr>
          <w:rFonts w:hint="default"/>
          <w:b/>
          <w:bCs/>
          <w:lang w:val="en-US" w:eastAsia="zh-CN"/>
        </w:rPr>
        <w:t>加强物料管理：</w:t>
      </w:r>
      <w:r>
        <w:rPr>
          <w:rFonts w:hint="default"/>
          <w:lang w:val="en-US" w:eastAsia="zh-CN"/>
        </w:rPr>
        <w:t>对于袋装水泥、白灰、粉煤灰等易飞扬的细</w:t>
      </w:r>
      <w:r>
        <w:rPr>
          <w:rFonts w:hint="eastAsia"/>
          <w:lang w:val="en-US" w:eastAsia="zh-CN"/>
        </w:rPr>
        <w:t>颗粒</w:t>
      </w:r>
      <w:r>
        <w:rPr>
          <w:rFonts w:hint="default"/>
          <w:lang w:val="en-US" w:eastAsia="zh-CN"/>
        </w:rPr>
        <w:t>散体材料，应存放在库内或采取遮盖措施，防止扬尘。散装水泥、粉煤灰、白灰等细颗粉状材料，应存放在固定容器散装罐内，没有固定容器时，应设封闭式库存放，并具备可靠的防扬尘措施。</w:t>
      </w:r>
    </w:p>
    <w:p w14:paraId="1B1F5FA5">
      <w:pPr>
        <w:bidi w:val="0"/>
        <w:rPr>
          <w:rFonts w:hint="default"/>
          <w:lang w:val="en-US" w:eastAsia="zh-CN"/>
        </w:rPr>
      </w:pPr>
      <w:r>
        <w:rPr>
          <w:rFonts w:hint="default"/>
          <w:b/>
          <w:bCs/>
          <w:lang w:val="en-US" w:eastAsia="zh-CN"/>
        </w:rPr>
        <w:t>推广使用环保建材：</w:t>
      </w:r>
      <w:r>
        <w:rPr>
          <w:rFonts w:hint="default"/>
          <w:lang w:val="en-US" w:eastAsia="zh-CN"/>
        </w:rPr>
        <w:t>使用低挥发性有机化合物（VOC）含量低的涂料、无甲醛的板材等环保建材，以减少建筑垃圾产生和大气污染。</w:t>
      </w:r>
    </w:p>
    <w:p w14:paraId="1BEFE94E">
      <w:pPr>
        <w:bidi w:val="0"/>
        <w:rPr>
          <w:rFonts w:hint="default"/>
          <w:lang w:val="en-US" w:eastAsia="zh-CN"/>
        </w:rPr>
      </w:pPr>
      <w:r>
        <w:rPr>
          <w:rFonts w:hint="default"/>
          <w:b/>
          <w:bCs/>
          <w:lang w:val="en-US" w:eastAsia="zh-CN"/>
        </w:rPr>
        <w:t>提高施工管理水平：</w:t>
      </w:r>
      <w:r>
        <w:rPr>
          <w:rFonts w:hint="default"/>
          <w:lang w:val="en-US" w:eastAsia="zh-CN"/>
        </w:rPr>
        <w:t>加强建筑施工现场的污染源排放控制和监管，严格执行大气污染物排放标准，以减少建筑垃圾源头的大气污染。</w:t>
      </w:r>
    </w:p>
    <w:p w14:paraId="1BB79CF4">
      <w:pPr>
        <w:pStyle w:val="4"/>
        <w:bidi w:val="0"/>
        <w:rPr>
          <w:rFonts w:hint="eastAsia"/>
          <w:lang w:val="en-US" w:eastAsia="zh-CN"/>
        </w:rPr>
      </w:pPr>
      <w:r>
        <w:rPr>
          <w:rFonts w:hint="eastAsia"/>
          <w:lang w:val="en-US" w:eastAsia="zh-CN"/>
        </w:rPr>
        <w:t>（3）噪声污染防治措施</w:t>
      </w:r>
    </w:p>
    <w:p w14:paraId="3AB66DE4">
      <w:pPr>
        <w:bidi w:val="0"/>
        <w:rPr>
          <w:rFonts w:hint="default"/>
          <w:lang w:val="en-US" w:eastAsia="zh-CN"/>
        </w:rPr>
      </w:pPr>
      <w:r>
        <w:rPr>
          <w:rFonts w:hint="default"/>
          <w:b/>
          <w:bCs/>
          <w:lang w:val="en-US" w:eastAsia="zh-CN"/>
        </w:rPr>
        <w:t>设备选择与管理</w:t>
      </w:r>
      <w:r>
        <w:rPr>
          <w:rFonts w:hint="eastAsia"/>
          <w:b/>
          <w:bCs/>
          <w:lang w:val="en-US" w:eastAsia="zh-CN"/>
        </w:rPr>
        <w:t>：</w:t>
      </w:r>
      <w:r>
        <w:rPr>
          <w:rFonts w:hint="default"/>
          <w:lang w:val="en-US" w:eastAsia="zh-CN"/>
        </w:rPr>
        <w:t>优先选用低噪声级的设备机械，例如低噪音挖掘机、电锯等，避免使用高噪声设备</w:t>
      </w:r>
      <w:r>
        <w:rPr>
          <w:rFonts w:hint="eastAsia"/>
          <w:lang w:val="en-US" w:eastAsia="zh-CN"/>
        </w:rPr>
        <w:t>；</w:t>
      </w:r>
      <w:r>
        <w:rPr>
          <w:rFonts w:hint="default"/>
          <w:lang w:val="en-US" w:eastAsia="zh-CN"/>
        </w:rPr>
        <w:t>对于产生高声级的设备，应设法安装隔声装置，并建立封闭的操作棚，以减少噪声的扩散；定期对设备进行维护和保养，确保设备处于良好状态，降低因设备老化或故障产生的噪声。</w:t>
      </w:r>
    </w:p>
    <w:p w14:paraId="037430EB">
      <w:pPr>
        <w:bidi w:val="0"/>
        <w:rPr>
          <w:rFonts w:hint="default"/>
          <w:lang w:val="en-US" w:eastAsia="zh-CN"/>
        </w:rPr>
      </w:pPr>
      <w:r>
        <w:rPr>
          <w:rFonts w:hint="default"/>
          <w:b/>
          <w:bCs/>
          <w:lang w:val="en-US" w:eastAsia="zh-CN"/>
        </w:rPr>
        <w:t>施工时间管理</w:t>
      </w:r>
      <w:r>
        <w:rPr>
          <w:rFonts w:hint="eastAsia"/>
          <w:b/>
          <w:bCs/>
          <w:lang w:val="en-US" w:eastAsia="zh-CN"/>
        </w:rPr>
        <w:t>：</w:t>
      </w:r>
      <w:r>
        <w:rPr>
          <w:rFonts w:hint="default"/>
          <w:lang w:val="en-US" w:eastAsia="zh-CN"/>
        </w:rPr>
        <w:t>严格执行国家和地方标准，禁止推土机、挖掘机等高噪声设备在夜间22</w:t>
      </w:r>
      <w:r>
        <w:rPr>
          <w:rFonts w:hint="eastAsia"/>
          <w:lang w:val="en-US" w:eastAsia="zh-CN"/>
        </w:rPr>
        <w:t>：</w:t>
      </w:r>
      <w:r>
        <w:rPr>
          <w:rFonts w:hint="default"/>
          <w:lang w:val="en-US" w:eastAsia="zh-CN"/>
        </w:rPr>
        <w:t>00至凌晨6</w:t>
      </w:r>
      <w:r>
        <w:rPr>
          <w:rFonts w:hint="eastAsia"/>
          <w:lang w:val="en-US" w:eastAsia="zh-CN"/>
        </w:rPr>
        <w:t>：</w:t>
      </w:r>
      <w:r>
        <w:rPr>
          <w:rFonts w:hint="default"/>
          <w:lang w:val="en-US" w:eastAsia="zh-CN"/>
        </w:rPr>
        <w:t>00施工，特别是在居民区、学校等敏感区域内</w:t>
      </w:r>
      <w:r>
        <w:rPr>
          <w:rFonts w:hint="eastAsia"/>
          <w:lang w:val="en-US" w:eastAsia="zh-CN"/>
        </w:rPr>
        <w:t>；</w:t>
      </w:r>
      <w:r>
        <w:rPr>
          <w:rFonts w:hint="default"/>
          <w:lang w:val="en-US" w:eastAsia="zh-CN"/>
        </w:rPr>
        <w:t>昼间施工应避免在</w:t>
      </w:r>
      <w:r>
        <w:rPr>
          <w:rFonts w:hint="eastAsia"/>
          <w:lang w:val="en-US" w:eastAsia="zh-CN"/>
        </w:rPr>
        <w:t>午休时间</w:t>
      </w:r>
      <w:r>
        <w:rPr>
          <w:rFonts w:hint="default"/>
          <w:lang w:val="en-US" w:eastAsia="zh-CN"/>
        </w:rPr>
        <w:t>使用大型机械，如果特殊需求，必须在夜间进行有噪声污染的作业，应事先填写申请报请环境保护行政主管部门审批，并提前通知附近居民。</w:t>
      </w:r>
    </w:p>
    <w:p w14:paraId="12B14A62">
      <w:pPr>
        <w:bidi w:val="0"/>
        <w:rPr>
          <w:rFonts w:hint="default"/>
          <w:lang w:val="en-US" w:eastAsia="zh-CN"/>
        </w:rPr>
      </w:pPr>
      <w:r>
        <w:rPr>
          <w:rFonts w:hint="default"/>
          <w:b/>
          <w:bCs/>
          <w:lang w:val="en-US" w:eastAsia="zh-CN"/>
        </w:rPr>
        <w:t>施工方法优化</w:t>
      </w:r>
      <w:r>
        <w:rPr>
          <w:rFonts w:hint="eastAsia"/>
          <w:b/>
          <w:bCs/>
          <w:lang w:val="en-US" w:eastAsia="zh-CN"/>
        </w:rPr>
        <w:t>：</w:t>
      </w:r>
      <w:r>
        <w:rPr>
          <w:rFonts w:hint="default"/>
          <w:lang w:val="en-US" w:eastAsia="zh-CN"/>
        </w:rPr>
        <w:t>尽量使用商品混凝土代替水泥搅拌站，减少现场搅拌产生的噪声</w:t>
      </w:r>
      <w:r>
        <w:rPr>
          <w:rFonts w:hint="eastAsia"/>
          <w:lang w:val="en-US" w:eastAsia="zh-CN"/>
        </w:rPr>
        <w:t>；</w:t>
      </w:r>
      <w:bookmarkStart w:id="148" w:name="OLE_LINK87"/>
      <w:r>
        <w:rPr>
          <w:rFonts w:hint="default"/>
          <w:lang w:val="en-US" w:eastAsia="zh-CN"/>
        </w:rPr>
        <w:t>在建筑垃圾收集阶段，设置合理的垃圾分类分区，减少垃圾运输车辆在工地内部行驶距离和频率</w:t>
      </w:r>
      <w:r>
        <w:rPr>
          <w:rFonts w:hint="eastAsia"/>
          <w:lang w:val="en-US" w:eastAsia="zh-CN"/>
        </w:rPr>
        <w:t>；</w:t>
      </w:r>
      <w:r>
        <w:rPr>
          <w:rFonts w:hint="default"/>
          <w:lang w:val="en-US" w:eastAsia="zh-CN"/>
        </w:rPr>
        <w:t>选择低噪音、低振动的运输车辆，并对车辆进行定期维护保养。</w:t>
      </w:r>
    </w:p>
    <w:bookmarkEnd w:id="148"/>
    <w:p w14:paraId="3A04F252">
      <w:pPr>
        <w:bidi w:val="0"/>
        <w:rPr>
          <w:rFonts w:hint="default"/>
          <w:lang w:val="en-US" w:eastAsia="zh-CN"/>
        </w:rPr>
      </w:pPr>
      <w:r>
        <w:rPr>
          <w:rFonts w:hint="default"/>
          <w:b/>
          <w:bCs/>
          <w:lang w:val="en-US" w:eastAsia="zh-CN"/>
        </w:rPr>
        <w:t>施工场地布置</w:t>
      </w:r>
      <w:r>
        <w:rPr>
          <w:rFonts w:hint="eastAsia"/>
          <w:b/>
          <w:bCs/>
          <w:lang w:val="en-US" w:eastAsia="zh-CN"/>
        </w:rPr>
        <w:t>：</w:t>
      </w:r>
      <w:bookmarkStart w:id="149" w:name="OLE_LINK88"/>
      <w:r>
        <w:rPr>
          <w:rFonts w:hint="default"/>
          <w:lang w:val="en-US" w:eastAsia="zh-CN"/>
        </w:rPr>
        <w:t>将设备尽量放在建筑工地的中心，以最大限度减轻施工机械对周围环境的影响；在施工场地周围设置简易隔声屏障，阻断声音的传播，减轻噪声对周围环境的影响。</w:t>
      </w:r>
    </w:p>
    <w:bookmarkEnd w:id="149"/>
    <w:p w14:paraId="67115207">
      <w:pPr>
        <w:bidi w:val="0"/>
        <w:rPr>
          <w:rFonts w:hint="default"/>
          <w:lang w:val="en-US" w:eastAsia="zh-CN"/>
        </w:rPr>
      </w:pPr>
      <w:r>
        <w:rPr>
          <w:rFonts w:hint="default"/>
          <w:b/>
          <w:bCs/>
          <w:lang w:val="en-US" w:eastAsia="zh-CN"/>
        </w:rPr>
        <w:t>人为噪声控制</w:t>
      </w:r>
      <w:r>
        <w:rPr>
          <w:rFonts w:hint="eastAsia"/>
          <w:b/>
          <w:bCs/>
          <w:lang w:val="en-US" w:eastAsia="zh-CN"/>
        </w:rPr>
        <w:t>：</w:t>
      </w:r>
      <w:r>
        <w:rPr>
          <w:rFonts w:hint="default"/>
          <w:lang w:val="en-US" w:eastAsia="zh-CN"/>
        </w:rPr>
        <w:t>倡导文明施工，建立健全控制人为噪声的管理制度</w:t>
      </w:r>
      <w:r>
        <w:rPr>
          <w:rFonts w:hint="eastAsia"/>
          <w:lang w:val="en-US" w:eastAsia="zh-CN"/>
        </w:rPr>
        <w:t>，</w:t>
      </w:r>
      <w:r>
        <w:rPr>
          <w:rFonts w:hint="default"/>
          <w:lang w:val="en-US" w:eastAsia="zh-CN"/>
        </w:rPr>
        <w:t>增强全体施工人员防噪声扰民的自觉意识；尽量减少人为的大声喧哗，保持施工现场的秩序和安静。</w:t>
      </w:r>
    </w:p>
    <w:p w14:paraId="5017800B">
      <w:pPr>
        <w:bidi w:val="0"/>
        <w:rPr>
          <w:rFonts w:hint="default"/>
          <w:b/>
          <w:bCs/>
          <w:lang w:val="en-US" w:eastAsia="zh-CN"/>
        </w:rPr>
      </w:pPr>
      <w:bookmarkStart w:id="150" w:name="OLE_LINK86"/>
      <w:r>
        <w:rPr>
          <w:rFonts w:hint="eastAsia"/>
          <w:b/>
          <w:bCs/>
          <w:lang w:val="en-US" w:eastAsia="zh-CN"/>
        </w:rPr>
        <w:t>（4）水</w:t>
      </w:r>
      <w:bookmarkEnd w:id="150"/>
      <w:r>
        <w:rPr>
          <w:rFonts w:hint="eastAsia"/>
          <w:b/>
          <w:bCs/>
          <w:lang w:val="en-US" w:eastAsia="zh-CN"/>
        </w:rPr>
        <w:t>环境污染防治</w:t>
      </w:r>
    </w:p>
    <w:p w14:paraId="1699E23F">
      <w:pPr>
        <w:bidi w:val="0"/>
        <w:rPr>
          <w:rFonts w:hint="eastAsia"/>
          <w:lang w:eastAsia="zh-CN"/>
        </w:rPr>
      </w:pPr>
      <w:r>
        <w:rPr>
          <w:rFonts w:hint="eastAsia"/>
          <w:b/>
          <w:bCs/>
          <w:lang w:eastAsia="zh-CN"/>
        </w:rPr>
        <w:t>源头控制：</w:t>
      </w:r>
      <w:r>
        <w:rPr>
          <w:rFonts w:hint="eastAsia"/>
          <w:lang w:eastAsia="zh-CN"/>
        </w:rPr>
        <w:t>合理规划施工区域，在项目规划初期，应合理规划施工区域的选择，尽量远离水源地、水体和水生态保护区，以减少对周边水环境的影响；监督材料管理，严格控制施工现场的材料管理，确保材料储存区合理，防止材料暴露在雨水中，避免水中的有害物质溶解和扩散；控制建筑垃圾产生，采取垃圾分类、封装和及时清运等措施，防止建筑垃圾进入水体。</w:t>
      </w:r>
    </w:p>
    <w:p w14:paraId="23C02A1F">
      <w:pPr>
        <w:bidi w:val="0"/>
        <w:rPr>
          <w:rFonts w:hint="eastAsia"/>
          <w:lang w:eastAsia="zh-CN"/>
        </w:rPr>
      </w:pPr>
      <w:r>
        <w:rPr>
          <w:rFonts w:hint="eastAsia"/>
          <w:b/>
          <w:bCs/>
          <w:lang w:eastAsia="zh-CN"/>
        </w:rPr>
        <w:t>施工过程管控：</w:t>
      </w:r>
      <w:r>
        <w:rPr>
          <w:rFonts w:hint="eastAsia"/>
          <w:lang w:eastAsia="zh-CN"/>
        </w:rPr>
        <w:t>管理施工排水口，加强对排水口的管理，确保排出的废水经过必要的净化处理后，再排放至外部水体或污水处理站；严格控制土方开挖，在</w:t>
      </w:r>
      <w:bookmarkStart w:id="151" w:name="OLE_LINK89"/>
      <w:r>
        <w:rPr>
          <w:rFonts w:hint="eastAsia"/>
          <w:lang w:eastAsia="zh-CN"/>
        </w:rPr>
        <w:t>土方开挖过程中，应采取有效措施防止土壤和泥浆进入水体，例</w:t>
      </w:r>
      <w:bookmarkEnd w:id="151"/>
      <w:r>
        <w:rPr>
          <w:rFonts w:hint="eastAsia"/>
          <w:lang w:eastAsia="zh-CN"/>
        </w:rPr>
        <w:t>如：可以使用护坡、挡土墙等结构来阻挡土壤和泥浆的流动；设置车辆冲洗池，</w:t>
      </w:r>
      <w:bookmarkStart w:id="152" w:name="OLE_LINK90"/>
      <w:r>
        <w:rPr>
          <w:rFonts w:hint="eastAsia"/>
          <w:lang w:eastAsia="zh-CN"/>
        </w:rPr>
        <w:t>车辆在冲洗干净后方可出场，严禁车辆带泥上路，不具备条件设置冲洗池的施工现场，应派专</w:t>
      </w:r>
      <w:bookmarkEnd w:id="152"/>
      <w:r>
        <w:rPr>
          <w:rFonts w:hint="eastAsia"/>
          <w:lang w:eastAsia="zh-CN"/>
        </w:rPr>
        <w:t>人冲洗车辆并将废水收集至污水池。</w:t>
      </w:r>
    </w:p>
    <w:p w14:paraId="606833AB">
      <w:pPr>
        <w:pStyle w:val="2"/>
        <w:bidi w:val="0"/>
        <w:rPr>
          <w:lang w:eastAsia="en-US"/>
        </w:rPr>
      </w:pPr>
      <w:bookmarkStart w:id="153" w:name="_Toc1464"/>
      <w:r>
        <w:rPr>
          <w:lang w:eastAsia="en-US"/>
        </w:rPr>
        <w:t>七、收运体系规划</w:t>
      </w:r>
      <w:bookmarkEnd w:id="153"/>
    </w:p>
    <w:p w14:paraId="650433D9">
      <w:pPr>
        <w:pStyle w:val="3"/>
        <w:bidi w:val="0"/>
        <w:rPr>
          <w:rFonts w:hint="eastAsia" w:ascii="楷体" w:hAnsi="楷体" w:eastAsia="楷体" w:cs="楷体"/>
          <w:sz w:val="28"/>
          <w:szCs w:val="28"/>
          <w:lang w:val="en-US" w:eastAsia="en-US"/>
        </w:rPr>
      </w:pPr>
      <w:bookmarkStart w:id="154" w:name="_Toc31290"/>
      <w:r>
        <w:rPr>
          <w:rFonts w:hint="eastAsia" w:ascii="楷体" w:hAnsi="楷体" w:eastAsia="楷体" w:cs="楷体"/>
          <w:sz w:val="28"/>
          <w:szCs w:val="28"/>
          <w:lang w:val="en-US" w:eastAsia="en-US"/>
        </w:rPr>
        <w:t>（一）基本要求</w:t>
      </w:r>
      <w:bookmarkEnd w:id="154"/>
    </w:p>
    <w:p w14:paraId="1EA6397F">
      <w:pPr>
        <w:bidi w:val="0"/>
        <w:rPr>
          <w:lang w:eastAsia="en-US"/>
        </w:rPr>
      </w:pPr>
      <w:r>
        <w:rPr>
          <w:rFonts w:hint="eastAsia"/>
        </w:rPr>
        <w:t>构建“市场运作、分类精准、运输高效、监管严密”的建筑垃圾收运处理一体化系统，</w:t>
      </w:r>
      <w:bookmarkStart w:id="155" w:name="OLE_LINK42"/>
      <w:r>
        <w:rPr>
          <w:rFonts w:hint="eastAsia"/>
          <w:lang w:val="en-US" w:eastAsia="zh-CN"/>
        </w:rPr>
        <w:t>从源头减量、分类管理、运输监管及执法协同等多方面系统推进，提高建筑垃圾</w:t>
      </w:r>
      <w:r>
        <w:rPr>
          <w:lang w:eastAsia="en-US"/>
        </w:rPr>
        <w:t>收运的规范性、安全性和环保性，减少对环境的影响。</w:t>
      </w:r>
      <w:bookmarkEnd w:id="155"/>
    </w:p>
    <w:p w14:paraId="688F0A49">
      <w:pPr>
        <w:pStyle w:val="4"/>
        <w:bidi w:val="0"/>
        <w:rPr>
          <w:lang w:eastAsia="en-US"/>
        </w:rPr>
      </w:pPr>
      <w:bookmarkStart w:id="156" w:name="OLE_LINK43"/>
      <w:r>
        <w:rPr>
          <w:rFonts w:hint="eastAsia"/>
          <w:lang w:val="en-US" w:eastAsia="zh-CN"/>
        </w:rPr>
        <w:t>1、</w:t>
      </w:r>
      <w:r>
        <w:rPr>
          <w:lang w:eastAsia="en-US"/>
        </w:rPr>
        <w:t>分类收</w:t>
      </w:r>
      <w:bookmarkEnd w:id="156"/>
      <w:r>
        <w:rPr>
          <w:lang w:eastAsia="en-US"/>
        </w:rPr>
        <w:t>集</w:t>
      </w:r>
    </w:p>
    <w:p w14:paraId="0DB5850C">
      <w:pPr>
        <w:bidi w:val="0"/>
        <w:rPr>
          <w:lang w:eastAsia="en-US"/>
        </w:rPr>
      </w:pPr>
      <w:r>
        <w:rPr>
          <w:rFonts w:hint="eastAsia"/>
          <w:lang w:val="en-US" w:eastAsia="zh-CN"/>
        </w:rPr>
        <w:t>遵循资源化利用的原则</w:t>
      </w:r>
      <w:r>
        <w:rPr>
          <w:lang w:eastAsia="en-US"/>
        </w:rPr>
        <w:t>对</w:t>
      </w:r>
      <w:r>
        <w:rPr>
          <w:rFonts w:hint="eastAsia"/>
          <w:lang w:val="en-US" w:eastAsia="zh-CN"/>
        </w:rPr>
        <w:t>县域内</w:t>
      </w:r>
      <w:r>
        <w:rPr>
          <w:lang w:eastAsia="en-US"/>
        </w:rPr>
        <w:t>建筑垃圾实行分类收集</w:t>
      </w:r>
      <w:r>
        <w:rPr>
          <w:rFonts w:hint="eastAsia"/>
          <w:lang w:val="en-US" w:eastAsia="zh-CN"/>
        </w:rPr>
        <w:t>和</w:t>
      </w:r>
      <w:r>
        <w:rPr>
          <w:lang w:eastAsia="en-US"/>
        </w:rPr>
        <w:t>全面管控，确保无管理漏洞现象的发生；</w:t>
      </w:r>
      <w:r>
        <w:t>施工组织设计制订建筑垃圾分类收集方案包括建筑垃圾产生量预测、具体分类堆放场地布置、收集设施配置等内容</w:t>
      </w:r>
      <w:r>
        <w:rPr>
          <w:rFonts w:hint="eastAsia"/>
          <w:lang w:eastAsia="zh-CN"/>
        </w:rPr>
        <w:t>，</w:t>
      </w:r>
      <w:r>
        <w:rPr>
          <w:lang w:eastAsia="en-US"/>
        </w:rPr>
        <w:t>通过有效的现场分类，突出建筑垃圾潜在的资源性，提高建筑垃圾再利用率，降低运输、分选和处理成本，实现其循环利用。</w:t>
      </w:r>
    </w:p>
    <w:p w14:paraId="420CF4F5">
      <w:pPr>
        <w:pStyle w:val="4"/>
        <w:bidi w:val="0"/>
        <w:rPr>
          <w:lang w:eastAsia="en-US"/>
        </w:rPr>
      </w:pPr>
      <w:bookmarkStart w:id="157" w:name="OLE_LINK45"/>
      <w:r>
        <w:rPr>
          <w:rFonts w:hint="eastAsia"/>
          <w:lang w:val="en-US" w:eastAsia="zh-CN"/>
        </w:rPr>
        <w:t>2、</w:t>
      </w:r>
      <w:r>
        <w:rPr>
          <w:lang w:eastAsia="en-US"/>
        </w:rPr>
        <w:t>密闭运输</w:t>
      </w:r>
      <w:bookmarkEnd w:id="157"/>
    </w:p>
    <w:p w14:paraId="631DFCA7">
      <w:pPr>
        <w:bidi w:val="0"/>
        <w:rPr>
          <w:lang w:eastAsia="en-US"/>
        </w:rPr>
      </w:pPr>
      <w:r>
        <w:rPr>
          <w:rFonts w:hint="eastAsia"/>
          <w:lang w:eastAsia="en-US"/>
        </w:rPr>
        <w:t>建筑垃圾转运实现100%密闭化运输</w:t>
      </w:r>
      <w:bookmarkStart w:id="158" w:name="OLE_LINK91"/>
      <w:r>
        <w:rPr>
          <w:rFonts w:hint="eastAsia"/>
          <w:lang w:eastAsia="zh-CN"/>
        </w:rPr>
        <w:t>，</w:t>
      </w:r>
      <w:r>
        <w:rPr>
          <w:rFonts w:hint="eastAsia"/>
          <w:lang w:eastAsia="en-US"/>
        </w:rPr>
        <w:t>全部采用密闭式车厢</w:t>
      </w:r>
      <w:r>
        <w:rPr>
          <w:rFonts w:hint="eastAsia"/>
          <w:lang w:eastAsia="zh-CN"/>
        </w:rPr>
        <w:t>，</w:t>
      </w:r>
      <w:r>
        <w:rPr>
          <w:rFonts w:hint="eastAsia"/>
          <w:lang w:eastAsia="en-US"/>
        </w:rPr>
        <w:t>将建筑垃圾完全封闭进行运输</w:t>
      </w:r>
      <w:r>
        <w:rPr>
          <w:rFonts w:hint="eastAsia"/>
          <w:lang w:eastAsia="zh-CN"/>
        </w:rPr>
        <w:t>，</w:t>
      </w:r>
      <w:r>
        <w:rPr>
          <w:lang w:eastAsia="en-US"/>
        </w:rPr>
        <w:t>车辆应具备全密闭防撒漏装置</w:t>
      </w:r>
      <w:r>
        <w:rPr>
          <w:rFonts w:hint="eastAsia"/>
          <w:lang w:eastAsia="zh-CN"/>
        </w:rPr>
        <w:t>，</w:t>
      </w:r>
      <w:r>
        <w:rPr>
          <w:lang w:eastAsia="en-US"/>
        </w:rPr>
        <w:t>密闭</w:t>
      </w:r>
      <w:bookmarkEnd w:id="158"/>
      <w:r>
        <w:rPr>
          <w:lang w:eastAsia="en-US"/>
        </w:rPr>
        <w:t>装置应结构简单、坚固耐用，有良好的密封性，当承载车辆直线行驶、转弯、紧急制动或行经颠簸路面时，不得遗撒、扬尘。</w:t>
      </w:r>
    </w:p>
    <w:p w14:paraId="493C5CE7">
      <w:pPr>
        <w:pStyle w:val="4"/>
        <w:bidi w:val="0"/>
        <w:rPr>
          <w:lang w:eastAsia="en-US"/>
        </w:rPr>
      </w:pPr>
      <w:bookmarkStart w:id="159" w:name="OLE_LINK46"/>
      <w:r>
        <w:rPr>
          <w:rFonts w:hint="eastAsia"/>
          <w:lang w:val="en-US" w:eastAsia="zh-CN"/>
        </w:rPr>
        <w:t>3、</w:t>
      </w:r>
      <w:r>
        <w:rPr>
          <w:lang w:eastAsia="en-US"/>
        </w:rPr>
        <w:t>运输路线</w:t>
      </w:r>
      <w:bookmarkEnd w:id="159"/>
    </w:p>
    <w:p w14:paraId="3DB1DDC4">
      <w:pPr>
        <w:bidi w:val="0"/>
        <w:rPr>
          <w:lang w:eastAsia="en-US"/>
        </w:rPr>
      </w:pPr>
      <w:r>
        <w:rPr>
          <w:lang w:eastAsia="en-US"/>
        </w:rPr>
        <w:t>所有建筑垃圾运输车辆应按照规定向</w:t>
      </w:r>
      <w:bookmarkStart w:id="160" w:name="OLE_LINK92"/>
      <w:r>
        <w:rPr>
          <w:u w:val="single"/>
          <w:lang w:eastAsia="en-US"/>
        </w:rPr>
        <w:t>城市综合管理部门</w:t>
      </w:r>
      <w:bookmarkEnd w:id="160"/>
      <w:r>
        <w:rPr>
          <w:rFonts w:hint="eastAsia"/>
          <w:u w:val="single"/>
          <w:lang w:eastAsia="zh-CN"/>
        </w:rPr>
        <w:t>、</w:t>
      </w:r>
      <w:r>
        <w:rPr>
          <w:rFonts w:hint="eastAsia"/>
          <w:u w:val="single"/>
          <w:lang w:val="en-US" w:eastAsia="zh-CN"/>
        </w:rPr>
        <w:t>交管部门</w:t>
      </w:r>
      <w:r>
        <w:rPr>
          <w:rFonts w:hint="eastAsia"/>
          <w:lang w:val="en-US" w:eastAsia="zh-CN"/>
        </w:rPr>
        <w:t>进行申报，</w:t>
      </w:r>
      <w:r>
        <w:rPr>
          <w:lang w:eastAsia="en-US"/>
        </w:rPr>
        <w:t>按照其指定的区域、路线、时段进行运输。收运路线应尽量避免穿越城区，同时应能根据工作量，调节每条作业线路的收集</w:t>
      </w:r>
      <w:r>
        <w:rPr>
          <w:rFonts w:hint="eastAsia"/>
          <w:lang w:eastAsia="zh-CN"/>
        </w:rPr>
        <w:t>—</w:t>
      </w:r>
      <w:r>
        <w:rPr>
          <w:lang w:eastAsia="en-US"/>
        </w:rPr>
        <w:t>运输时间，尽量减少对高峰期交通运输的影响。</w:t>
      </w:r>
    </w:p>
    <w:p w14:paraId="74920520">
      <w:pPr>
        <w:bidi w:val="0"/>
        <w:rPr>
          <w:b/>
          <w:bCs/>
          <w:lang w:eastAsia="en-US"/>
        </w:rPr>
      </w:pPr>
      <w:bookmarkStart w:id="161" w:name="OLE_LINK48"/>
      <w:r>
        <w:rPr>
          <w:rFonts w:hint="eastAsia"/>
          <w:b/>
          <w:bCs/>
          <w:lang w:val="en-US" w:eastAsia="zh-CN"/>
        </w:rPr>
        <w:t>4、</w:t>
      </w:r>
      <w:r>
        <w:rPr>
          <w:b/>
          <w:bCs/>
          <w:lang w:eastAsia="en-US"/>
        </w:rPr>
        <w:t>收集运输单位</w:t>
      </w:r>
      <w:bookmarkEnd w:id="161"/>
    </w:p>
    <w:p w14:paraId="2D1727F1">
      <w:pPr>
        <w:bidi w:val="0"/>
        <w:rPr>
          <w:lang w:eastAsia="en-US"/>
        </w:rPr>
      </w:pPr>
      <w:r>
        <w:rPr>
          <w:lang w:eastAsia="en-US"/>
        </w:rPr>
        <w:t>根据住建部《</w:t>
      </w:r>
      <w:bookmarkStart w:id="162" w:name="OLE_LINK49"/>
      <w:r>
        <w:rPr>
          <w:lang w:eastAsia="en-US"/>
        </w:rPr>
        <w:t>住房和城乡建设部主管的行政许可事项实施规范</w:t>
      </w:r>
      <w:bookmarkEnd w:id="162"/>
      <w:r>
        <w:rPr>
          <w:lang w:eastAsia="en-US"/>
        </w:rPr>
        <w:t>》</w:t>
      </w:r>
      <w:r>
        <w:rPr>
          <w:rFonts w:hint="eastAsia"/>
          <w:lang w:val="en-US" w:eastAsia="zh-CN"/>
        </w:rPr>
        <w:t>的要求</w:t>
      </w:r>
      <w:r>
        <w:rPr>
          <w:lang w:eastAsia="en-US"/>
        </w:rPr>
        <w:t>，</w:t>
      </w:r>
      <w:r>
        <w:rPr>
          <w:rFonts w:hint="eastAsia"/>
          <w:lang w:val="en-US" w:eastAsia="zh-CN"/>
        </w:rPr>
        <w:t>桃江县</w:t>
      </w:r>
      <w:r>
        <w:rPr>
          <w:lang w:eastAsia="en-US"/>
        </w:rPr>
        <w:t>城市管理和综合执法</w:t>
      </w:r>
      <w:r>
        <w:rPr>
          <w:rFonts w:hint="eastAsia"/>
          <w:lang w:val="en-US" w:eastAsia="zh-CN"/>
        </w:rPr>
        <w:t>局</w:t>
      </w:r>
      <w:r>
        <w:rPr>
          <w:lang w:eastAsia="en-US"/>
        </w:rPr>
        <w:t>依法对进入</w:t>
      </w:r>
      <w:r>
        <w:rPr>
          <w:rFonts w:hint="eastAsia"/>
          <w:lang w:val="en-US" w:eastAsia="zh-CN"/>
        </w:rPr>
        <w:t>县域</w:t>
      </w:r>
      <w:r>
        <w:rPr>
          <w:lang w:eastAsia="en-US"/>
        </w:rPr>
        <w:t>建筑垃圾运输市场的企业实施城市建筑垃圾运输核准，对符合条件的运输企业核发城市建筑垃圾运输核准证件（含运营车辆标志）。</w:t>
      </w:r>
      <w:r>
        <w:rPr>
          <w:rFonts w:hint="eastAsia"/>
          <w:lang w:val="en-US" w:eastAsia="zh-CN"/>
        </w:rPr>
        <w:t>建筑垃圾运输单位应当配备符合技术规范的运输车辆；</w:t>
      </w:r>
      <w:r>
        <w:rPr>
          <w:lang w:eastAsia="en-US"/>
        </w:rPr>
        <w:t>建筑垃圾运输单位应有固定办公场所和与经营规模相适应的停车场</w:t>
      </w:r>
      <w:r>
        <w:rPr>
          <w:rFonts w:hint="eastAsia"/>
          <w:lang w:eastAsia="zh-CN"/>
        </w:rPr>
        <w:t>；</w:t>
      </w:r>
      <w:r>
        <w:rPr>
          <w:rFonts w:hint="eastAsia"/>
          <w:lang w:val="en-US" w:eastAsia="zh-CN"/>
        </w:rPr>
        <w:t>施工现场配备管理人员，配合建设单位或者施工单位履行职责，并做好书面记录。</w:t>
      </w:r>
    </w:p>
    <w:p w14:paraId="5045C3BE">
      <w:pPr>
        <w:pStyle w:val="4"/>
        <w:bidi w:val="0"/>
        <w:rPr>
          <w:lang w:eastAsia="en-US"/>
        </w:rPr>
      </w:pPr>
      <w:r>
        <w:rPr>
          <w:rFonts w:hint="eastAsia"/>
          <w:lang w:val="en-US" w:eastAsia="zh-CN"/>
        </w:rPr>
        <w:t>5、</w:t>
      </w:r>
      <w:r>
        <w:rPr>
          <w:lang w:eastAsia="en-US"/>
        </w:rPr>
        <w:t>处理处置单位</w:t>
      </w:r>
    </w:p>
    <w:p w14:paraId="3C04459D">
      <w:pPr>
        <w:bidi w:val="0"/>
        <w:rPr>
          <w:lang w:eastAsia="en-US"/>
        </w:rPr>
      </w:pPr>
      <w:r>
        <w:rPr>
          <w:lang w:eastAsia="en-US"/>
        </w:rPr>
        <w:t>经营建筑垃圾处置的单位，应当向</w:t>
      </w:r>
      <w:r>
        <w:rPr>
          <w:u w:val="single"/>
          <w:lang w:eastAsia="en-US"/>
        </w:rPr>
        <w:t>城市综合管理部门</w:t>
      </w:r>
      <w:r>
        <w:rPr>
          <w:lang w:eastAsia="en-US"/>
        </w:rPr>
        <w:t>申请建筑垃圾处置许可；建筑垃圾处置单位应当按照国家相关标准和规定，实施场内道路硬化，设置冲洗设施，配置管理人员和保洁人员；建筑垃圾处置单位不得受纳生活垃圾、危险废弃物和许可规定以外的建筑垃圾。</w:t>
      </w:r>
    </w:p>
    <w:p w14:paraId="7EFE5371">
      <w:pPr>
        <w:pStyle w:val="3"/>
        <w:bidi w:val="0"/>
        <w:rPr>
          <w:rFonts w:hint="eastAsia" w:ascii="楷体" w:hAnsi="楷体" w:eastAsia="楷体" w:cs="楷体"/>
          <w:sz w:val="28"/>
          <w:szCs w:val="28"/>
          <w:lang w:val="en-US" w:eastAsia="en-US"/>
        </w:rPr>
      </w:pPr>
      <w:bookmarkStart w:id="163" w:name="_Toc23636"/>
      <w:r>
        <w:rPr>
          <w:rFonts w:hint="eastAsia" w:ascii="楷体" w:hAnsi="楷体" w:eastAsia="楷体" w:cs="楷体"/>
          <w:sz w:val="28"/>
          <w:szCs w:val="28"/>
          <w:lang w:val="en-US" w:eastAsia="en-US"/>
        </w:rPr>
        <w:t>（二）收运模式</w:t>
      </w:r>
      <w:bookmarkEnd w:id="163"/>
    </w:p>
    <w:p w14:paraId="2BF011EC">
      <w:pPr>
        <w:bidi w:val="0"/>
        <w:rPr>
          <w:lang w:eastAsia="en-US"/>
        </w:rPr>
      </w:pPr>
      <w:r>
        <w:rPr>
          <w:rFonts w:hint="eastAsia"/>
          <w:lang w:val="en-US" w:eastAsia="zh-CN"/>
        </w:rPr>
        <w:t>桃江</w:t>
      </w:r>
      <w:r>
        <w:rPr>
          <w:rFonts w:hint="eastAsia"/>
          <w:lang w:eastAsia="zh-CN"/>
        </w:rPr>
        <w:t>县建筑垃圾</w:t>
      </w:r>
      <w:r>
        <w:rPr>
          <w:rFonts w:hint="eastAsia"/>
          <w:lang w:val="en-US" w:eastAsia="zh-CN"/>
        </w:rPr>
        <w:t>收运采用两种模式：一是直运模式，建筑垃圾产生企业将建筑垃圾统一整理后由建筑垃圾收运企业收集或渣土运输公司进行运送，建筑垃圾收运企业的主要任务是按规定的时间和地点收集建筑垃圾，并将其运送到指定建筑垃圾综合利用处理厂；</w:t>
      </w:r>
      <w:r>
        <w:rPr>
          <w:rFonts w:hint="eastAsia"/>
          <w:lang w:eastAsia="zh-CN"/>
        </w:rPr>
        <w:t>二是转运模式，</w:t>
      </w:r>
      <w:r>
        <w:rPr>
          <w:lang w:eastAsia="en-US"/>
        </w:rPr>
        <w:t>建筑垃圾产生单位把建筑垃圾运送至指定的建筑垃圾</w:t>
      </w:r>
      <w:r>
        <w:rPr>
          <w:rFonts w:hint="eastAsia"/>
          <w:lang w:val="en-US" w:eastAsia="zh-CN"/>
        </w:rPr>
        <w:t>转运调配场</w:t>
      </w:r>
      <w:r>
        <w:rPr>
          <w:lang w:eastAsia="en-US"/>
        </w:rPr>
        <w:t>，在建筑垃圾</w:t>
      </w:r>
      <w:r>
        <w:rPr>
          <w:rFonts w:hint="eastAsia"/>
          <w:lang w:val="en-US" w:eastAsia="zh-CN"/>
        </w:rPr>
        <w:t>转运调配场</w:t>
      </w:r>
      <w:r>
        <w:rPr>
          <w:lang w:eastAsia="en-US"/>
        </w:rPr>
        <w:t>进行临时堆放和分类贮存，之后再由建筑垃圾收运企业进行转运处理。</w:t>
      </w:r>
    </w:p>
    <w:p w14:paraId="201F0416">
      <w:pPr>
        <w:bidi w:val="0"/>
        <w:rPr>
          <w:rFonts w:hint="default"/>
          <w:lang w:val="en-US" w:eastAsia="zh-CN"/>
        </w:rPr>
      </w:pPr>
      <w:r>
        <w:rPr>
          <w:rFonts w:hint="eastAsia"/>
          <w:lang w:val="en-US" w:eastAsia="zh-CN"/>
        </w:rPr>
        <w:t>根据桃江县建筑垃圾产生量、</w:t>
      </w:r>
      <w:r>
        <w:rPr>
          <w:lang w:eastAsia="en-US"/>
        </w:rPr>
        <w:t>收运距离、道路交通、收运成本、收集场地条件等因素，</w:t>
      </w:r>
      <w:r>
        <w:rPr>
          <w:rFonts w:hint="eastAsia"/>
          <w:lang w:val="en-US" w:eastAsia="zh-CN"/>
        </w:rPr>
        <w:t>确定</w:t>
      </w:r>
      <w:r>
        <w:rPr>
          <w:rFonts w:hint="eastAsia"/>
          <w:lang w:eastAsia="zh-CN"/>
        </w:rPr>
        <w:t>收运模式为“源头</w:t>
      </w:r>
      <w:r>
        <w:rPr>
          <w:rFonts w:hint="eastAsia"/>
          <w:lang w:val="en-US" w:eastAsia="zh-CN"/>
        </w:rPr>
        <w:t>分类</w:t>
      </w:r>
      <w:r>
        <w:rPr>
          <w:rFonts w:hint="eastAsia"/>
          <w:lang w:eastAsia="zh-CN"/>
        </w:rPr>
        <w:t>集中，</w:t>
      </w:r>
      <w:r>
        <w:rPr>
          <w:rFonts w:hint="eastAsia"/>
          <w:lang w:val="en-US" w:eastAsia="zh-CN"/>
        </w:rPr>
        <w:t>定点收集</w:t>
      </w:r>
      <w:r>
        <w:rPr>
          <w:rFonts w:hint="eastAsia"/>
          <w:lang w:eastAsia="zh-CN"/>
        </w:rPr>
        <w:t>，直运和转运相结合”</w:t>
      </w:r>
      <w:r>
        <w:rPr>
          <w:lang w:eastAsia="en-US"/>
        </w:rPr>
        <w:t>。</w:t>
      </w:r>
      <w:r>
        <w:rPr>
          <w:rFonts w:hint="eastAsia"/>
          <w:lang w:val="en-US" w:eastAsia="zh-CN"/>
        </w:rPr>
        <w:t>对于离建筑垃圾综合利用基地或资源化利用厂距离20km内的建筑垃圾宜采用定点收集、直接收运模式；对于离建筑垃圾综合利用处理厂超过20km内的建筑垃圾宜采用通过建筑垃圾收集点转运模式。</w:t>
      </w:r>
    </w:p>
    <w:p w14:paraId="6AD3B095">
      <w:pPr>
        <w:pStyle w:val="3"/>
        <w:bidi w:val="0"/>
        <w:rPr>
          <w:rFonts w:hint="eastAsia" w:ascii="楷体" w:hAnsi="楷体" w:eastAsia="楷体" w:cs="楷体"/>
          <w:sz w:val="28"/>
          <w:szCs w:val="28"/>
          <w:lang w:val="en-US" w:eastAsia="en-US"/>
        </w:rPr>
      </w:pPr>
      <w:bookmarkStart w:id="164" w:name="_Toc10452"/>
      <w:r>
        <w:rPr>
          <w:rFonts w:hint="eastAsia" w:ascii="楷体" w:hAnsi="楷体" w:eastAsia="楷体" w:cs="楷体"/>
          <w:sz w:val="28"/>
          <w:szCs w:val="28"/>
          <w:lang w:val="en-US" w:eastAsia="en-US"/>
        </w:rPr>
        <w:t>（三）分类收运</w:t>
      </w:r>
      <w:bookmarkEnd w:id="164"/>
    </w:p>
    <w:p w14:paraId="701BDFF4">
      <w:pPr>
        <w:bidi w:val="0"/>
        <w:rPr>
          <w:lang w:eastAsia="en-US"/>
        </w:rPr>
      </w:pPr>
      <w:r>
        <w:rPr>
          <w:rFonts w:hint="eastAsia"/>
          <w:lang w:val="en-US" w:eastAsia="zh-CN"/>
        </w:rPr>
        <w:t>桃江县</w:t>
      </w:r>
      <w:r>
        <w:rPr>
          <w:lang w:eastAsia="en-US"/>
        </w:rPr>
        <w:t>建筑垃圾收运</w:t>
      </w:r>
      <w:r>
        <w:rPr>
          <w:rFonts w:hint="eastAsia"/>
          <w:lang w:val="en-US" w:eastAsia="zh-CN"/>
        </w:rPr>
        <w:t>实施</w:t>
      </w:r>
      <w:r>
        <w:rPr>
          <w:lang w:eastAsia="en-US"/>
        </w:rPr>
        <w:t>由建筑垃圾排放单位委托已依法取得建筑垃圾处置准运证的收运单位进行分类收集运输。根据不同建筑垃圾产生源的分布情况，结合建筑垃圾处理、资源化利用设施服务范围以及建筑垃圾处置方式，确定建筑垃圾收运模式和收运流程，因地制宜地推进建筑垃圾分类收集和运输，并做好相应台账记录。依托信息化管理技术与平台，逐步建立覆盖建筑垃圾收运处置全过程的电子联单跟踪系统，实现闭环监管，构建收运体系。</w:t>
      </w:r>
    </w:p>
    <w:p w14:paraId="19EDAFF1">
      <w:pPr>
        <w:bidi w:val="0"/>
        <w:rPr>
          <w:lang w:val="en-US" w:eastAsia="zh-CN"/>
        </w:rPr>
      </w:pPr>
      <w:r>
        <w:rPr>
          <w:rFonts w:hint="eastAsia"/>
          <w:lang w:val="en-US" w:eastAsia="zh-CN"/>
        </w:rPr>
        <w:t>建设、拆迁、装修等工程项目产生的建筑垃圾应按不同的产生源、种类、性质进行分别堆放、分类收运，具体流程如下。</w:t>
      </w:r>
    </w:p>
    <w:p w14:paraId="44F8664D">
      <w:pPr>
        <w:pStyle w:val="4"/>
        <w:bidi w:val="0"/>
        <w:rPr>
          <w:lang w:eastAsia="en-US"/>
        </w:rPr>
      </w:pPr>
      <w:r>
        <w:rPr>
          <w:lang w:eastAsia="en-US"/>
        </w:rPr>
        <w:t>1、工程渣土、工程泥浆</w:t>
      </w:r>
    </w:p>
    <w:p w14:paraId="4D497A70">
      <w:pPr>
        <w:bidi w:val="0"/>
        <w:rPr>
          <w:b/>
          <w:bCs/>
          <w:lang w:eastAsia="en-US"/>
        </w:rPr>
      </w:pPr>
      <w:r>
        <w:rPr>
          <w:b/>
          <w:bCs/>
          <w:lang w:eastAsia="en-US"/>
        </w:rPr>
        <w:t>（1）收运主体</w:t>
      </w:r>
    </w:p>
    <w:p w14:paraId="6F872D4E">
      <w:pPr>
        <w:bidi w:val="0"/>
        <w:rPr>
          <w:lang w:eastAsia="en-US"/>
        </w:rPr>
      </w:pPr>
      <w:r>
        <w:rPr>
          <w:lang w:eastAsia="en-US"/>
        </w:rPr>
        <w:t>建设单位和施工企业。</w:t>
      </w:r>
    </w:p>
    <w:p w14:paraId="2DD7ED86">
      <w:pPr>
        <w:bidi w:val="0"/>
        <w:rPr>
          <w:b/>
          <w:bCs/>
          <w:lang w:eastAsia="en-US"/>
        </w:rPr>
      </w:pPr>
      <w:r>
        <w:rPr>
          <w:b/>
          <w:bCs/>
          <w:lang w:eastAsia="en-US"/>
        </w:rPr>
        <w:t>（2）收运要求</w:t>
      </w:r>
    </w:p>
    <w:p w14:paraId="3A364324">
      <w:pPr>
        <w:bidi w:val="0"/>
        <w:rPr>
          <w:lang w:eastAsia="en-US"/>
        </w:rPr>
      </w:pPr>
      <w:r>
        <w:rPr>
          <w:lang w:eastAsia="en-US"/>
        </w:rPr>
        <w:t>表层耕植土不宜和其他土类、建筑垃圾混合，应单独堆放、控制堆高、覆盖保护；可用作建筑原材料的粉砂（土）、砂土以及卵（砾）石、岩石等，宜分类收集。</w:t>
      </w:r>
      <w:r>
        <w:rPr>
          <w:lang w:eastAsia="zh-CN"/>
        </w:rPr>
        <w:t>少量工程泥浆应通过工程现场设置的泥浆池收集，严禁未加处置的泥浆就地或随意排放</w:t>
      </w:r>
      <w:r>
        <w:rPr>
          <w:rFonts w:hint="eastAsia"/>
          <w:lang w:eastAsia="zh-CN"/>
        </w:rPr>
        <w:t>；</w:t>
      </w:r>
      <w:r>
        <w:rPr>
          <w:lang w:eastAsia="zh-CN"/>
        </w:rPr>
        <w:t>规模较大的建设工程，泥浆宜预先固化处理。</w:t>
      </w:r>
      <w:r>
        <w:rPr>
          <w:rFonts w:hint="eastAsia"/>
          <w:lang w:val="en-US" w:eastAsia="zh-CN"/>
        </w:rPr>
        <w:t>根据实际条件，工程渣土可在施工现场安全区域</w:t>
      </w:r>
      <w:r>
        <w:rPr>
          <w:lang w:eastAsia="en-US"/>
        </w:rPr>
        <w:t>临时</w:t>
      </w:r>
      <w:r>
        <w:rPr>
          <w:rFonts w:hint="eastAsia"/>
          <w:lang w:val="en-US" w:eastAsia="zh-CN"/>
        </w:rPr>
        <w:t>集中堆放或直接外运；</w:t>
      </w:r>
      <w:r>
        <w:rPr>
          <w:lang w:eastAsia="en-US"/>
        </w:rPr>
        <w:t>临时堆放</w:t>
      </w:r>
      <w:r>
        <w:rPr>
          <w:rFonts w:hint="eastAsia"/>
          <w:lang w:val="en-US" w:eastAsia="zh-CN"/>
        </w:rPr>
        <w:t>的工程渣土</w:t>
      </w:r>
      <w:r>
        <w:rPr>
          <w:lang w:eastAsia="en-US"/>
        </w:rPr>
        <w:t>堆放高度不应超出围挡高度，并与围挡（墙）及基坑周边保持安全距离，与现有的建筑物或构筑物保持安全距离。</w:t>
      </w:r>
    </w:p>
    <w:p w14:paraId="11D135B9">
      <w:pPr>
        <w:bidi w:val="0"/>
        <w:rPr>
          <w:b/>
          <w:bCs/>
          <w:lang w:eastAsia="en-US"/>
        </w:rPr>
      </w:pPr>
      <w:r>
        <w:rPr>
          <w:b/>
          <w:bCs/>
          <w:lang w:eastAsia="en-US"/>
        </w:rPr>
        <w:t>（3）收运流程</w:t>
      </w:r>
    </w:p>
    <w:p w14:paraId="14119C91">
      <w:pPr>
        <w:bidi w:val="0"/>
        <w:rPr>
          <w:lang w:eastAsia="en-US"/>
        </w:rPr>
      </w:pPr>
      <w:r>
        <w:rPr>
          <w:b/>
          <w:bCs/>
          <w:lang w:eastAsia="en-US"/>
        </w:rPr>
        <w:t>行政许可阶段：</w:t>
      </w:r>
      <w:r>
        <w:rPr>
          <w:lang w:eastAsia="en-US"/>
        </w:rPr>
        <w:t>产生单位和个人到</w:t>
      </w:r>
      <w:r>
        <w:rPr>
          <w:u w:val="single"/>
          <w:lang w:eastAsia="en-US"/>
        </w:rPr>
        <w:t>城市管理和综合执法部门</w:t>
      </w:r>
      <w:r>
        <w:rPr>
          <w:lang w:eastAsia="en-US"/>
        </w:rPr>
        <w:t>办理行政处置许可手续，提交工程相关信息，确定承运单位、运输时间，管理部门审核给予行政许可。</w:t>
      </w:r>
    </w:p>
    <w:p w14:paraId="3B652E69">
      <w:pPr>
        <w:bidi w:val="0"/>
        <w:rPr>
          <w:lang w:eastAsia="en-US"/>
        </w:rPr>
      </w:pPr>
      <w:bookmarkStart w:id="165" w:name="bookmark154"/>
      <w:bookmarkEnd w:id="165"/>
      <w:r>
        <w:rPr>
          <w:b/>
          <w:bCs/>
          <w:lang w:eastAsia="en-US"/>
        </w:rPr>
        <w:t>施工阶段：</w:t>
      </w:r>
      <w:r>
        <w:rPr>
          <w:lang w:eastAsia="en-US"/>
        </w:rPr>
        <w:t>施工现场需实施封闭管理和降尘措施，出入口应硬化并安装车辆冲洗设备和沉淀池，防止泥浆、渣土带出施工现场。工程泥浆在收运前必须经过干化处理，以减少运输过程中的泄漏和滴漏问题，确保泥浆达到可应用于土方平衡的状态。工地开工后，</w:t>
      </w:r>
      <w:r>
        <w:rPr>
          <w:u w:val="single"/>
          <w:lang w:eastAsia="en-US"/>
        </w:rPr>
        <w:t>城市管理和综合执法部门、住建部门</w:t>
      </w:r>
      <w:r>
        <w:rPr>
          <w:lang w:eastAsia="en-US"/>
        </w:rPr>
        <w:t>等不定期对施工现场进行巡查，监督干化处理及其它环保措施的实施情况</w:t>
      </w:r>
    </w:p>
    <w:p w14:paraId="4C2C5CAA">
      <w:pPr>
        <w:bidi w:val="0"/>
        <w:rPr>
          <w:lang w:eastAsia="en-US"/>
        </w:rPr>
      </w:pPr>
      <w:r>
        <w:rPr>
          <w:b/>
          <w:bCs/>
          <w:lang w:eastAsia="en-US"/>
        </w:rPr>
        <w:t>运输阶段：</w:t>
      </w:r>
      <w:r>
        <w:rPr>
          <w:lang w:eastAsia="en-US"/>
        </w:rPr>
        <w:t>工程渣土、工程泥浆产生后，由承运单位进场进行清运。建筑垃圾运输车辆的行驶路线和时间，由</w:t>
      </w:r>
      <w:r>
        <w:rPr>
          <w:u w:val="single"/>
          <w:lang w:eastAsia="en-US"/>
        </w:rPr>
        <w:t>交管部门</w:t>
      </w:r>
      <w:r>
        <w:rPr>
          <w:lang w:eastAsia="en-US"/>
        </w:rPr>
        <w:t>确定，并告知运输单位，同时要求车辆上安装卫星定位系统并全程开启。运输建筑垃圾的过程中保持箱体完好，采取密闭措施，相关执法部门进行全程定位监控，严厉查处无证运输车辆带泥行驶、抛洒滴漏等行为。</w:t>
      </w:r>
      <w:bookmarkStart w:id="166" w:name="OLE_LINK50"/>
      <w:bookmarkStart w:id="167" w:name="OLE_LINK51"/>
      <w:r>
        <w:rPr>
          <w:lang w:eastAsia="en-US"/>
        </w:rPr>
        <w:t>建筑垃圾运输车辆审查</w:t>
      </w:r>
      <w:bookmarkEnd w:id="166"/>
      <w:r>
        <w:rPr>
          <w:lang w:eastAsia="en-US"/>
        </w:rPr>
        <w:t>采用半年审制，严格审查企业车辆数量、车辆密闭性和管理情况。</w:t>
      </w:r>
    </w:p>
    <w:bookmarkEnd w:id="167"/>
    <w:p w14:paraId="0D85DA29">
      <w:pPr>
        <w:bidi w:val="0"/>
        <w:rPr>
          <w:lang w:eastAsia="en-US"/>
        </w:rPr>
      </w:pPr>
      <w:r>
        <w:rPr>
          <w:b/>
          <w:bCs/>
          <w:lang w:eastAsia="en-US"/>
        </w:rPr>
        <w:t>处置阶段：</w:t>
      </w:r>
      <w:r>
        <w:rPr>
          <w:lang w:eastAsia="en-US"/>
        </w:rPr>
        <w:t>工程渣土、工程泥浆必须清运至指定的处置场所，以及其他能够资源化利用的场所。</w:t>
      </w:r>
      <w:r>
        <w:rPr>
          <w:u w:val="single"/>
          <w:lang w:eastAsia="en-US"/>
        </w:rPr>
        <w:t>城市管理和综合执法部门</w:t>
      </w:r>
      <w:r>
        <w:rPr>
          <w:lang w:eastAsia="en-US"/>
        </w:rPr>
        <w:t>建立完善日常巡查机制，查处无证处置建筑垃圾行为。处置场所安装视频设备，通过建筑垃圾信息管理系统或定期检查现场存储视频对进出车辆和处置场运行情况进行监管。针对偷倒乱倒工程渣土的行为由城市管理和综合执法部门依法查处。</w:t>
      </w:r>
    </w:p>
    <w:p w14:paraId="36324E29">
      <w:pPr>
        <w:pStyle w:val="4"/>
        <w:bidi w:val="0"/>
        <w:rPr>
          <w:lang w:eastAsia="en-US"/>
        </w:rPr>
      </w:pPr>
      <w:r>
        <w:rPr>
          <w:lang w:eastAsia="en-US"/>
        </w:rPr>
        <w:t>2、</w:t>
      </w:r>
      <w:bookmarkStart w:id="168" w:name="OLE_LINK52"/>
      <w:r>
        <w:rPr>
          <w:lang w:eastAsia="en-US"/>
        </w:rPr>
        <w:t>工程垃圾、拆除垃圾</w:t>
      </w:r>
      <w:bookmarkEnd w:id="168"/>
    </w:p>
    <w:p w14:paraId="18BD9FB6">
      <w:pPr>
        <w:bidi w:val="0"/>
        <w:rPr>
          <w:b/>
          <w:bCs/>
          <w:lang w:eastAsia="en-US"/>
        </w:rPr>
      </w:pPr>
      <w:r>
        <w:rPr>
          <w:b/>
          <w:bCs/>
          <w:lang w:eastAsia="en-US"/>
        </w:rPr>
        <w:t>（1）收运主体</w:t>
      </w:r>
    </w:p>
    <w:p w14:paraId="2CEEB344">
      <w:pPr>
        <w:bidi w:val="0"/>
        <w:rPr>
          <w:lang w:eastAsia="en-US"/>
        </w:rPr>
      </w:pPr>
      <w:r>
        <w:rPr>
          <w:lang w:eastAsia="en-US"/>
        </w:rPr>
        <w:t>建设单位和施工企业。</w:t>
      </w:r>
    </w:p>
    <w:p w14:paraId="1A797D5B">
      <w:pPr>
        <w:bidi w:val="0"/>
        <w:rPr>
          <w:b/>
          <w:bCs/>
          <w:lang w:eastAsia="en-US"/>
        </w:rPr>
      </w:pPr>
      <w:r>
        <w:rPr>
          <w:b/>
          <w:bCs/>
          <w:lang w:eastAsia="en-US"/>
        </w:rPr>
        <w:t>（2）收运要求</w:t>
      </w:r>
    </w:p>
    <w:p w14:paraId="07605D48">
      <w:pPr>
        <w:bidi w:val="0"/>
        <w:rPr>
          <w:lang w:eastAsia="en-US"/>
        </w:rPr>
      </w:pPr>
      <w:r>
        <w:rPr>
          <w:rFonts w:hint="eastAsia"/>
          <w:lang w:val="en-US" w:eastAsia="zh-CN"/>
        </w:rPr>
        <w:t>施工人员在施工过程中，将产生的工程垃圾、拆除垃圾分类放置到指定的收集容器或临时集中堆放点，需现场破碎的现场破碎，并分类对方；</w:t>
      </w:r>
      <w:r>
        <w:rPr>
          <w:lang w:eastAsia="en-US"/>
        </w:rPr>
        <w:t>工程垃圾、拆除垃圾</w:t>
      </w:r>
      <w:r>
        <w:rPr>
          <w:rFonts w:hint="eastAsia"/>
          <w:lang w:val="en-US" w:eastAsia="zh-CN"/>
        </w:rPr>
        <w:t>可再利用的，</w:t>
      </w:r>
      <w:r>
        <w:rPr>
          <w:lang w:eastAsia="zh-CN"/>
        </w:rPr>
        <w:t>应优先就地利用</w:t>
      </w:r>
      <w:r>
        <w:rPr>
          <w:rFonts w:hint="eastAsia"/>
          <w:lang w:eastAsia="zh-CN"/>
        </w:rPr>
        <w:t>；</w:t>
      </w:r>
      <w:r>
        <w:rPr>
          <w:lang w:eastAsia="zh-CN"/>
        </w:rPr>
        <w:t>可进行资源化利用的</w:t>
      </w:r>
      <w:r>
        <w:rPr>
          <w:rFonts w:hint="eastAsia"/>
          <w:lang w:val="en-US" w:eastAsia="zh-CN"/>
        </w:rPr>
        <w:t>工程垃圾、</w:t>
      </w:r>
      <w:r>
        <w:rPr>
          <w:lang w:eastAsia="zh-CN"/>
        </w:rPr>
        <w:t>拆除垃圾运输至建筑垃圾资源化处理</w:t>
      </w:r>
      <w:r>
        <w:rPr>
          <w:rFonts w:hint="eastAsia"/>
          <w:lang w:val="en-US" w:eastAsia="zh-CN"/>
        </w:rPr>
        <w:t>场所</w:t>
      </w:r>
      <w:r>
        <w:rPr>
          <w:lang w:eastAsia="zh-CN"/>
        </w:rPr>
        <w:t>进行资源化处理。</w:t>
      </w:r>
    </w:p>
    <w:p w14:paraId="650742A2">
      <w:pPr>
        <w:bidi w:val="0"/>
        <w:rPr>
          <w:b/>
          <w:bCs/>
          <w:lang w:eastAsia="en-US"/>
        </w:rPr>
      </w:pPr>
      <w:r>
        <w:rPr>
          <w:b/>
          <w:bCs/>
          <w:lang w:eastAsia="en-US"/>
        </w:rPr>
        <w:t>（3）收运流程</w:t>
      </w:r>
    </w:p>
    <w:p w14:paraId="3A84CA51">
      <w:pPr>
        <w:bidi w:val="0"/>
        <w:rPr>
          <w:lang w:eastAsia="en-US"/>
        </w:rPr>
      </w:pPr>
      <w:r>
        <w:rPr>
          <w:b/>
          <w:bCs/>
          <w:lang w:eastAsia="en-US"/>
        </w:rPr>
        <w:t>行政许可阶段：</w:t>
      </w:r>
      <w:r>
        <w:rPr>
          <w:lang w:eastAsia="en-US"/>
        </w:rPr>
        <w:t>产生单位和个人到</w:t>
      </w:r>
      <w:r>
        <w:rPr>
          <w:u w:val="single"/>
          <w:lang w:eastAsia="en-US"/>
        </w:rPr>
        <w:t>城市管理和综合执法部门</w:t>
      </w:r>
      <w:r>
        <w:rPr>
          <w:lang w:eastAsia="en-US"/>
        </w:rPr>
        <w:t>办理行政处置许可手续，提交工程相关信息，确定承运单位、运输时间，管理部门审核给予</w:t>
      </w:r>
      <w:bookmarkStart w:id="169" w:name="bookmark155"/>
      <w:bookmarkEnd w:id="169"/>
      <w:r>
        <w:rPr>
          <w:lang w:eastAsia="en-US"/>
        </w:rPr>
        <w:t>行政许可。</w:t>
      </w:r>
    </w:p>
    <w:p w14:paraId="27277531">
      <w:pPr>
        <w:bidi w:val="0"/>
        <w:rPr>
          <w:lang w:eastAsia="en-US"/>
        </w:rPr>
      </w:pPr>
      <w:r>
        <w:rPr>
          <w:b/>
          <w:bCs/>
          <w:lang w:eastAsia="en-US"/>
        </w:rPr>
        <w:t>施工阶段：</w:t>
      </w:r>
      <w:r>
        <w:rPr>
          <w:lang w:eastAsia="en-US"/>
        </w:rPr>
        <w:t>所有工程必须做到封闭施工和降尘施工，施工出入口应当硬化，设立车辆冲洗设备和沉淀池，严禁在车行道上堆放施工材料和建筑垃圾。工地开工后，工程垃圾和拆除垃圾均按照管理要求分类堆放，</w:t>
      </w:r>
      <w:r>
        <w:rPr>
          <w:u w:val="single"/>
          <w:lang w:eastAsia="en-US"/>
        </w:rPr>
        <w:t>城市管理和综合执法部门、住建部门</w:t>
      </w:r>
      <w:r>
        <w:rPr>
          <w:lang w:eastAsia="en-US"/>
        </w:rPr>
        <w:t>不定期地到工地进行巡查。</w:t>
      </w:r>
    </w:p>
    <w:p w14:paraId="39C34FA3">
      <w:pPr>
        <w:bidi w:val="0"/>
        <w:rPr>
          <w:lang w:eastAsia="en-US"/>
        </w:rPr>
      </w:pPr>
      <w:r>
        <w:rPr>
          <w:b/>
          <w:bCs/>
          <w:lang w:eastAsia="en-US"/>
        </w:rPr>
        <w:t>运输阶段：</w:t>
      </w:r>
      <w:r>
        <w:rPr>
          <w:lang w:eastAsia="en-US"/>
        </w:rPr>
        <w:t>工程垃圾和拆除垃圾产生后，由承运单位进场进行清运。建筑垃圾运输车辆安装卫星定位系统，其行驶路线和时间由</w:t>
      </w:r>
      <w:r>
        <w:rPr>
          <w:u w:val="single"/>
          <w:lang w:eastAsia="en-US"/>
        </w:rPr>
        <w:t>交管管理部门</w:t>
      </w:r>
      <w:r>
        <w:rPr>
          <w:lang w:eastAsia="en-US"/>
        </w:rPr>
        <w:t>确定。运输建筑垃圾的过程中保持箱体完好，采取密闭措施，相关执法部门严厉查处无证运输车辆带泥行驶、抛洒滴漏等情况。</w:t>
      </w:r>
    </w:p>
    <w:p w14:paraId="0F318CA4">
      <w:pPr>
        <w:bidi w:val="0"/>
        <w:rPr>
          <w:lang w:eastAsia="en-US"/>
        </w:rPr>
      </w:pPr>
      <w:r>
        <w:rPr>
          <w:b/>
          <w:bCs/>
          <w:lang w:eastAsia="en-US"/>
        </w:rPr>
        <w:t>处置阶段：</w:t>
      </w:r>
      <w:r>
        <w:rPr>
          <w:lang w:eastAsia="en-US"/>
        </w:rPr>
        <w:t>工程垃圾和拆除垃圾必须清运至指定的处置场所进行资源化利用或最终处置。处置场所安装视频设备，通过建筑垃圾信息管理系统或定期检查现场存储视频对进出车辆和处置场运行情况进行监管。</w:t>
      </w:r>
    </w:p>
    <w:p w14:paraId="3083B7C6">
      <w:pPr>
        <w:pStyle w:val="4"/>
        <w:bidi w:val="0"/>
        <w:rPr>
          <w:lang w:eastAsia="en-US"/>
        </w:rPr>
      </w:pPr>
      <w:r>
        <w:rPr>
          <w:lang w:eastAsia="en-US"/>
        </w:rPr>
        <w:t>3、装修垃圾</w:t>
      </w:r>
    </w:p>
    <w:p w14:paraId="538EA405">
      <w:pPr>
        <w:bidi w:val="0"/>
        <w:rPr>
          <w:b/>
          <w:bCs/>
          <w:lang w:eastAsia="en-US"/>
        </w:rPr>
      </w:pPr>
      <w:r>
        <w:rPr>
          <w:b/>
          <w:bCs/>
          <w:lang w:eastAsia="en-US"/>
        </w:rPr>
        <w:t>（1）收运主体</w:t>
      </w:r>
    </w:p>
    <w:p w14:paraId="7E9E7EAA">
      <w:pPr>
        <w:bidi w:val="0"/>
        <w:rPr>
          <w:lang w:eastAsia="en-US"/>
        </w:rPr>
      </w:pPr>
      <w:r>
        <w:rPr>
          <w:lang w:eastAsia="en-US"/>
        </w:rPr>
        <w:t>物业公司或居民。</w:t>
      </w:r>
    </w:p>
    <w:p w14:paraId="76542DF5">
      <w:pPr>
        <w:bidi w:val="0"/>
        <w:rPr>
          <w:b/>
          <w:bCs/>
          <w:lang w:eastAsia="en-US"/>
        </w:rPr>
      </w:pPr>
      <w:r>
        <w:rPr>
          <w:b/>
          <w:bCs/>
          <w:lang w:eastAsia="en-US"/>
        </w:rPr>
        <w:t>（2）收运要求</w:t>
      </w:r>
    </w:p>
    <w:p w14:paraId="5B1734CF">
      <w:pPr>
        <w:bidi w:val="0"/>
        <w:rPr>
          <w:lang w:eastAsia="en-US"/>
        </w:rPr>
      </w:pPr>
      <w:r>
        <w:rPr>
          <w:lang w:eastAsia="en-US"/>
        </w:rPr>
        <w:t>装修垃圾宜采用</w:t>
      </w:r>
      <w:r>
        <w:rPr>
          <w:rFonts w:hint="eastAsia"/>
          <w:lang w:eastAsia="zh-CN"/>
        </w:rPr>
        <w:t>“</w:t>
      </w:r>
      <w:r>
        <w:rPr>
          <w:lang w:eastAsia="en-US"/>
        </w:rPr>
        <w:t>定点投放收集+预约上门方式收集</w:t>
      </w:r>
      <w:r>
        <w:rPr>
          <w:rFonts w:hint="eastAsia"/>
          <w:lang w:eastAsia="zh-CN"/>
        </w:rPr>
        <w:t>”</w:t>
      </w:r>
      <w:r>
        <w:rPr>
          <w:lang w:eastAsia="en-US"/>
        </w:rPr>
        <w:t>的模式，并实行袋装化收集；住宅小区应设置专门的装修垃圾指定投放点；非住宅装修工程，装修垃圾应分类、集中堆放；设置标识标牌、围挡、遮雨棚、灭火设备，宜设置视频监控设备。</w:t>
      </w:r>
    </w:p>
    <w:p w14:paraId="35B3A954">
      <w:pPr>
        <w:bidi w:val="0"/>
        <w:rPr>
          <w:b/>
          <w:bCs/>
          <w:lang w:eastAsia="en-US"/>
        </w:rPr>
      </w:pPr>
      <w:r>
        <w:rPr>
          <w:b/>
          <w:bCs/>
          <w:lang w:eastAsia="en-US"/>
        </w:rPr>
        <w:t>（3）收运流程</w:t>
      </w:r>
    </w:p>
    <w:p w14:paraId="2AB444EB">
      <w:pPr>
        <w:bidi w:val="0"/>
        <w:rPr>
          <w:lang w:eastAsia="en-US"/>
        </w:rPr>
      </w:pPr>
      <w:r>
        <w:rPr>
          <w:b/>
          <w:bCs/>
          <w:lang w:eastAsia="en-US"/>
        </w:rPr>
        <w:t>施工阶段：</w:t>
      </w:r>
      <w:r>
        <w:rPr>
          <w:lang w:eastAsia="en-US"/>
        </w:rPr>
        <w:t>居住区内设置装修垃圾收集点，新建居住小区，应在规划建设时同步配套设置若干场地作为装修垃圾收集点，并与小区一并投入使用；精装修成品住房应在工地施工场地内单独设置装修垃圾收集点；商场、企业在内部划出区域作为装修垃圾临时堆放场地。产生的装修垃圾需进行分类、袋装或捆扎，堆放于集中收集场地。</w:t>
      </w:r>
    </w:p>
    <w:p w14:paraId="6BE1547A">
      <w:pPr>
        <w:bidi w:val="0"/>
        <w:rPr>
          <w:lang w:eastAsia="en-US"/>
        </w:rPr>
      </w:pPr>
      <w:r>
        <w:rPr>
          <w:b/>
          <w:bCs/>
          <w:lang w:eastAsia="en-US"/>
        </w:rPr>
        <w:t>运输阶段：</w:t>
      </w:r>
      <w:r>
        <w:rPr>
          <w:lang w:eastAsia="en-US"/>
        </w:rPr>
        <w:t>产生单位或物业公司事先进行申请或委托，由运输企业运至装修垃圾收集点进行收集、临时堆放和分拣，分拣之后的装修垃圾再运至各类建筑垃圾综合利用厂处置。</w:t>
      </w:r>
      <w:r>
        <w:rPr>
          <w:u w:val="single"/>
          <w:lang w:eastAsia="en-US"/>
        </w:rPr>
        <w:t>交管部门和城市管理和综合执法部门</w:t>
      </w:r>
      <w:r>
        <w:rPr>
          <w:lang w:eastAsia="en-US"/>
        </w:rPr>
        <w:t>等同时对作业公司的运输车辆进行审查和对运输路线监管。</w:t>
      </w:r>
    </w:p>
    <w:p w14:paraId="7D107821">
      <w:pPr>
        <w:bidi w:val="0"/>
        <w:rPr>
          <w:lang w:eastAsia="en-US"/>
        </w:rPr>
      </w:pPr>
      <w:r>
        <w:rPr>
          <w:b/>
          <w:bCs/>
          <w:lang w:eastAsia="en-US"/>
        </w:rPr>
        <w:t>处置阶段：</w:t>
      </w:r>
      <w:r>
        <w:rPr>
          <w:lang w:eastAsia="en-US"/>
        </w:rPr>
        <w:t>装修垃圾分类清运至指定的处置场所进行资源化利用或最终处置。处置场所安装视频设备，通过建筑垃圾信息管理系统或定期检查现场存储视频对进出车辆和装修垃圾入库情况进行监管。</w:t>
      </w:r>
    </w:p>
    <w:p w14:paraId="34773C77">
      <w:pPr>
        <w:pStyle w:val="3"/>
        <w:bidi w:val="0"/>
        <w:rPr>
          <w:rFonts w:hint="eastAsia" w:ascii="楷体" w:hAnsi="楷体" w:eastAsia="楷体" w:cs="楷体"/>
          <w:sz w:val="28"/>
          <w:szCs w:val="28"/>
          <w:lang w:val="en-US" w:eastAsia="en-US"/>
        </w:rPr>
      </w:pPr>
      <w:bookmarkStart w:id="170" w:name="_Toc5594"/>
      <w:r>
        <w:rPr>
          <w:rFonts w:hint="eastAsia" w:ascii="楷体" w:hAnsi="楷体" w:eastAsia="楷体" w:cs="楷体"/>
          <w:sz w:val="28"/>
          <w:szCs w:val="28"/>
          <w:lang w:val="en-US" w:eastAsia="en-US"/>
        </w:rPr>
        <w:t>（四）收运设施</w:t>
      </w:r>
      <w:bookmarkEnd w:id="170"/>
    </w:p>
    <w:p w14:paraId="5E2F8F9E">
      <w:pPr>
        <w:pStyle w:val="4"/>
        <w:bidi w:val="0"/>
        <w:rPr>
          <w:rFonts w:hint="eastAsia"/>
          <w:lang w:val="en-US" w:eastAsia="zh-CN"/>
        </w:rPr>
      </w:pPr>
      <w:r>
        <w:rPr>
          <w:rFonts w:hint="eastAsia"/>
          <w:lang w:val="en-US" w:eastAsia="zh-CN"/>
        </w:rPr>
        <w:t>1、</w:t>
      </w:r>
      <w:r>
        <w:rPr>
          <w:lang w:eastAsia="en-US"/>
        </w:rPr>
        <w:t>建筑垃圾临时收集点</w:t>
      </w:r>
      <w:r>
        <w:rPr>
          <w:rFonts w:hint="eastAsia"/>
          <w:lang w:val="en-US" w:eastAsia="zh-CN"/>
        </w:rPr>
        <w:t>规划</w:t>
      </w:r>
    </w:p>
    <w:p w14:paraId="660F4FBF">
      <w:pPr>
        <w:bidi w:val="0"/>
        <w:rPr>
          <w:lang w:eastAsia="en-US"/>
        </w:rPr>
      </w:pPr>
      <w:r>
        <w:rPr>
          <w:lang w:eastAsia="en-US"/>
        </w:rPr>
        <w:t>每个新建</w:t>
      </w:r>
      <w:r>
        <w:rPr>
          <w:rFonts w:hint="eastAsia"/>
          <w:lang w:val="en-US" w:eastAsia="zh-CN"/>
        </w:rPr>
        <w:t>工程</w:t>
      </w:r>
      <w:r>
        <w:rPr>
          <w:lang w:eastAsia="en-US"/>
        </w:rPr>
        <w:t>的临时收集点</w:t>
      </w:r>
      <w:r>
        <w:rPr>
          <w:rFonts w:hint="eastAsia"/>
          <w:lang w:val="en-US" w:eastAsia="zh-CN"/>
        </w:rPr>
        <w:t>设在施工场地</w:t>
      </w:r>
      <w:r>
        <w:rPr>
          <w:lang w:eastAsia="en-US"/>
        </w:rPr>
        <w:t>。用地面积需在30平方米以上，场地平整并硬质化，装卸垃圾时应洒水降尘。建设工程的实施主体应将建筑垃圾进行分类装袋捆扎，堆放到指定的临时堆放点，定期联系经核准的清运公司将建筑垃圾外运处置。</w:t>
      </w:r>
    </w:p>
    <w:p w14:paraId="0A94A100">
      <w:pPr>
        <w:bidi w:val="0"/>
        <w:rPr>
          <w:lang w:eastAsia="en-US"/>
        </w:rPr>
      </w:pPr>
      <w:r>
        <w:rPr>
          <w:lang w:eastAsia="en-US"/>
        </w:rPr>
        <w:t>建筑垃圾产生量和类型，因建筑工地类型不同、项目规模不同、施工阶段不同，产生的垃圾类型和数量也不尽相同。每个建筑工地都应当在其作业区根据工地项目的实际情况，合理规划建筑垃圾</w:t>
      </w:r>
      <w:r>
        <w:rPr>
          <w:rFonts w:hint="eastAsia"/>
          <w:lang w:val="en-US" w:eastAsia="zh-CN"/>
        </w:rPr>
        <w:t>临时收集</w:t>
      </w:r>
      <w:r>
        <w:rPr>
          <w:lang w:eastAsia="en-US"/>
        </w:rPr>
        <w:t>点。</w:t>
      </w:r>
    </w:p>
    <w:p w14:paraId="5AF2A848">
      <w:pPr>
        <w:pStyle w:val="4"/>
        <w:bidi w:val="0"/>
        <w:rPr>
          <w:rFonts w:hint="default"/>
          <w:lang w:val="en-US" w:eastAsia="zh-CN"/>
        </w:rPr>
      </w:pPr>
      <w:r>
        <w:rPr>
          <w:rFonts w:hint="eastAsia"/>
          <w:lang w:val="en-US" w:eastAsia="zh-CN"/>
        </w:rPr>
        <w:t>2、装修垃圾收集点规划</w:t>
      </w:r>
    </w:p>
    <w:p w14:paraId="19D20799">
      <w:pPr>
        <w:bidi w:val="0"/>
        <w:rPr>
          <w:rFonts w:hint="eastAsia"/>
          <w:b/>
          <w:bCs/>
          <w:lang w:val="en-US" w:eastAsia="zh-CN"/>
        </w:rPr>
      </w:pPr>
      <w:bookmarkStart w:id="171" w:name="OLE_LINK53"/>
      <w:r>
        <w:rPr>
          <w:rFonts w:hint="eastAsia"/>
          <w:b/>
          <w:bCs/>
          <w:lang w:val="en-US" w:eastAsia="zh-CN"/>
        </w:rPr>
        <w:t>（1）中心城区装修垃圾分类收集点</w:t>
      </w:r>
      <w:bookmarkEnd w:id="171"/>
      <w:r>
        <w:rPr>
          <w:rFonts w:hint="eastAsia"/>
          <w:b/>
          <w:bCs/>
          <w:lang w:val="en-US" w:eastAsia="zh-CN"/>
        </w:rPr>
        <w:t>规划</w:t>
      </w:r>
    </w:p>
    <w:p w14:paraId="57C63DCD">
      <w:pPr>
        <w:bidi w:val="0"/>
        <w:rPr>
          <w:lang w:eastAsia="en-US"/>
        </w:rPr>
      </w:pPr>
      <w:r>
        <w:rPr>
          <w:rFonts w:hint="eastAsia"/>
          <w:lang w:val="en-US" w:eastAsia="zh-CN"/>
        </w:rPr>
        <w:t>结合生活垃圾收集点进行布置，每个大型社区宜设置一座装修垃圾分类收集点。</w:t>
      </w:r>
      <w:r>
        <w:t>规划新建居住小区时，应在规划建设时同步设置若干场地作为装修垃圾的收集点，并与小区一并投入使用；</w:t>
      </w:r>
      <w:r>
        <w:rPr>
          <w:lang w:eastAsia="en-US"/>
        </w:rPr>
        <w:t>精装修成品住房应在工地施工场地内单独设置装修垃圾收集点，确保装修垃圾与其他垃圾的分类收集。无物业的居住区和门店，由属地主管部门设置相对集中的装修垃圾收集点，可结合老城区的拆建改造或利用暂不使用地块。</w:t>
      </w:r>
    </w:p>
    <w:p w14:paraId="673CC294">
      <w:pPr>
        <w:bidi w:val="0"/>
        <w:rPr>
          <w:lang w:eastAsia="en-US"/>
        </w:rPr>
      </w:pPr>
      <w:r>
        <w:rPr>
          <w:lang w:eastAsia="en-US"/>
        </w:rPr>
        <w:t>装修垃圾分类收集点的面积约为 20-30 平方米，应包括平整硬化的场地、上下水设施和装卸时的洒水降尘系统，以确保装修垃圾可以高效且环保地转运至建筑垃圾资源化利用场或堆填场等设施。</w:t>
      </w:r>
      <w:bookmarkStart w:id="172" w:name="OLE_LINK93"/>
    </w:p>
    <w:bookmarkEnd w:id="172"/>
    <w:p w14:paraId="56A17231">
      <w:pPr>
        <w:bidi w:val="0"/>
        <w:rPr>
          <w:lang w:eastAsia="en-US"/>
        </w:rPr>
      </w:pPr>
      <w:r>
        <w:rPr>
          <w:lang w:eastAsia="en-US"/>
        </w:rPr>
        <w:t>新建生活小区宜单独设置装修垃圾收集房，并与生活垃圾收集设施统筹设置，收集房面积不宜小于 20m² , 高度应满足装运要求。有条件的住宅小区或单位应设置装修垃圾收集箱，箱体宜具有科学投放、费用结算、预警监测等智能管理功能，有效缓解建筑垃圾处置过程中的扬尘、噪音扰民等难题。</w:t>
      </w:r>
    </w:p>
    <w:p w14:paraId="2DCA7248">
      <w:pPr>
        <w:bidi w:val="0"/>
        <w:rPr>
          <w:b/>
          <w:bCs/>
          <w:lang w:eastAsia="en-US"/>
        </w:rPr>
      </w:pPr>
      <w:r>
        <w:rPr>
          <w:rFonts w:hint="eastAsia"/>
          <w:b/>
          <w:bCs/>
          <w:lang w:val="en-US" w:eastAsia="zh-CN"/>
        </w:rPr>
        <w:t>（2）其他</w:t>
      </w:r>
      <w:r>
        <w:rPr>
          <w:b/>
          <w:bCs/>
          <w:lang w:eastAsia="en-US"/>
        </w:rPr>
        <w:t>乡镇区域装修</w:t>
      </w:r>
      <w:r>
        <w:rPr>
          <w:rFonts w:hint="eastAsia"/>
          <w:b/>
          <w:bCs/>
          <w:lang w:val="en-US" w:eastAsia="zh-CN"/>
        </w:rPr>
        <w:t>垃圾分类</w:t>
      </w:r>
      <w:r>
        <w:rPr>
          <w:b/>
          <w:bCs/>
          <w:lang w:eastAsia="en-US"/>
        </w:rPr>
        <w:t>收集点规划</w:t>
      </w:r>
    </w:p>
    <w:p w14:paraId="5D7D88A8">
      <w:pPr>
        <w:bidi w:val="0"/>
        <w:rPr>
          <w:lang w:eastAsia="en-US"/>
        </w:rPr>
      </w:pPr>
      <w:r>
        <w:rPr>
          <w:lang w:eastAsia="en-US"/>
        </w:rPr>
        <w:t>考虑到</w:t>
      </w:r>
      <w:r>
        <w:rPr>
          <w:rFonts w:hint="eastAsia"/>
          <w:lang w:val="en-US" w:eastAsia="zh-CN"/>
        </w:rPr>
        <w:t>各</w:t>
      </w:r>
      <w:r>
        <w:rPr>
          <w:lang w:eastAsia="en-US"/>
        </w:rPr>
        <w:t>乡镇地区人口分布较为分散的特点，规划建议</w:t>
      </w:r>
      <w:r>
        <w:rPr>
          <w:rFonts w:hint="eastAsia"/>
          <w:lang w:val="en-US" w:eastAsia="zh-CN"/>
        </w:rPr>
        <w:t>除桃花江镇每个</w:t>
      </w:r>
      <w:r>
        <w:rPr>
          <w:lang w:eastAsia="en-US"/>
        </w:rPr>
        <w:t>乡镇设置 1处装修垃圾分类收集点，本次规划建设</w:t>
      </w:r>
      <w:r>
        <w:rPr>
          <w:rFonts w:hint="eastAsia"/>
          <w:lang w:val="en-US" w:eastAsia="zh-CN"/>
        </w:rPr>
        <w:t>14</w:t>
      </w:r>
      <w:r>
        <w:rPr>
          <w:lang w:eastAsia="en-US"/>
        </w:rPr>
        <w:t>处</w:t>
      </w:r>
      <w:r>
        <w:rPr>
          <w:rFonts w:hint="eastAsia"/>
          <w:lang w:val="en-US" w:eastAsia="zh-CN"/>
        </w:rPr>
        <w:t>乡镇</w:t>
      </w:r>
      <w:r>
        <w:rPr>
          <w:lang w:eastAsia="en-US"/>
        </w:rPr>
        <w:t>建筑垃圾分类收集点。对乡镇区域的装修垃圾收集采用与生活垃圾相似的方式，即在各乡镇区域现有生活垃圾收集点附近设置装修垃圾收集点。</w:t>
      </w:r>
    </w:p>
    <w:p w14:paraId="37E58CFE">
      <w:pPr>
        <w:bidi w:val="0"/>
        <w:rPr>
          <w:lang w:eastAsia="en-US"/>
        </w:rPr>
      </w:pPr>
      <w:r>
        <w:rPr>
          <w:lang w:eastAsia="en-US"/>
        </w:rPr>
        <w:t>乡镇装修垃圾分类收集点的面积约 30-50 平方米，可采用混凝土硬化地面或砖砌方式建设，供居民投放装修垃圾，装修垃圾投放应按照</w:t>
      </w:r>
      <w:r>
        <w:rPr>
          <w:rFonts w:hint="eastAsia"/>
          <w:lang w:eastAsia="zh-CN"/>
        </w:rPr>
        <w:t>“</w:t>
      </w:r>
      <w:r>
        <w:rPr>
          <w:lang w:eastAsia="en-US"/>
        </w:rPr>
        <w:t>宜袋装则袋装、宜捆扎则捆扎</w:t>
      </w:r>
      <w:r>
        <w:rPr>
          <w:rFonts w:hint="eastAsia"/>
          <w:lang w:eastAsia="zh-CN"/>
        </w:rPr>
        <w:t>”</w:t>
      </w:r>
      <w:r>
        <w:rPr>
          <w:lang w:eastAsia="en-US"/>
        </w:rPr>
        <w:t>要求处理，方便后续收集运输。</w:t>
      </w:r>
    </w:p>
    <w:p w14:paraId="20A76F6C">
      <w:pPr>
        <w:bidi w:val="0"/>
        <w:rPr>
          <w:lang w:eastAsia="en-US"/>
        </w:rPr>
      </w:pPr>
      <w:r>
        <w:rPr>
          <w:lang w:eastAsia="en-US"/>
        </w:rPr>
        <w:t>依据《</w:t>
      </w:r>
      <w:r>
        <w:rPr>
          <w:rFonts w:hint="eastAsia"/>
          <w:lang w:val="en-US" w:eastAsia="zh-CN"/>
        </w:rPr>
        <w:t>桃江县</w:t>
      </w:r>
      <w:r>
        <w:rPr>
          <w:lang w:eastAsia="en-US"/>
        </w:rPr>
        <w:t>国土空间</w:t>
      </w:r>
      <w:r>
        <w:rPr>
          <w:rFonts w:hint="eastAsia"/>
          <w:lang w:val="en-US" w:eastAsia="zh-CN"/>
        </w:rPr>
        <w:t>总体</w:t>
      </w:r>
      <w:r>
        <w:rPr>
          <w:lang w:eastAsia="en-US"/>
        </w:rPr>
        <w:t>规划（2021-2035 年）》，建筑垃圾分类收集点用地选址应避免占用永久基本农田、生态保护红线、省级生态公益林、自然保护区等，用地性质可以为临时用地。</w:t>
      </w:r>
    </w:p>
    <w:p w14:paraId="0E9FF19E">
      <w:pPr>
        <w:pStyle w:val="3"/>
        <w:bidi w:val="0"/>
        <w:rPr>
          <w:rFonts w:hint="eastAsia" w:ascii="楷体" w:hAnsi="楷体" w:eastAsia="楷体" w:cs="楷体"/>
          <w:sz w:val="28"/>
          <w:szCs w:val="28"/>
          <w:lang w:val="en-US" w:eastAsia="en-US"/>
        </w:rPr>
      </w:pPr>
      <w:bookmarkStart w:id="173" w:name="_Toc5733"/>
      <w:r>
        <w:rPr>
          <w:rFonts w:hint="eastAsia" w:ascii="楷体" w:hAnsi="楷体" w:eastAsia="楷体" w:cs="楷体"/>
          <w:sz w:val="28"/>
          <w:szCs w:val="28"/>
          <w:lang w:val="en-US" w:eastAsia="en-US"/>
        </w:rPr>
        <w:t>（五）</w:t>
      </w:r>
      <w:bookmarkStart w:id="174" w:name="OLE_LINK54"/>
      <w:r>
        <w:rPr>
          <w:rFonts w:hint="eastAsia" w:ascii="楷体" w:hAnsi="楷体" w:eastAsia="楷体" w:cs="楷体"/>
          <w:sz w:val="28"/>
          <w:szCs w:val="28"/>
          <w:lang w:val="en-US" w:eastAsia="en-US"/>
        </w:rPr>
        <w:t>收运车辆</w:t>
      </w:r>
      <w:bookmarkEnd w:id="173"/>
      <w:bookmarkEnd w:id="174"/>
    </w:p>
    <w:p w14:paraId="3DCDF49B">
      <w:pPr>
        <w:bidi w:val="0"/>
        <w:rPr>
          <w:lang w:eastAsia="en-US"/>
        </w:rPr>
      </w:pPr>
      <w:r>
        <w:rPr>
          <w:lang w:eastAsia="en-US"/>
        </w:rPr>
        <w:t>建筑垃圾收运车辆应采用列入国家工业和信息化部《道路机动车辆生产企业及产品公告》内的产品，车辆的特征应与产品公告、出厂合格证相符，应满足国家、行业对机动车安全、排放、噪声、油耗的相关法规及标准要求。鼓励使用电能、天然气等清洁能源，推广使用新能源运输车，配备喷水降尘、北斗卫星导航系统等智能化设施。</w:t>
      </w:r>
    </w:p>
    <w:p w14:paraId="163CBB13">
      <w:pPr>
        <w:bidi w:val="0"/>
        <w:rPr>
          <w:lang w:eastAsia="en-US"/>
        </w:rPr>
      </w:pPr>
      <w:r>
        <w:rPr>
          <w:lang w:eastAsia="en-US"/>
        </w:rPr>
        <w:t>工程渣土、工程垃圾和拆除垃圾采用大型密闭化运输车运输至终端处理设施，装修垃圾采用小型密闭化车辆运输至终端处理设施，工程泥浆采用密闭罐车运输至终端处理设施。收运车辆应容貌整洁、标志齐全，车辆底盘、车轮无大块泥沙等附着物。收运车辆应按核准的路线和时间行驶至指定场所处置。</w:t>
      </w:r>
    </w:p>
    <w:p w14:paraId="7F0C0F3A">
      <w:pPr>
        <w:pStyle w:val="3"/>
        <w:bidi w:val="0"/>
        <w:rPr>
          <w:rFonts w:hint="eastAsia" w:ascii="楷体" w:hAnsi="楷体" w:eastAsia="楷体" w:cs="楷体"/>
          <w:sz w:val="28"/>
          <w:szCs w:val="28"/>
          <w:lang w:val="en-US" w:eastAsia="zh-CN"/>
        </w:rPr>
      </w:pPr>
      <w:bookmarkStart w:id="175" w:name="_Toc16474"/>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六</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收运路线</w:t>
      </w:r>
      <w:bookmarkEnd w:id="175"/>
    </w:p>
    <w:p w14:paraId="787D9CD4">
      <w:pPr>
        <w:bidi w:val="0"/>
        <w:rPr>
          <w:lang w:eastAsia="en-US"/>
        </w:rPr>
      </w:pPr>
      <w:bookmarkStart w:id="176" w:name="OLE_LINK55"/>
      <w:r>
        <w:rPr>
          <w:rFonts w:hint="eastAsia"/>
          <w:lang w:val="en-US" w:eastAsia="zh-CN"/>
        </w:rPr>
        <w:t>桃江</w:t>
      </w:r>
      <w:r>
        <w:rPr>
          <w:rFonts w:hint="eastAsia"/>
          <w:lang w:eastAsia="en-US"/>
        </w:rPr>
        <w:t>县建筑垃圾资源化利用厂、建筑垃圾填埋处置场等消纳设施等主要分布在城镇周边地区。县城、乡镇等主要通过主干道和国道、省道、县乡道与各</w:t>
      </w:r>
      <w:bookmarkEnd w:id="176"/>
      <w:r>
        <w:rPr>
          <w:rFonts w:hint="eastAsia"/>
          <w:lang w:eastAsia="en-US"/>
        </w:rPr>
        <w:t>建筑垃圾利用及处置设施相连。城区划分禁止收运区和限时收运区，建筑垃圾收集车在限时收运区内在限定的时间内按固定的路线进行收集</w:t>
      </w:r>
      <w:r>
        <w:rPr>
          <w:rFonts w:hint="eastAsia"/>
          <w:lang w:eastAsia="zh-CN"/>
        </w:rPr>
        <w:t>；</w:t>
      </w:r>
      <w:r>
        <w:rPr>
          <w:rFonts w:hint="eastAsia"/>
          <w:lang w:eastAsia="en-US"/>
        </w:rPr>
        <w:t>中心城区以外乡镇按照固定的路线进行收集，</w:t>
      </w:r>
      <w:r>
        <w:rPr>
          <w:rFonts w:hint="eastAsia"/>
          <w:lang w:eastAsia="zh-CN"/>
        </w:rPr>
        <w:t>达到</w:t>
      </w:r>
      <w:r>
        <w:rPr>
          <w:rFonts w:hint="eastAsia"/>
          <w:lang w:eastAsia="en-US"/>
        </w:rPr>
        <w:t>运输车辆的最大承载量，返回建筑垃圾资源化利用厂或填埋处置场，清空垃圾后再次出发按照既定路线继续收集。收运车辆必须按照公安交通管理部门有关规定进行车辆登记、车厢密闭改装年检、办理市区《通行证》。收运车辆通过加装行驶装卸记录仪装置接入“集运系统”实现信息化的管理和监控。</w:t>
      </w:r>
    </w:p>
    <w:p w14:paraId="220F5DDF">
      <w:pPr>
        <w:bidi w:val="0"/>
        <w:rPr>
          <w:u w:val="single"/>
          <w:lang w:eastAsia="en-US"/>
        </w:rPr>
      </w:pPr>
      <w:r>
        <w:rPr>
          <w:lang w:eastAsia="en-US"/>
        </w:rPr>
        <w:t>收运线路应优先选择交通流畅、远离居民区的路线</w:t>
      </w:r>
      <w:r>
        <w:rPr>
          <w:rFonts w:hint="eastAsia"/>
          <w:lang w:eastAsia="zh-CN"/>
        </w:rPr>
        <w:t>，</w:t>
      </w:r>
      <w:r>
        <w:rPr>
          <w:lang w:eastAsia="en-US"/>
        </w:rPr>
        <w:t>主运输通道串联主要的建筑垃圾资源化利用场和堆填场，</w:t>
      </w:r>
      <w:r>
        <w:rPr>
          <w:u w:val="single"/>
          <w:lang w:eastAsia="en-US"/>
        </w:rPr>
        <w:t>主要道路包括</w:t>
      </w:r>
      <w:r>
        <w:rPr>
          <w:rFonts w:hint="eastAsia"/>
          <w:u w:val="single"/>
          <w:lang w:val="en-US" w:eastAsia="zh-CN"/>
        </w:rPr>
        <w:t>金盆大道、谷山路、桃花路、芙蓉路、濑溪路、振兴路、资江路、G536、S206、S230</w:t>
      </w:r>
      <w:r>
        <w:rPr>
          <w:u w:val="single"/>
          <w:lang w:eastAsia="en-US"/>
        </w:rPr>
        <w:t>等。</w:t>
      </w:r>
    </w:p>
    <w:p w14:paraId="6145DCCC">
      <w:pPr>
        <w:pStyle w:val="2"/>
        <w:bidi w:val="0"/>
        <w:rPr>
          <w:lang w:eastAsia="en-US"/>
        </w:rPr>
      </w:pPr>
      <w:bookmarkStart w:id="177" w:name="_Toc30825"/>
      <w:r>
        <w:rPr>
          <w:lang w:eastAsia="en-US"/>
        </w:rPr>
        <w:t>第八章 利用与消纳处置规划</w:t>
      </w:r>
      <w:bookmarkEnd w:id="177"/>
    </w:p>
    <w:p w14:paraId="623423A6">
      <w:pPr>
        <w:pStyle w:val="3"/>
        <w:bidi w:val="0"/>
        <w:rPr>
          <w:rFonts w:hint="eastAsia" w:ascii="楷体" w:hAnsi="楷体" w:eastAsia="楷体" w:cs="楷体"/>
          <w:sz w:val="28"/>
          <w:szCs w:val="28"/>
        </w:rPr>
      </w:pPr>
      <w:bookmarkStart w:id="178" w:name="bookmark156"/>
      <w:bookmarkEnd w:id="178"/>
      <w:bookmarkStart w:id="179" w:name="_Toc17511"/>
      <w:r>
        <w:rPr>
          <w:rFonts w:hint="eastAsia" w:ascii="楷体" w:hAnsi="楷体" w:eastAsia="楷体" w:cs="楷体"/>
          <w:sz w:val="28"/>
          <w:szCs w:val="28"/>
        </w:rPr>
        <w:t>（一）建筑垃圾处置要求</w:t>
      </w:r>
      <w:bookmarkEnd w:id="179"/>
    </w:p>
    <w:p w14:paraId="2E866D08">
      <w:pPr>
        <w:bidi w:val="0"/>
        <w:rPr>
          <w:rFonts w:hint="eastAsia"/>
          <w:lang w:eastAsia="en-US"/>
        </w:rPr>
      </w:pPr>
      <w:r>
        <w:rPr>
          <w:rFonts w:hint="eastAsia"/>
          <w:lang w:eastAsia="en-US"/>
        </w:rPr>
        <w:t>根据《建筑垃圾处理技术标准》(CJJ/T134-2019)，建筑垃圾应优先考虑资源化利用，处理及利用优先次序参照下表。</w:t>
      </w:r>
    </w:p>
    <w:p w14:paraId="1A9E3D3D">
      <w:pPr>
        <w:bidi w:val="0"/>
        <w:rPr>
          <w:rFonts w:hint="eastAsia"/>
          <w:lang w:eastAsia="en-US"/>
        </w:rPr>
      </w:pPr>
    </w:p>
    <w:p w14:paraId="79FFDAD4">
      <w:pPr>
        <w:bidi w:val="0"/>
        <w:rPr>
          <w:rFonts w:hint="eastAsia"/>
          <w:lang w:eastAsia="en-US"/>
        </w:rPr>
      </w:pPr>
    </w:p>
    <w:p w14:paraId="613C5DFD">
      <w:pPr>
        <w:bidi w:val="0"/>
        <w:rPr>
          <w:rFonts w:hint="eastAsia"/>
          <w:lang w:eastAsia="en-US"/>
        </w:rPr>
      </w:pPr>
    </w:p>
    <w:p w14:paraId="5489423D">
      <w:pPr>
        <w:bidi w:val="0"/>
        <w:rPr>
          <w:rFonts w:hint="eastAsia"/>
          <w:lang w:eastAsia="en-US"/>
        </w:rPr>
      </w:pPr>
    </w:p>
    <w:p w14:paraId="78E39E3F">
      <w:pPr>
        <w:bidi w:val="0"/>
        <w:rPr>
          <w:rFonts w:hint="eastAsia"/>
          <w:lang w:eastAsia="en-US"/>
        </w:rPr>
      </w:pPr>
    </w:p>
    <w:p w14:paraId="4DDF7291">
      <w:pPr>
        <w:bidi w:val="0"/>
        <w:rPr>
          <w:rFonts w:hint="eastAsia"/>
          <w:lang w:eastAsia="en-US"/>
        </w:rPr>
      </w:pPr>
    </w:p>
    <w:p w14:paraId="62E97D46">
      <w:pPr>
        <w:bidi w:val="0"/>
        <w:rPr>
          <w:rFonts w:hint="eastAsia"/>
          <w:lang w:eastAsia="en-US"/>
        </w:rPr>
      </w:pPr>
    </w:p>
    <w:p w14:paraId="59963E18">
      <w:pPr>
        <w:bidi w:val="0"/>
        <w:ind w:left="0" w:leftChars="0" w:firstLine="0" w:firstLineChars="0"/>
        <w:jc w:val="center"/>
        <w:rPr>
          <w:rFonts w:hint="eastAsia"/>
          <w:b/>
          <w:bCs/>
          <w:lang w:eastAsia="en-US"/>
        </w:rPr>
      </w:pPr>
      <w:r>
        <w:rPr>
          <w:rFonts w:hint="eastAsia"/>
          <w:b/>
          <w:bCs/>
          <w:lang w:eastAsia="en-US"/>
        </w:rPr>
        <w:t>表8-1 建筑垃圾处理及利用优先次序</w:t>
      </w:r>
    </w:p>
    <w:tbl>
      <w:tblPr>
        <w:tblStyle w:val="25"/>
        <w:tblpPr w:leftFromText="180" w:rightFromText="180" w:vertAnchor="text" w:horzAnchor="page" w:tblpX="1759" w:tblpY="69"/>
        <w:tblOverlap w:val="never"/>
        <w:tblW w:w="8433"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2"/>
        <w:gridCol w:w="1233"/>
        <w:gridCol w:w="6098"/>
      </w:tblGrid>
      <w:tr w14:paraId="6376E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102" w:type="dxa"/>
            <w:vAlign w:val="center"/>
          </w:tcPr>
          <w:p w14:paraId="56E792C0">
            <w:pPr>
              <w:bidi w:val="0"/>
              <w:ind w:left="0" w:leftChars="0" w:firstLine="0" w:firstLineChars="0"/>
              <w:jc w:val="center"/>
              <w:rPr>
                <w:rFonts w:hint="eastAsia" w:ascii="仿宋" w:hAnsi="仿宋" w:eastAsia="仿宋" w:cs="仿宋"/>
                <w:b/>
                <w:bCs/>
                <w:sz w:val="24"/>
                <w:szCs w:val="24"/>
                <w:lang w:val="en-US" w:eastAsia="en-US"/>
              </w:rPr>
            </w:pPr>
            <w:r>
              <w:rPr>
                <w:rFonts w:hint="eastAsia" w:ascii="仿宋" w:hAnsi="仿宋" w:eastAsia="仿宋" w:cs="仿宋"/>
                <w:b/>
                <w:bCs/>
                <w:sz w:val="24"/>
                <w:szCs w:val="24"/>
                <w:lang w:val="en-US" w:eastAsia="en-US"/>
              </w:rPr>
              <w:t>序号</w:t>
            </w:r>
          </w:p>
        </w:tc>
        <w:tc>
          <w:tcPr>
            <w:tcW w:w="1233" w:type="dxa"/>
            <w:vAlign w:val="center"/>
          </w:tcPr>
          <w:p w14:paraId="59FD97AB">
            <w:pPr>
              <w:bidi w:val="0"/>
              <w:ind w:left="0" w:leftChars="0" w:firstLine="0" w:firstLineChars="0"/>
              <w:jc w:val="center"/>
              <w:rPr>
                <w:rFonts w:hint="eastAsia" w:ascii="仿宋" w:hAnsi="仿宋" w:eastAsia="仿宋" w:cs="仿宋"/>
                <w:b/>
                <w:bCs/>
                <w:sz w:val="24"/>
                <w:szCs w:val="24"/>
                <w:lang w:val="en-US" w:eastAsia="en-US"/>
              </w:rPr>
            </w:pPr>
            <w:r>
              <w:rPr>
                <w:rFonts w:hint="eastAsia" w:ascii="仿宋" w:hAnsi="仿宋" w:eastAsia="仿宋" w:cs="仿宋"/>
                <w:b/>
                <w:bCs/>
                <w:sz w:val="24"/>
                <w:szCs w:val="24"/>
                <w:lang w:val="en-US" w:eastAsia="en-US"/>
              </w:rPr>
              <w:t>类型</w:t>
            </w:r>
          </w:p>
        </w:tc>
        <w:tc>
          <w:tcPr>
            <w:tcW w:w="6098" w:type="dxa"/>
            <w:vAlign w:val="center"/>
          </w:tcPr>
          <w:p w14:paraId="2682A644">
            <w:pPr>
              <w:bidi w:val="0"/>
              <w:ind w:left="0" w:leftChars="0" w:firstLine="0" w:firstLineChars="0"/>
              <w:jc w:val="center"/>
              <w:rPr>
                <w:rFonts w:hint="eastAsia" w:ascii="仿宋" w:hAnsi="仿宋" w:eastAsia="仿宋" w:cs="仿宋"/>
                <w:b/>
                <w:bCs/>
                <w:sz w:val="24"/>
                <w:szCs w:val="24"/>
                <w:lang w:val="en-US" w:eastAsia="en-US"/>
              </w:rPr>
            </w:pPr>
            <w:r>
              <w:rPr>
                <w:rFonts w:hint="eastAsia" w:ascii="仿宋" w:hAnsi="仿宋" w:eastAsia="仿宋" w:cs="仿宋"/>
                <w:b/>
                <w:bCs/>
                <w:sz w:val="24"/>
                <w:szCs w:val="24"/>
                <w:lang w:val="en-US" w:eastAsia="en-US"/>
              </w:rPr>
              <w:t>处置和利用优先顺序</w:t>
            </w:r>
          </w:p>
        </w:tc>
      </w:tr>
      <w:tr w14:paraId="772BA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102" w:type="dxa"/>
            <w:vAlign w:val="center"/>
          </w:tcPr>
          <w:p w14:paraId="39C3889C">
            <w:pPr>
              <w:bidi w:val="0"/>
              <w:ind w:left="0" w:leftChars="0" w:firstLine="0" w:firstLineChars="0"/>
              <w:jc w:val="center"/>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1</w:t>
            </w:r>
          </w:p>
        </w:tc>
        <w:tc>
          <w:tcPr>
            <w:tcW w:w="1233" w:type="dxa"/>
            <w:vAlign w:val="center"/>
          </w:tcPr>
          <w:p w14:paraId="0688B16A">
            <w:pPr>
              <w:bidi w:val="0"/>
              <w:ind w:left="0" w:leftChars="0" w:firstLine="0" w:firstLineChars="0"/>
              <w:jc w:val="center"/>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工程渣土、工程泥浆</w:t>
            </w:r>
          </w:p>
        </w:tc>
        <w:tc>
          <w:tcPr>
            <w:tcW w:w="6098" w:type="dxa"/>
            <w:vAlign w:val="center"/>
          </w:tcPr>
          <w:p w14:paraId="18147670">
            <w:pPr>
              <w:bidi w:val="0"/>
              <w:ind w:left="0" w:leftChars="0" w:firstLine="0" w:firstLineChars="0"/>
              <w:jc w:val="both"/>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综合利用（区域内土方平衡、生态修复利用、跨区调剂平衡）、资源化利用、堆填场无害化堆填</w:t>
            </w:r>
          </w:p>
        </w:tc>
      </w:tr>
      <w:tr w14:paraId="3D5E4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102" w:type="dxa"/>
            <w:vAlign w:val="center"/>
          </w:tcPr>
          <w:p w14:paraId="6D4E9ACB">
            <w:pPr>
              <w:bidi w:val="0"/>
              <w:ind w:left="0" w:leftChars="0" w:firstLine="0" w:firstLineChars="0"/>
              <w:jc w:val="center"/>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2</w:t>
            </w:r>
          </w:p>
        </w:tc>
        <w:tc>
          <w:tcPr>
            <w:tcW w:w="1233" w:type="dxa"/>
            <w:vAlign w:val="center"/>
          </w:tcPr>
          <w:p w14:paraId="253FF27E">
            <w:pPr>
              <w:bidi w:val="0"/>
              <w:ind w:left="0" w:leftChars="0" w:firstLine="0" w:firstLineChars="0"/>
              <w:jc w:val="center"/>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工程垃圾、拆除垃圾</w:t>
            </w:r>
          </w:p>
        </w:tc>
        <w:tc>
          <w:tcPr>
            <w:tcW w:w="6098" w:type="dxa"/>
            <w:vAlign w:val="center"/>
          </w:tcPr>
          <w:p w14:paraId="1197C7EC">
            <w:pPr>
              <w:bidi w:val="0"/>
              <w:ind w:left="0" w:leftChars="0" w:firstLine="0" w:firstLineChars="0"/>
              <w:jc w:val="both"/>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就地回收利用、资源化利用、堆填场无害化堆填</w:t>
            </w:r>
          </w:p>
        </w:tc>
      </w:tr>
      <w:tr w14:paraId="5F02D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102" w:type="dxa"/>
            <w:vAlign w:val="center"/>
          </w:tcPr>
          <w:p w14:paraId="5F2FAA5D">
            <w:pPr>
              <w:bidi w:val="0"/>
              <w:ind w:left="0" w:leftChars="0" w:firstLine="0" w:firstLineChars="0"/>
              <w:jc w:val="center"/>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3</w:t>
            </w:r>
          </w:p>
        </w:tc>
        <w:tc>
          <w:tcPr>
            <w:tcW w:w="1233" w:type="dxa"/>
            <w:vAlign w:val="center"/>
          </w:tcPr>
          <w:p w14:paraId="7CCDB3B8">
            <w:pPr>
              <w:bidi w:val="0"/>
              <w:ind w:left="0" w:leftChars="0" w:firstLine="0" w:firstLineChars="0"/>
              <w:jc w:val="center"/>
              <w:rPr>
                <w:rFonts w:hint="eastAsia" w:ascii="仿宋" w:hAnsi="仿宋" w:eastAsia="仿宋" w:cs="仿宋"/>
                <w:sz w:val="24"/>
                <w:szCs w:val="24"/>
                <w:lang w:val="en-US" w:eastAsia="en-US"/>
              </w:rPr>
            </w:pPr>
            <w:r>
              <w:rPr>
                <w:rFonts w:hint="eastAsia" w:ascii="仿宋" w:hAnsi="仿宋" w:eastAsia="仿宋" w:cs="仿宋"/>
                <w:sz w:val="24"/>
                <w:szCs w:val="24"/>
                <w:lang w:val="en-US" w:eastAsia="en-US"/>
              </w:rPr>
              <w:t>装修垃圾</w:t>
            </w:r>
          </w:p>
        </w:tc>
        <w:tc>
          <w:tcPr>
            <w:tcW w:w="6098" w:type="dxa"/>
            <w:vAlign w:val="center"/>
          </w:tcPr>
          <w:p w14:paraId="778F9F55">
            <w:pPr>
              <w:bidi w:val="0"/>
              <w:ind w:left="0" w:leftChars="0" w:firstLine="0" w:firstLineChars="0"/>
              <w:jc w:val="both"/>
              <w:rPr>
                <w:rFonts w:hint="eastAsia" w:ascii="仿宋" w:hAnsi="仿宋" w:eastAsia="仿宋" w:cs="仿宋"/>
                <w:sz w:val="24"/>
                <w:szCs w:val="24"/>
                <w:lang w:val="en-US" w:eastAsia="en-US"/>
              </w:rPr>
            </w:pPr>
            <w:r>
              <w:rPr>
                <w:rFonts w:hint="eastAsia" w:ascii="仿宋" w:hAnsi="仿宋" w:eastAsia="仿宋" w:cs="仿宋"/>
                <w:sz w:val="24"/>
                <w:szCs w:val="24"/>
                <w:highlight w:val="none"/>
                <w:lang w:val="en-US" w:eastAsia="en-US"/>
              </w:rPr>
              <w:t>就地回收利用、资源化利用、焚烧发电厂利用、堆填场无害化堆填</w:t>
            </w:r>
          </w:p>
        </w:tc>
      </w:tr>
    </w:tbl>
    <w:p w14:paraId="6F656325">
      <w:pPr>
        <w:widowControl/>
        <w:kinsoku w:val="0"/>
        <w:autoSpaceDE w:val="0"/>
        <w:autoSpaceDN w:val="0"/>
        <w:adjustRightInd w:val="0"/>
        <w:snapToGrid w:val="0"/>
        <w:spacing w:before="78" w:line="219" w:lineRule="auto"/>
        <w:ind w:right="37" w:firstLine="0" w:firstLineChars="0"/>
        <w:jc w:val="left"/>
        <w:textAlignment w:val="baseline"/>
        <w:rPr>
          <w:rFonts w:hint="eastAsia" w:ascii="宋体" w:hAnsi="宋体" w:eastAsia="宋体" w:cs="宋体"/>
          <w:snapToGrid w:val="0"/>
          <w:color w:val="000000"/>
          <w:spacing w:val="-1"/>
          <w:kern w:val="0"/>
          <w:sz w:val="24"/>
          <w:szCs w:val="24"/>
          <w:lang w:eastAsia="en-US"/>
        </w:rPr>
      </w:pPr>
    </w:p>
    <w:p w14:paraId="035D50A8">
      <w:pPr>
        <w:bidi w:val="0"/>
        <w:rPr>
          <w:rFonts w:hint="eastAsia"/>
          <w:lang w:eastAsia="zh-CN"/>
        </w:rPr>
      </w:pPr>
      <w:r>
        <w:rPr>
          <w:rFonts w:hint="eastAsia"/>
          <w:lang w:eastAsia="en-US"/>
        </w:rPr>
        <w:t>工程渣土与泥浆应经预处理改善渣土和余泥的高含水率、高黏度、易流变、高持水性和低渗透系数的特性，改性后的物料含水率小于40%、相关力学指标符合标准要求后方可填埋处置</w:t>
      </w:r>
      <w:r>
        <w:rPr>
          <w:rFonts w:hint="eastAsia"/>
          <w:lang w:eastAsia="zh-CN"/>
        </w:rPr>
        <w:t>。</w:t>
      </w:r>
    </w:p>
    <w:p w14:paraId="3568F95A">
      <w:pPr>
        <w:pStyle w:val="4"/>
        <w:bidi w:val="0"/>
        <w:rPr>
          <w:lang w:eastAsia="en-US"/>
        </w:rPr>
      </w:pPr>
      <w:r>
        <w:rPr>
          <w:rFonts w:hint="eastAsia"/>
          <w:lang w:val="en-US" w:eastAsia="zh-CN"/>
        </w:rPr>
        <w:t>1、</w:t>
      </w:r>
      <w:r>
        <w:rPr>
          <w:lang w:eastAsia="en-US"/>
        </w:rPr>
        <w:t>工程渣土和工程泥浆处置</w:t>
      </w:r>
    </w:p>
    <w:p w14:paraId="623F05A0">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直接利用。</w:t>
      </w:r>
      <w:r>
        <w:rPr>
          <w:rFonts w:hint="eastAsia" w:ascii="Times New Roman" w:hAnsi="Times New Roman" w:eastAsia="仿宋" w:cs="仿宋"/>
          <w:spacing w:val="4"/>
          <w:sz w:val="28"/>
          <w:szCs w:val="28"/>
          <w:highlight w:val="none"/>
          <w:lang w:val="en-US" w:eastAsia="zh-CN"/>
        </w:rPr>
        <w:t>工程渣土一般分为上层土和下层土，可分层利用。上层土可代替传统的黄泥土用于堆坡造景、园林绿化，耕地修复、工程回填等，下层土可用来生产再生品，利用垃圾中筛分出的土生产道路用底基层材料。利用技术手段可生产混凝土路面砖等制品。工程泥浆经脱水、固化后形成的泥饼，经检测符合条件或者无害化处理后，可作为工程所需回填材料进行回填利用。</w:t>
      </w:r>
    </w:p>
    <w:p w14:paraId="35264E70">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资源化利用。</w:t>
      </w:r>
      <w:bookmarkStart w:id="180" w:name="OLE_LINK94"/>
      <w:r>
        <w:rPr>
          <w:rFonts w:hint="eastAsia" w:ascii="Times New Roman" w:hAnsi="Times New Roman" w:eastAsia="仿宋" w:cs="仿宋"/>
          <w:spacing w:val="4"/>
          <w:sz w:val="28"/>
          <w:szCs w:val="28"/>
          <w:highlight w:val="none"/>
          <w:lang w:val="en-US" w:eastAsia="zh-CN"/>
        </w:rPr>
        <w:t>工程渣土上层土采用直接利用方式，下层土可用泥砂分离将分离的黏土与园林垃圾堆肥腐殖质土混合制备园林种植土，通过固化和压制生产为建筑用砖、再生砌砖、免烧瓷砖、文化装饰砖等产品；以黏土为原料，经高温焙烧制得各类块材、板材。工程泥浆经处理后可用作回填、场地覆盖或制备再生产品。工程泥浆分选后形成的砂、石骨料，其性能符合国家有关标准的，可用作再生粗（细）骨料、蒸压加气混凝土原料。</w:t>
      </w:r>
    </w:p>
    <w:bookmarkEnd w:id="180"/>
    <w:p w14:paraId="1A0D3DF1">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处置规划。</w:t>
      </w:r>
      <w:r>
        <w:rPr>
          <w:rFonts w:hint="eastAsia" w:ascii="Times New Roman" w:hAnsi="Times New Roman" w:eastAsia="仿宋" w:cs="仿宋"/>
          <w:spacing w:val="4"/>
          <w:sz w:val="28"/>
          <w:szCs w:val="28"/>
          <w:highlight w:val="none"/>
          <w:lang w:val="en-US" w:eastAsia="zh-CN"/>
        </w:rPr>
        <w:t>工程渣土、工程泥浆可用于资源化利用、域内平衡</w:t>
      </w:r>
      <w:r>
        <w:rPr>
          <w:rFonts w:hint="eastAsia" w:cs="仿宋"/>
          <w:spacing w:val="4"/>
          <w:sz w:val="28"/>
          <w:szCs w:val="28"/>
          <w:highlight w:val="none"/>
          <w:lang w:val="en-US" w:eastAsia="zh-CN"/>
        </w:rPr>
        <w:t>、</w:t>
      </w:r>
      <w:r>
        <w:rPr>
          <w:rFonts w:hint="eastAsia" w:ascii="Times New Roman" w:hAnsi="Times New Roman" w:eastAsia="仿宋" w:cs="仿宋"/>
          <w:spacing w:val="4"/>
          <w:sz w:val="28"/>
          <w:szCs w:val="28"/>
          <w:highlight w:val="none"/>
          <w:lang w:val="en-US" w:eastAsia="zh-CN"/>
        </w:rPr>
        <w:t>跨区域调剂平衡、</w:t>
      </w:r>
      <w:bookmarkStart w:id="181" w:name="OLE_LINK95"/>
      <w:r>
        <w:rPr>
          <w:rFonts w:hint="eastAsia" w:ascii="Times New Roman" w:hAnsi="Times New Roman" w:eastAsia="仿宋" w:cs="仿宋"/>
          <w:spacing w:val="4"/>
          <w:sz w:val="28"/>
          <w:szCs w:val="28"/>
          <w:highlight w:val="none"/>
          <w:lang w:val="en-US" w:eastAsia="zh-CN"/>
        </w:rPr>
        <w:t>生态修复利用、场地平整和无害化填埋处置。优先以市场自行的供需平衡为消纳途径；同时积极探索表层土壤利用措施，为城市绿化等工程提供优质种植土；工程渣土中含有毒有害等污染物质的，严禁进入回填场地。</w:t>
      </w:r>
    </w:p>
    <w:bookmarkEnd w:id="181"/>
    <w:p w14:paraId="564A3F37">
      <w:pPr>
        <w:pStyle w:val="4"/>
        <w:bidi w:val="0"/>
        <w:rPr>
          <w:rFonts w:hint="eastAsia"/>
          <w:lang w:val="en-US" w:eastAsia="zh-CN"/>
        </w:rPr>
      </w:pPr>
      <w:r>
        <w:rPr>
          <w:rFonts w:hint="eastAsia"/>
          <w:lang w:val="en-US" w:eastAsia="zh-CN"/>
        </w:rPr>
        <w:t>2、工程垃圾和拆除垃圾</w:t>
      </w:r>
    </w:p>
    <w:p w14:paraId="52112EA7">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直接利用。</w:t>
      </w:r>
      <w:r>
        <w:rPr>
          <w:rFonts w:hint="eastAsia" w:ascii="Times New Roman" w:hAnsi="Times New Roman" w:eastAsia="仿宋" w:cs="仿宋"/>
          <w:spacing w:val="4"/>
          <w:sz w:val="28"/>
          <w:szCs w:val="28"/>
          <w:highlight w:val="none"/>
          <w:lang w:val="en-US" w:eastAsia="zh-CN"/>
        </w:rPr>
        <w:t>工程垃圾主要由散落的砂浆和混凝土、剔凿产生的砖石和混凝土碎块、打桩截下的钢筋混凝土桩头、废金属料、竹木材、各种包装材料组成，木材、金属等有价值的物质可进入废品回收体系，其余大部分直接用于渣土桩填料、夯扩桩填料，部分含有一定量的有毒有害成分，可采用无害化填埋处置。拆除垃圾主要是指各类旧建筑物、构筑物等拆除过程中产生的废弃物，旧建筑物拆除垃圾的组成与建筑物的结构有关，建筑物拆除垃圾中完整尺寸的砖块经收集整理可用于建筑施工工地的围墙、公路防护墙建设等，在城市兴建大型建筑、广场、市政设施时，可作为回填材料使用。</w:t>
      </w:r>
    </w:p>
    <w:p w14:paraId="546781F0">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资源化利用。</w:t>
      </w:r>
      <w:r>
        <w:rPr>
          <w:rFonts w:hint="eastAsia" w:ascii="Times New Roman" w:hAnsi="Times New Roman" w:eastAsia="仿宋" w:cs="仿宋"/>
          <w:spacing w:val="4"/>
          <w:sz w:val="28"/>
          <w:szCs w:val="28"/>
          <w:highlight w:val="none"/>
          <w:lang w:val="en-US" w:eastAsia="zh-CN"/>
        </w:rPr>
        <w:t>工程垃圾中的废弃混凝土优先用于生产再生骨料</w:t>
      </w:r>
      <w:r>
        <w:rPr>
          <w:rFonts w:hint="eastAsia" w:cs="仿宋"/>
          <w:spacing w:val="4"/>
          <w:sz w:val="28"/>
          <w:szCs w:val="28"/>
          <w:highlight w:val="none"/>
          <w:lang w:val="en-US" w:eastAsia="zh-CN"/>
        </w:rPr>
        <w:t>，</w:t>
      </w:r>
      <w:r>
        <w:rPr>
          <w:rFonts w:hint="eastAsia" w:ascii="Times New Roman" w:hAnsi="Times New Roman" w:eastAsia="仿宋" w:cs="仿宋"/>
          <w:spacing w:val="4"/>
          <w:sz w:val="28"/>
          <w:szCs w:val="28"/>
          <w:highlight w:val="none"/>
          <w:lang w:val="en-US" w:eastAsia="zh-CN"/>
        </w:rPr>
        <w:t>废弃沥青混合料优先用于生产再生沥青混合料；废弃模板根据材质分类回收，竹木材质宜用作再生板材、纸张或生物质燃料等的原材料。拆除垃圾中的废弃混凝土、砂浆、石材、砖瓦、陶瓷可用于生产再生骨料砂浆、烧结再生砖、砌块的原材料；废弃沥青混合料可用于生产再生沥青混合料；废弃金属、木材、玻璃、塑料等根据材质分类回收利用</w:t>
      </w:r>
      <w:r>
        <w:rPr>
          <w:rFonts w:hint="eastAsia" w:ascii="Times New Roman" w:hAnsi="Times New Roman" w:cs="仿宋"/>
          <w:spacing w:val="4"/>
          <w:sz w:val="28"/>
          <w:szCs w:val="28"/>
          <w:highlight w:val="none"/>
          <w:lang w:val="en-US" w:eastAsia="zh-CN"/>
        </w:rPr>
        <w:t>；无法在现场进行分类的无机非金属、金属、有机类垃圾的混合物，施工剩余的防水材料、保温材料等，玻璃类，废弃木模板可运往生活垃圾焚烧发电厂焚烧利用。</w:t>
      </w:r>
    </w:p>
    <w:p w14:paraId="2CAF6CF2">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处置规划。</w:t>
      </w:r>
      <w:r>
        <w:rPr>
          <w:rFonts w:hint="eastAsia" w:ascii="Times New Roman" w:hAnsi="Times New Roman" w:eastAsia="仿宋" w:cs="仿宋"/>
          <w:spacing w:val="4"/>
          <w:sz w:val="28"/>
          <w:szCs w:val="28"/>
          <w:highlight w:val="none"/>
          <w:lang w:val="en-US" w:eastAsia="zh-CN"/>
        </w:rPr>
        <w:t>工程垃圾和拆除垃圾中可资源化利用的成分较高，其中的金属、木材、玻璃等可回收再利用，采取资源化利用为主，消纳为辅的处理模式。此类建筑垃圾中混凝土、砖块等可再利用组分占比高，再利用经济效益好，重点为规范行业的市场监管，提高规模化效应和再利用水平。同时，结合大型集中的拆违和旧改工地，设置移动式建筑垃圾处理设施，就地破碎后形成建材骨料进行利用。</w:t>
      </w:r>
    </w:p>
    <w:p w14:paraId="5121CCE1">
      <w:pPr>
        <w:pStyle w:val="4"/>
        <w:bidi w:val="0"/>
        <w:rPr>
          <w:rFonts w:hint="eastAsia"/>
          <w:lang w:val="en-US" w:eastAsia="zh-CN"/>
        </w:rPr>
      </w:pPr>
      <w:r>
        <w:rPr>
          <w:rFonts w:hint="eastAsia"/>
          <w:lang w:val="en-US" w:eastAsia="zh-CN"/>
        </w:rPr>
        <w:t>3、装修垃圾</w:t>
      </w:r>
    </w:p>
    <w:p w14:paraId="65CAD16F">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直接利用。</w:t>
      </w:r>
      <w:r>
        <w:rPr>
          <w:rFonts w:hint="eastAsia" w:ascii="Times New Roman" w:hAnsi="Times New Roman" w:eastAsia="仿宋" w:cs="仿宋"/>
          <w:spacing w:val="4"/>
          <w:sz w:val="28"/>
          <w:szCs w:val="28"/>
          <w:highlight w:val="none"/>
          <w:lang w:val="en-US" w:eastAsia="zh-CN"/>
        </w:rPr>
        <w:t>装修垃圾主要由散落的砂浆和混凝土、剔凿产生的砖石和混凝土碎块、废金属料、竹木材、各种包装材料组成，木材、金属等有价值的物质可进入废品回收体系，其余大部分直接用于渣土桩填料、夯扩桩填料，部分含有一定量的有毒有害成分，可采用无害化填埋处置。</w:t>
      </w:r>
    </w:p>
    <w:p w14:paraId="196C8821">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资源化利用。</w:t>
      </w:r>
      <w:r>
        <w:rPr>
          <w:rFonts w:hint="eastAsia" w:ascii="Times New Roman" w:hAnsi="Times New Roman" w:eastAsia="仿宋" w:cs="仿宋"/>
          <w:spacing w:val="4"/>
          <w:sz w:val="28"/>
          <w:szCs w:val="28"/>
          <w:highlight w:val="none"/>
          <w:lang w:val="en-US" w:eastAsia="zh-CN"/>
        </w:rPr>
        <w:t>装修垃圾中的废弃混凝土、砂浆、石材、砖瓦、陶瓷可用于生产再生骨料，发展再生砖、再生混凝土、再生无机混合料综合利用项目；石膏、加气混凝土砌块等轻质材料可用于生产掺合料；废弃金属、木材、玻璃、塑料等根据材质分类回收利用</w:t>
      </w:r>
      <w:r>
        <w:rPr>
          <w:rFonts w:hint="eastAsia" w:ascii="Times New Roman" w:hAnsi="Times New Roman" w:cs="仿宋"/>
          <w:spacing w:val="4"/>
          <w:sz w:val="28"/>
          <w:szCs w:val="28"/>
          <w:highlight w:val="none"/>
          <w:lang w:val="en-US" w:eastAsia="zh-CN"/>
        </w:rPr>
        <w:t>；无法在现场进行分类的无机非金属、金属、有机类垃圾的混合物可运往生活垃圾焚烧发电厂焚烧利用。</w:t>
      </w:r>
    </w:p>
    <w:p w14:paraId="03249632">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2"/>
        <w:jc w:val="both"/>
        <w:textAlignment w:val="baseline"/>
        <w:rPr>
          <w:rFonts w:hint="eastAsia" w:ascii="Times New Roman" w:hAnsi="Times New Roman" w:eastAsia="仿宋" w:cs="仿宋"/>
          <w:b w:val="0"/>
          <w:bCs w:val="0"/>
          <w:spacing w:val="4"/>
          <w:sz w:val="28"/>
          <w:szCs w:val="28"/>
          <w:highlight w:val="none"/>
          <w:lang w:val="en-US" w:eastAsia="zh-CN"/>
        </w:rPr>
      </w:pPr>
      <w:r>
        <w:rPr>
          <w:rFonts w:hint="eastAsia" w:ascii="Times New Roman" w:hAnsi="Times New Roman" w:eastAsia="仿宋" w:cs="仿宋"/>
          <w:b/>
          <w:bCs/>
          <w:spacing w:val="4"/>
          <w:sz w:val="28"/>
          <w:szCs w:val="28"/>
          <w:highlight w:val="none"/>
          <w:lang w:val="en-US" w:eastAsia="zh-CN"/>
        </w:rPr>
        <w:t>处置规划。</w:t>
      </w:r>
      <w:r>
        <w:rPr>
          <w:rFonts w:hint="eastAsia" w:ascii="Times New Roman" w:hAnsi="Times New Roman" w:eastAsia="仿宋" w:cs="仿宋"/>
          <w:b w:val="0"/>
          <w:bCs w:val="0"/>
          <w:spacing w:val="4"/>
          <w:sz w:val="28"/>
          <w:szCs w:val="28"/>
          <w:highlight w:val="none"/>
          <w:lang w:val="en-US" w:eastAsia="zh-CN"/>
        </w:rPr>
        <w:t>装修垃圾成分较复杂，经前段分类收集后，金属、玻璃、竹木等可回收利用，砖瓦、混凝土块等进入建筑垃圾再生利用厂再生利用。无法直接利用和再生利用的部分，则进入建筑垃圾填埋场进行无害化处理。</w:t>
      </w:r>
    </w:p>
    <w:p w14:paraId="29708954">
      <w:pPr>
        <w:pStyle w:val="4"/>
        <w:bidi w:val="0"/>
        <w:rPr>
          <w:lang w:eastAsia="zh-CN"/>
        </w:rPr>
      </w:pPr>
      <w:r>
        <w:rPr>
          <w:rFonts w:hint="eastAsia"/>
          <w:lang w:val="en-US" w:eastAsia="zh-CN"/>
        </w:rPr>
        <w:t>4、设施</w:t>
      </w:r>
      <w:r>
        <w:rPr>
          <w:lang w:eastAsia="zh-CN"/>
        </w:rPr>
        <w:t>选址要求</w:t>
      </w:r>
    </w:p>
    <w:p w14:paraId="18447381">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60"/>
        <w:jc w:val="both"/>
        <w:textAlignment w:val="baseline"/>
        <w:rPr>
          <w:rFonts w:ascii="Times New Roman" w:hAnsi="Times New Roman" w:eastAsia="仿宋" w:cs="仿宋"/>
          <w:sz w:val="28"/>
          <w:szCs w:val="28"/>
          <w:highlight w:val="none"/>
          <w:lang w:eastAsia="zh-CN"/>
        </w:rPr>
      </w:pPr>
      <w:r>
        <w:rPr>
          <w:rFonts w:ascii="Times New Roman" w:hAnsi="Times New Roman" w:eastAsia="仿宋" w:cs="仿宋"/>
          <w:spacing w:val="4"/>
          <w:sz w:val="28"/>
          <w:szCs w:val="28"/>
          <w:highlight w:val="none"/>
          <w:lang w:eastAsia="zh-CN"/>
        </w:rPr>
        <w:t>建筑垃圾处理设施为建筑垃圾资源化利用设施、填埋</w:t>
      </w:r>
      <w:r>
        <w:rPr>
          <w:rFonts w:hint="eastAsia" w:cs="仿宋"/>
          <w:spacing w:val="-3"/>
          <w:sz w:val="28"/>
          <w:szCs w:val="28"/>
          <w:highlight w:val="none"/>
          <w:lang w:val="en-US" w:eastAsia="zh-CN"/>
        </w:rPr>
        <w:t>场</w:t>
      </w:r>
      <w:r>
        <w:rPr>
          <w:rFonts w:ascii="Times New Roman" w:hAnsi="Times New Roman" w:eastAsia="仿宋" w:cs="仿宋"/>
          <w:spacing w:val="-3"/>
          <w:sz w:val="28"/>
          <w:szCs w:val="28"/>
          <w:highlight w:val="none"/>
          <w:lang w:eastAsia="zh-CN"/>
        </w:rPr>
        <w:t>（消纳场）</w:t>
      </w:r>
      <w:r>
        <w:rPr>
          <w:rFonts w:hint="eastAsia" w:cs="仿宋"/>
          <w:spacing w:val="-3"/>
          <w:sz w:val="28"/>
          <w:szCs w:val="28"/>
          <w:highlight w:val="none"/>
          <w:lang w:eastAsia="zh-CN"/>
        </w:rPr>
        <w:t>、</w:t>
      </w:r>
      <w:r>
        <w:rPr>
          <w:rFonts w:hint="eastAsia" w:cs="仿宋"/>
          <w:spacing w:val="-3"/>
          <w:sz w:val="28"/>
          <w:szCs w:val="28"/>
          <w:highlight w:val="none"/>
          <w:lang w:val="en-US" w:eastAsia="zh-CN"/>
        </w:rPr>
        <w:t>转运调配场</w:t>
      </w:r>
      <w:r>
        <w:rPr>
          <w:rFonts w:ascii="Times New Roman" w:hAnsi="Times New Roman" w:eastAsia="仿宋" w:cs="仿宋"/>
          <w:spacing w:val="-3"/>
          <w:sz w:val="28"/>
          <w:szCs w:val="28"/>
          <w:highlight w:val="none"/>
          <w:lang w:eastAsia="zh-CN"/>
        </w:rPr>
        <w:t>。</w:t>
      </w:r>
    </w:p>
    <w:p w14:paraId="11D17BE1">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9"/>
        <w:jc w:val="both"/>
        <w:textAlignment w:val="baseline"/>
        <w:rPr>
          <w:rFonts w:ascii="Times New Roman" w:hAnsi="Times New Roman" w:eastAsia="仿宋" w:cs="仿宋"/>
          <w:b/>
          <w:bCs/>
          <w:spacing w:val="-22"/>
          <w:sz w:val="28"/>
          <w:szCs w:val="28"/>
          <w:highlight w:val="none"/>
          <w:lang w:eastAsia="zh-CN"/>
        </w:rPr>
      </w:pPr>
      <w:r>
        <w:rPr>
          <w:rFonts w:ascii="Times New Roman" w:hAnsi="Times New Roman" w:eastAsia="仿宋" w:cs="仿宋"/>
          <w:b/>
          <w:bCs/>
          <w:spacing w:val="1"/>
          <w:sz w:val="28"/>
          <w:szCs w:val="28"/>
          <w:highlight w:val="none"/>
          <w:lang w:eastAsia="zh-CN"/>
        </w:rPr>
        <w:t>设施选址应符合下列规定</w:t>
      </w:r>
      <w:r>
        <w:rPr>
          <w:rFonts w:ascii="Times New Roman" w:hAnsi="Times New Roman" w:eastAsia="仿宋" w:cs="仿宋"/>
          <w:b/>
          <w:bCs/>
          <w:spacing w:val="-22"/>
          <w:sz w:val="28"/>
          <w:szCs w:val="28"/>
          <w:highlight w:val="none"/>
          <w:lang w:eastAsia="zh-CN"/>
        </w:rPr>
        <w:t>：</w:t>
      </w:r>
    </w:p>
    <w:p w14:paraId="54D0D512">
      <w:pPr>
        <w:bidi w:val="0"/>
        <w:rPr>
          <w:lang w:eastAsia="zh-CN"/>
        </w:rPr>
      </w:pPr>
      <w:r>
        <w:rPr>
          <w:lang w:eastAsia="zh-CN"/>
        </w:rPr>
        <w:t>（1）应符合当地城市总体规划、环境卫生设施专项规划以及国家现行有关标准的规定。</w:t>
      </w:r>
    </w:p>
    <w:p w14:paraId="61446739">
      <w:pPr>
        <w:bidi w:val="0"/>
        <w:rPr>
          <w:lang w:eastAsia="zh-CN"/>
        </w:rPr>
      </w:pPr>
      <w:r>
        <w:rPr>
          <w:lang w:eastAsia="zh-CN"/>
        </w:rPr>
        <w:t>（2）应与当地的大气防护、水土资源保护、自然保护及生态平衡要求相一致。</w:t>
      </w:r>
    </w:p>
    <w:p w14:paraId="061B7AFC">
      <w:pPr>
        <w:bidi w:val="0"/>
        <w:rPr>
          <w:lang w:eastAsia="zh-CN"/>
        </w:rPr>
      </w:pPr>
      <w:r>
        <w:rPr>
          <w:lang w:eastAsia="zh-CN"/>
        </w:rPr>
        <w:t>（3）工程地质与水文地质条件应满足设施建设和运行的要求不应选在发震断层、滑坡、泥石流、沼泽、流沙及采矿陷落区等地区。</w:t>
      </w:r>
    </w:p>
    <w:p w14:paraId="6AA40FE2">
      <w:pPr>
        <w:bidi w:val="0"/>
        <w:rPr>
          <w:lang w:eastAsia="zh-CN"/>
        </w:rPr>
      </w:pPr>
      <w:r>
        <w:rPr>
          <w:lang w:eastAsia="zh-CN"/>
        </w:rPr>
        <w:t>（4）应交通方便、运距合理，并应综合建筑垃圾处理厂的服务区域、建筑垃圾收集运输能力、产品出路、预留发展等因素。</w:t>
      </w:r>
    </w:p>
    <w:p w14:paraId="705018C9">
      <w:pPr>
        <w:bidi w:val="0"/>
        <w:rPr>
          <w:lang w:eastAsia="zh-CN"/>
        </w:rPr>
      </w:pPr>
      <w:r>
        <w:rPr>
          <w:lang w:eastAsia="zh-CN"/>
        </w:rPr>
        <w:t>（5）应有良好的电力、给水和排水条件。</w:t>
      </w:r>
    </w:p>
    <w:p w14:paraId="6701A142">
      <w:pPr>
        <w:bidi w:val="0"/>
        <w:rPr>
          <w:lang w:eastAsia="zh-CN"/>
        </w:rPr>
      </w:pPr>
      <w:r>
        <w:rPr>
          <w:lang w:eastAsia="zh-CN"/>
        </w:rPr>
        <w:t>（6）应位于地下水贫乏地区、环境保护目标区域的地下水流向</w:t>
      </w:r>
      <w:r>
        <w:rPr>
          <w:rFonts w:hint="eastAsia"/>
          <w:lang w:val="en-US" w:eastAsia="zh-CN"/>
        </w:rPr>
        <w:t>的</w:t>
      </w:r>
      <w:r>
        <w:rPr>
          <w:lang w:eastAsia="zh-CN"/>
        </w:rPr>
        <w:t>下游地区，及夏季主导风向下风向。</w:t>
      </w:r>
    </w:p>
    <w:p w14:paraId="37E914D5">
      <w:pPr>
        <w:bidi w:val="0"/>
        <w:rPr>
          <w:lang w:eastAsia="zh-CN"/>
        </w:rPr>
      </w:pPr>
      <w:r>
        <w:rPr>
          <w:lang w:eastAsia="zh-CN"/>
        </w:rPr>
        <w:t>（7）厂址不应受洪水、潮水或内涝的威胁。当必须建在该类地区时，应有可靠的防洪、排涝措施，其防洪标准应符合现行国家标准《防洪标准》GB50201的有关规定。</w:t>
      </w:r>
    </w:p>
    <w:p w14:paraId="274079AD">
      <w:pPr>
        <w:bidi w:val="0"/>
        <w:rPr>
          <w:lang w:eastAsia="zh-CN"/>
        </w:rPr>
      </w:pPr>
      <w:r>
        <w:rPr>
          <w:lang w:eastAsia="zh-CN"/>
        </w:rPr>
        <w:t>（</w:t>
      </w:r>
      <w:r>
        <w:rPr>
          <w:rFonts w:hint="eastAsia"/>
          <w:lang w:val="en-US" w:eastAsia="zh-CN"/>
        </w:rPr>
        <w:t>8</w:t>
      </w:r>
      <w:r>
        <w:rPr>
          <w:lang w:eastAsia="zh-CN"/>
        </w:rPr>
        <w:t>）宜优先选用废弃的采矿坑、山谷型场地等。</w:t>
      </w:r>
    </w:p>
    <w:p w14:paraId="6B9C2972">
      <w:pPr>
        <w:bidi w:val="0"/>
        <w:rPr>
          <w:lang w:eastAsia="zh-CN"/>
        </w:rPr>
      </w:pPr>
      <w:r>
        <w:rPr>
          <w:lang w:eastAsia="zh-CN"/>
        </w:rPr>
        <w:t>（</w:t>
      </w:r>
      <w:r>
        <w:rPr>
          <w:rFonts w:hint="eastAsia"/>
          <w:lang w:val="en-US" w:eastAsia="zh-CN"/>
        </w:rPr>
        <w:t>9</w:t>
      </w:r>
      <w:r>
        <w:rPr>
          <w:lang w:eastAsia="zh-CN"/>
        </w:rPr>
        <w:t>）建筑垃圾处置设施与居民居住区、人畜供水点等敏感目标的卫生防护距离应通过环境影响评价确定。</w:t>
      </w:r>
    </w:p>
    <w:p w14:paraId="434BAEE8">
      <w:pPr>
        <w:pStyle w:val="3"/>
        <w:bidi w:val="0"/>
        <w:rPr>
          <w:rFonts w:hint="eastAsia" w:ascii="楷体" w:hAnsi="楷体" w:eastAsia="楷体" w:cs="楷体"/>
          <w:sz w:val="28"/>
          <w:szCs w:val="28"/>
        </w:rPr>
      </w:pPr>
      <w:bookmarkStart w:id="182" w:name="bookmark84"/>
      <w:bookmarkEnd w:id="182"/>
      <w:bookmarkStart w:id="183" w:name="bookmark83"/>
      <w:bookmarkEnd w:id="183"/>
      <w:bookmarkStart w:id="184" w:name="_Toc543"/>
      <w:r>
        <w:rPr>
          <w:rFonts w:hint="eastAsia" w:ascii="楷体" w:hAnsi="楷体" w:eastAsia="楷体" w:cs="楷体"/>
          <w:sz w:val="28"/>
          <w:szCs w:val="28"/>
        </w:rPr>
        <w:t>（二）</w:t>
      </w:r>
      <w:r>
        <w:rPr>
          <w:rFonts w:hint="eastAsia" w:ascii="楷体" w:hAnsi="楷体" w:eastAsia="楷体" w:cs="楷体"/>
          <w:sz w:val="28"/>
          <w:szCs w:val="28"/>
          <w:lang w:eastAsia="en-US"/>
        </w:rPr>
        <w:t>建筑垃圾处置设施布局</w:t>
      </w:r>
      <w:bookmarkEnd w:id="184"/>
    </w:p>
    <w:p w14:paraId="374C34D2">
      <w:pPr>
        <w:bidi w:val="0"/>
        <w:rPr>
          <w:highlight w:val="none"/>
          <w:u w:val="single"/>
          <w:lang w:eastAsia="en-US"/>
        </w:rPr>
      </w:pPr>
      <w:bookmarkStart w:id="185" w:name="OLE_LINK74"/>
      <w:bookmarkStart w:id="186" w:name="OLE_LINK100"/>
      <w:r>
        <w:rPr>
          <w:rFonts w:hint="eastAsia"/>
          <w:lang w:val="en-US" w:eastAsia="zh-CN"/>
        </w:rPr>
        <w:t>根据桃江县建筑垃圾产生实际和预测情况，结合县域交通、乡镇布局和《桃江县国土空间总体规划（2021—2035年）》，</w:t>
      </w:r>
      <w:r>
        <w:rPr>
          <w:rFonts w:hint="eastAsia"/>
          <w:u w:val="single"/>
          <w:lang w:val="en-US" w:eastAsia="zh-CN"/>
        </w:rPr>
        <w:t>桃江县建筑垃圾处理设施</w:t>
      </w:r>
      <w:r>
        <w:rPr>
          <w:u w:val="single"/>
          <w:lang w:eastAsia="en-US"/>
        </w:rPr>
        <w:t>近期规划</w:t>
      </w:r>
      <w:r>
        <w:rPr>
          <w:rFonts w:hint="eastAsia"/>
          <w:u w:val="single"/>
          <w:lang w:val="en-US" w:eastAsia="en-US"/>
        </w:rPr>
        <w:t>在</w:t>
      </w:r>
      <w:r>
        <w:rPr>
          <w:rFonts w:hint="eastAsia"/>
          <w:u w:val="single"/>
          <w:lang w:val="en-US" w:eastAsia="zh-CN"/>
        </w:rPr>
        <w:t>鸬鹚渡镇建设一座处理能力不低于90万吨的建筑垃圾填埋场</w:t>
      </w:r>
      <w:r>
        <w:rPr>
          <w:rFonts w:hint="eastAsia"/>
          <w:u w:val="single"/>
          <w:lang w:val="en-US" w:eastAsia="en-US"/>
        </w:rPr>
        <w:t>，</w:t>
      </w:r>
      <w:r>
        <w:rPr>
          <w:rFonts w:hint="eastAsia"/>
          <w:u w:val="single"/>
          <w:lang w:val="en-US" w:eastAsia="zh-CN"/>
        </w:rPr>
        <w:t>在大栗港镇和牛田镇分别建设一座年处理能力不低于25万吨的转运调配场。</w:t>
      </w:r>
      <w:bookmarkEnd w:id="185"/>
      <w:r>
        <w:rPr>
          <w:rFonts w:hint="eastAsia"/>
          <w:u w:val="single"/>
          <w:lang w:val="en-US" w:eastAsia="zh-CN"/>
        </w:rPr>
        <w:t>远期</w:t>
      </w:r>
      <w:r>
        <w:rPr>
          <w:rFonts w:hint="eastAsia"/>
          <w:u w:val="single"/>
          <w:lang w:val="en-US" w:eastAsia="en-US"/>
        </w:rPr>
        <w:t>规划在</w:t>
      </w:r>
      <w:r>
        <w:rPr>
          <w:rFonts w:hint="eastAsia"/>
          <w:u w:val="single"/>
          <w:lang w:val="en-US" w:eastAsia="zh-CN"/>
        </w:rPr>
        <w:t>灰山港镇建设一座处</w:t>
      </w:r>
      <w:r>
        <w:rPr>
          <w:rFonts w:hint="eastAsia"/>
          <w:highlight w:val="none"/>
          <w:u w:val="single"/>
          <w:lang w:val="en-US" w:eastAsia="zh-CN"/>
        </w:rPr>
        <w:t>理能力不低于90万吨的建筑垃圾填埋处理场</w:t>
      </w:r>
      <w:r>
        <w:rPr>
          <w:highlight w:val="none"/>
          <w:u w:val="single"/>
          <w:lang w:eastAsia="en-US"/>
        </w:rPr>
        <w:t>，</w:t>
      </w:r>
      <w:r>
        <w:rPr>
          <w:rFonts w:hint="eastAsia"/>
          <w:highlight w:val="none"/>
          <w:u w:val="single"/>
          <w:lang w:val="en-US" w:eastAsia="zh-CN"/>
        </w:rPr>
        <w:t>在三堂街镇建设一座年处理能力不低于25万吨的转运调配场。</w:t>
      </w:r>
    </w:p>
    <w:bookmarkEnd w:id="186"/>
    <w:p w14:paraId="63F8D452">
      <w:pPr>
        <w:widowControl/>
        <w:kinsoku w:val="0"/>
        <w:autoSpaceDE w:val="0"/>
        <w:autoSpaceDN w:val="0"/>
        <w:adjustRightInd w:val="0"/>
        <w:snapToGrid w:val="0"/>
        <w:spacing w:before="2" w:line="413" w:lineRule="auto"/>
        <w:ind w:left="41" w:right="101" w:firstLine="556" w:firstLineChars="0"/>
        <w:jc w:val="left"/>
        <w:textAlignment w:val="baseline"/>
        <w:rPr>
          <w:rFonts w:ascii="宋体" w:hAnsi="宋体" w:eastAsia="宋体" w:cs="宋体"/>
          <w:snapToGrid w:val="0"/>
          <w:color w:val="000000"/>
          <w:kern w:val="0"/>
          <w:sz w:val="28"/>
          <w:szCs w:val="28"/>
          <w:lang w:eastAsia="en-US"/>
        </w:rPr>
      </w:pPr>
    </w:p>
    <w:p w14:paraId="141FC9D3">
      <w:pPr>
        <w:spacing w:line="413" w:lineRule="auto"/>
        <w:rPr>
          <w:rFonts w:ascii="宋体" w:hAnsi="宋体" w:eastAsia="宋体" w:cs="宋体"/>
          <w:sz w:val="28"/>
          <w:szCs w:val="28"/>
        </w:rPr>
        <w:sectPr>
          <w:headerReference r:id="rId11" w:type="default"/>
          <w:footerReference r:id="rId12" w:type="default"/>
          <w:pgSz w:w="11907" w:h="16839"/>
          <w:pgMar w:top="1166" w:right="1697" w:bottom="1263" w:left="1771" w:header="828" w:footer="1130" w:gutter="0"/>
          <w:pgNumType w:fmt="decimal" w:start="1"/>
          <w:cols w:space="720" w:num="1"/>
        </w:sectPr>
      </w:pPr>
    </w:p>
    <w:p w14:paraId="7CD6E8AF">
      <w:pPr>
        <w:pStyle w:val="4"/>
        <w:bidi w:val="0"/>
        <w:rPr>
          <w:rFonts w:hint="eastAsia"/>
          <w:lang w:val="en-US" w:eastAsia="zh-CN"/>
        </w:rPr>
      </w:pPr>
      <w:r>
        <w:rPr>
          <w:rFonts w:hint="eastAsia"/>
          <w:lang w:val="en-US" w:eastAsia="zh-CN"/>
        </w:rPr>
        <w:t>1、资源化利用厂</w:t>
      </w:r>
    </w:p>
    <w:p w14:paraId="67BDE8E3">
      <w:pPr>
        <w:bidi w:val="0"/>
        <w:rPr>
          <w:rFonts w:hint="eastAsia"/>
          <w:lang w:val="en-US" w:eastAsia="zh-CN"/>
        </w:rPr>
      </w:pPr>
      <w:r>
        <w:rPr>
          <w:rFonts w:hint="eastAsia"/>
          <w:lang w:val="en-US" w:eastAsia="zh-CN"/>
        </w:rPr>
        <w:t>桃江</w:t>
      </w:r>
      <w:r>
        <w:t>县</w:t>
      </w:r>
      <w:r>
        <w:rPr>
          <w:rFonts w:hint="eastAsia"/>
          <w:lang w:val="en-US" w:eastAsia="zh-CN"/>
        </w:rPr>
        <w:t>是湖南省</w:t>
      </w:r>
      <w:r>
        <w:t>建筑垃圾治理和资源化利用工作的试点县，</w:t>
      </w:r>
      <w:r>
        <w:rPr>
          <w:rFonts w:hint="eastAsia"/>
          <w:lang w:val="en-US" w:eastAsia="zh-CN"/>
        </w:rPr>
        <w:t>目前</w:t>
      </w:r>
      <w:r>
        <w:t>已建成建筑垃圾处理企业3家，生产各类市政产品及构件</w:t>
      </w:r>
      <w:r>
        <w:rPr>
          <w:rFonts w:hint="eastAsia"/>
          <w:lang w:eastAsia="zh-CN"/>
        </w:rPr>
        <w:t>。</w:t>
      </w:r>
      <w:r>
        <w:t>全年各类建筑垃圾资源化利用</w:t>
      </w:r>
      <w:r>
        <w:rPr>
          <w:rFonts w:hint="eastAsia"/>
          <w:lang w:val="en-US" w:eastAsia="zh-CN"/>
        </w:rPr>
        <w:t>120</w:t>
      </w:r>
      <w:r>
        <w:t>万吨左右，</w:t>
      </w:r>
      <w:r>
        <w:rPr>
          <w:rFonts w:hint="eastAsia"/>
          <w:u w:val="single"/>
          <w:lang w:val="en-US" w:eastAsia="zh-CN"/>
        </w:rPr>
        <w:t>2024年县域</w:t>
      </w:r>
      <w:r>
        <w:rPr>
          <w:u w:val="single"/>
        </w:rPr>
        <w:t>建筑垃圾资源化利用率达到</w:t>
      </w:r>
      <w:r>
        <w:rPr>
          <w:rFonts w:hint="eastAsia"/>
          <w:u w:val="single"/>
          <w:lang w:val="en-US" w:eastAsia="zh-CN"/>
        </w:rPr>
        <w:t>72.26</w:t>
      </w:r>
      <w:r>
        <w:rPr>
          <w:u w:val="single"/>
        </w:rPr>
        <w:t>%。</w:t>
      </w:r>
      <w:r>
        <w:rPr>
          <w:rFonts w:hint="eastAsia"/>
          <w:lang w:val="en-US" w:eastAsia="zh-CN"/>
        </w:rPr>
        <w:t>根据桃江县建筑垃圾近五年来产生量和10年预测情况，无需规划新增资源化利用厂。</w:t>
      </w:r>
    </w:p>
    <w:p w14:paraId="58580C40">
      <w:pPr>
        <w:bidi w:val="0"/>
        <w:ind w:left="0" w:leftChars="0" w:firstLine="0" w:firstLineChars="0"/>
        <w:jc w:val="center"/>
        <w:rPr>
          <w:b/>
          <w:bCs/>
          <w:lang w:eastAsia="zh-CN"/>
        </w:rPr>
      </w:pPr>
      <w:bookmarkStart w:id="187" w:name="OLE_LINK71"/>
      <w:bookmarkStart w:id="188" w:name="OLE_LINK58"/>
      <w:r>
        <w:rPr>
          <w:b/>
          <w:bCs/>
          <w:lang w:eastAsia="zh-CN"/>
        </w:rPr>
        <w:t>表</w:t>
      </w:r>
      <w:r>
        <w:rPr>
          <w:rFonts w:hint="eastAsia"/>
          <w:b/>
          <w:bCs/>
          <w:lang w:val="en-US" w:eastAsia="zh-CN"/>
        </w:rPr>
        <w:t xml:space="preserve">8-2 </w:t>
      </w:r>
      <w:bookmarkEnd w:id="187"/>
      <w:r>
        <w:rPr>
          <w:rFonts w:hint="eastAsia"/>
          <w:b/>
          <w:bCs/>
          <w:lang w:val="en-US" w:eastAsia="zh-CN"/>
        </w:rPr>
        <w:t>桃江县</w:t>
      </w:r>
      <w:r>
        <w:rPr>
          <w:b/>
          <w:bCs/>
          <w:lang w:eastAsia="zh-CN"/>
        </w:rPr>
        <w:t>建筑垃圾处理设施</w:t>
      </w:r>
      <w:bookmarkStart w:id="189" w:name="OLE_LINK64"/>
      <w:r>
        <w:rPr>
          <w:rFonts w:hint="eastAsia"/>
          <w:b/>
          <w:bCs/>
          <w:lang w:val="en-US" w:eastAsia="zh-CN"/>
        </w:rPr>
        <w:t>情</w:t>
      </w:r>
      <w:bookmarkEnd w:id="189"/>
      <w:r>
        <w:rPr>
          <w:rFonts w:hint="eastAsia"/>
          <w:b/>
          <w:bCs/>
          <w:lang w:val="en-US" w:eastAsia="zh-CN"/>
        </w:rPr>
        <w:t>况</w:t>
      </w:r>
      <w:r>
        <w:rPr>
          <w:b/>
          <w:bCs/>
          <w:lang w:eastAsia="zh-CN"/>
        </w:rPr>
        <w:t>表</w:t>
      </w:r>
    </w:p>
    <w:tbl>
      <w:tblPr>
        <w:tblStyle w:val="25"/>
        <w:tblW w:w="530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6"/>
        <w:gridCol w:w="1764"/>
        <w:gridCol w:w="1294"/>
        <w:gridCol w:w="979"/>
        <w:gridCol w:w="1317"/>
        <w:gridCol w:w="1255"/>
        <w:gridCol w:w="1584"/>
      </w:tblGrid>
      <w:tr w14:paraId="61BF3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5" w:type="pct"/>
            <w:vAlign w:val="center"/>
          </w:tcPr>
          <w:p w14:paraId="6BC7F52F">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1000" w:type="pct"/>
            <w:vAlign w:val="center"/>
          </w:tcPr>
          <w:p w14:paraId="188521FB">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名称</w:t>
            </w:r>
          </w:p>
        </w:tc>
        <w:tc>
          <w:tcPr>
            <w:tcW w:w="733" w:type="pct"/>
            <w:vAlign w:val="center"/>
          </w:tcPr>
          <w:p w14:paraId="3681E9DD">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处理能力（万吨/年）</w:t>
            </w:r>
          </w:p>
        </w:tc>
        <w:tc>
          <w:tcPr>
            <w:tcW w:w="555" w:type="pct"/>
            <w:vAlign w:val="center"/>
          </w:tcPr>
          <w:p w14:paraId="252E760A">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用地面积（亩）</w:t>
            </w:r>
          </w:p>
        </w:tc>
        <w:tc>
          <w:tcPr>
            <w:tcW w:w="746" w:type="pct"/>
            <w:vAlign w:val="center"/>
          </w:tcPr>
          <w:p w14:paraId="502B3B5F">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建筑垃圾场所类型</w:t>
            </w:r>
          </w:p>
        </w:tc>
        <w:tc>
          <w:tcPr>
            <w:tcW w:w="710" w:type="pct"/>
            <w:vAlign w:val="center"/>
          </w:tcPr>
          <w:p w14:paraId="2198116B">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服务范围</w:t>
            </w:r>
          </w:p>
        </w:tc>
        <w:tc>
          <w:tcPr>
            <w:tcW w:w="897" w:type="pct"/>
            <w:vAlign w:val="center"/>
          </w:tcPr>
          <w:p w14:paraId="5C9A340B">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位置</w:t>
            </w:r>
          </w:p>
        </w:tc>
      </w:tr>
      <w:tr w14:paraId="5F8B1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5" w:type="pct"/>
            <w:vAlign w:val="center"/>
          </w:tcPr>
          <w:p w14:paraId="6CEC12BB">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000" w:type="pct"/>
            <w:vAlign w:val="center"/>
          </w:tcPr>
          <w:p w14:paraId="644A0C3E">
            <w:pPr>
              <w:spacing w:afterLines="0" w:line="240" w:lineRule="auto"/>
              <w:ind w:left="0" w:leftChars="0" w:firstLine="0" w:firstLine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color w:val="000000"/>
                <w:sz w:val="24"/>
                <w:szCs w:val="24"/>
                <w:highlight w:val="none"/>
              </w:rPr>
              <w:t>益阳方成建筑新材料有限公司</w:t>
            </w:r>
          </w:p>
        </w:tc>
        <w:tc>
          <w:tcPr>
            <w:tcW w:w="733" w:type="pct"/>
            <w:vAlign w:val="center"/>
          </w:tcPr>
          <w:p w14:paraId="44C8B829">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100</w:t>
            </w:r>
          </w:p>
        </w:tc>
        <w:tc>
          <w:tcPr>
            <w:tcW w:w="555" w:type="pct"/>
            <w:vAlign w:val="center"/>
          </w:tcPr>
          <w:p w14:paraId="14DBA3AE">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70</w:t>
            </w:r>
          </w:p>
        </w:tc>
        <w:tc>
          <w:tcPr>
            <w:tcW w:w="746" w:type="pct"/>
            <w:vAlign w:val="center"/>
          </w:tcPr>
          <w:p w14:paraId="29A46EC8">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资源化利用</w:t>
            </w:r>
          </w:p>
        </w:tc>
        <w:tc>
          <w:tcPr>
            <w:tcW w:w="710" w:type="pct"/>
            <w:vAlign w:val="center"/>
          </w:tcPr>
          <w:p w14:paraId="6A7855F0">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建筑垃圾</w:t>
            </w:r>
          </w:p>
        </w:tc>
        <w:tc>
          <w:tcPr>
            <w:tcW w:w="897" w:type="pct"/>
            <w:vAlign w:val="center"/>
          </w:tcPr>
          <w:p w14:paraId="6C6FAA8B">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桃江县浮邱山乡人形山村</w:t>
            </w:r>
          </w:p>
        </w:tc>
      </w:tr>
      <w:tr w14:paraId="50FDE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5" w:type="pct"/>
            <w:vAlign w:val="center"/>
          </w:tcPr>
          <w:p w14:paraId="3E121807">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000" w:type="pct"/>
            <w:vAlign w:val="center"/>
          </w:tcPr>
          <w:p w14:paraId="201C4E70">
            <w:pPr>
              <w:spacing w:afterLines="0" w:line="240" w:lineRule="auto"/>
              <w:ind w:left="0" w:leftChars="0" w:firstLine="0" w:firstLine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桃江县晓亿建材有限责任公司</w:t>
            </w:r>
          </w:p>
        </w:tc>
        <w:tc>
          <w:tcPr>
            <w:tcW w:w="733" w:type="pct"/>
            <w:vAlign w:val="center"/>
          </w:tcPr>
          <w:p w14:paraId="0228782C">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60</w:t>
            </w:r>
          </w:p>
        </w:tc>
        <w:tc>
          <w:tcPr>
            <w:tcW w:w="555" w:type="pct"/>
            <w:vAlign w:val="center"/>
          </w:tcPr>
          <w:p w14:paraId="112B2D22">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w:t>
            </w:r>
          </w:p>
        </w:tc>
        <w:tc>
          <w:tcPr>
            <w:tcW w:w="746" w:type="pct"/>
            <w:vAlign w:val="center"/>
          </w:tcPr>
          <w:p w14:paraId="23A7AAF3">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资源化利用</w:t>
            </w:r>
          </w:p>
        </w:tc>
        <w:tc>
          <w:tcPr>
            <w:tcW w:w="710" w:type="pct"/>
            <w:vAlign w:val="center"/>
          </w:tcPr>
          <w:p w14:paraId="2A1FB085">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建筑垃圾</w:t>
            </w:r>
          </w:p>
        </w:tc>
        <w:tc>
          <w:tcPr>
            <w:tcW w:w="897" w:type="pct"/>
            <w:vAlign w:val="center"/>
          </w:tcPr>
          <w:p w14:paraId="127A0DF4">
            <w:pPr>
              <w:keepNext w:val="0"/>
              <w:keepLines w:val="0"/>
              <w:widowControl/>
              <w:suppressLineNumbers w:val="0"/>
              <w:ind w:left="0" w:leftChars="0" w:firstLine="0" w:firstLineChars="0"/>
              <w:jc w:val="center"/>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桃江县石牛江镇增塘村</w:t>
            </w:r>
          </w:p>
          <w:p w14:paraId="467E7592">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p>
        </w:tc>
      </w:tr>
      <w:tr w14:paraId="4F78F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5" w:type="pct"/>
            <w:vAlign w:val="center"/>
          </w:tcPr>
          <w:p w14:paraId="22AC523E">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1000" w:type="pct"/>
            <w:vAlign w:val="center"/>
          </w:tcPr>
          <w:p w14:paraId="312D913C">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color w:val="000000"/>
                <w:sz w:val="24"/>
                <w:szCs w:val="24"/>
                <w:highlight w:val="none"/>
              </w:rPr>
              <w:t>桃江惠强环保建材有限公司</w:t>
            </w:r>
          </w:p>
        </w:tc>
        <w:tc>
          <w:tcPr>
            <w:tcW w:w="733" w:type="pct"/>
            <w:vAlign w:val="center"/>
          </w:tcPr>
          <w:p w14:paraId="116264C8">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9.2</w:t>
            </w:r>
          </w:p>
        </w:tc>
        <w:tc>
          <w:tcPr>
            <w:tcW w:w="555" w:type="pct"/>
            <w:vAlign w:val="center"/>
          </w:tcPr>
          <w:p w14:paraId="100FBB89">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94.6</w:t>
            </w:r>
          </w:p>
        </w:tc>
        <w:tc>
          <w:tcPr>
            <w:tcW w:w="746" w:type="pct"/>
            <w:vAlign w:val="center"/>
          </w:tcPr>
          <w:p w14:paraId="6C93E0DA">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资源化利用</w:t>
            </w:r>
          </w:p>
        </w:tc>
        <w:tc>
          <w:tcPr>
            <w:tcW w:w="710" w:type="pct"/>
            <w:vAlign w:val="center"/>
          </w:tcPr>
          <w:p w14:paraId="13CF650C">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建筑垃圾</w:t>
            </w:r>
          </w:p>
        </w:tc>
        <w:tc>
          <w:tcPr>
            <w:tcW w:w="897" w:type="pct"/>
            <w:vAlign w:val="center"/>
          </w:tcPr>
          <w:p w14:paraId="4C300995">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桃江县浮邱山乡人形山村</w:t>
            </w:r>
          </w:p>
        </w:tc>
      </w:tr>
      <w:bookmarkEnd w:id="188"/>
    </w:tbl>
    <w:p w14:paraId="4717A84D">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8"/>
        <w:jc w:val="both"/>
        <w:textAlignment w:val="baseline"/>
        <w:rPr>
          <w:rFonts w:hint="eastAsia" w:ascii="Times New Roman" w:hAnsi="Times New Roman" w:cs="仿宋"/>
          <w:spacing w:val="4"/>
          <w:sz w:val="28"/>
          <w:szCs w:val="28"/>
          <w:highlight w:val="cyan"/>
          <w:lang w:val="en-US" w:eastAsia="zh-CN"/>
        </w:rPr>
      </w:pPr>
    </w:p>
    <w:p w14:paraId="45D08FAA">
      <w:pPr>
        <w:pStyle w:val="4"/>
        <w:bidi w:val="0"/>
        <w:rPr>
          <w:rFonts w:hint="eastAsia"/>
          <w:lang w:val="en-US" w:eastAsia="zh-CN"/>
        </w:rPr>
      </w:pPr>
      <w:r>
        <w:rPr>
          <w:rFonts w:hint="eastAsia"/>
          <w:lang w:val="en-US" w:eastAsia="zh-CN"/>
        </w:rPr>
        <w:t>2、</w:t>
      </w:r>
      <w:r>
        <w:rPr>
          <w:rFonts w:hint="eastAsia"/>
          <w:lang w:eastAsia="zh-CN"/>
        </w:rPr>
        <w:t>建筑垃圾</w:t>
      </w:r>
      <w:bookmarkStart w:id="190" w:name="OLE_LINK67"/>
      <w:r>
        <w:rPr>
          <w:rFonts w:hint="eastAsia"/>
          <w:lang w:eastAsia="zh-CN"/>
        </w:rPr>
        <w:t>转运调配场</w:t>
      </w:r>
      <w:bookmarkEnd w:id="190"/>
      <w:r>
        <w:rPr>
          <w:rFonts w:hint="eastAsia"/>
          <w:lang w:eastAsia="zh-CN"/>
        </w:rPr>
        <w:t>规划</w:t>
      </w:r>
      <w:r>
        <w:rPr>
          <w:rFonts w:hint="eastAsia"/>
          <w:lang w:val="en-US" w:eastAsia="zh-CN"/>
        </w:rPr>
        <w:t>布局</w:t>
      </w:r>
    </w:p>
    <w:p w14:paraId="7BCA508B">
      <w:pPr>
        <w:bidi w:val="0"/>
        <w:rPr>
          <w:rFonts w:hint="eastAsia"/>
          <w:lang w:val="en-US" w:eastAsia="zh-CN"/>
        </w:rPr>
      </w:pPr>
      <w:r>
        <w:t>建筑垃圾转运调配场是建筑垃圾收运体系中的关键节点，其规划布局需综合考虑区域建筑垃圾产生量、运输距离、土地利用、环境保护及长期发展需求。以下是基于当前最佳实践和规划原则的系统性布局</w:t>
      </w:r>
      <w:r>
        <w:rPr>
          <w:rFonts w:hint="eastAsia"/>
          <w:lang w:val="en-US" w:eastAsia="zh-CN"/>
        </w:rPr>
        <w:t>情况</w:t>
      </w:r>
      <w:r>
        <w:t>：</w:t>
      </w:r>
    </w:p>
    <w:p w14:paraId="5B04BFFE">
      <w:pPr>
        <w:bidi w:val="0"/>
        <w:ind w:left="0" w:leftChars="0" w:firstLine="0" w:firstLineChars="0"/>
        <w:jc w:val="center"/>
        <w:rPr>
          <w:rFonts w:hint="default"/>
          <w:b/>
          <w:bCs/>
          <w:lang w:val="en-US" w:eastAsia="zh-CN"/>
        </w:rPr>
      </w:pPr>
      <w:bookmarkStart w:id="191" w:name="OLE_LINK72"/>
      <w:r>
        <w:rPr>
          <w:b/>
          <w:bCs/>
          <w:lang w:eastAsia="zh-CN"/>
        </w:rPr>
        <w:t>表</w:t>
      </w:r>
      <w:r>
        <w:rPr>
          <w:rFonts w:hint="eastAsia"/>
          <w:b/>
          <w:bCs/>
          <w:lang w:val="en-US" w:eastAsia="zh-CN"/>
        </w:rPr>
        <w:t>8-3</w:t>
      </w:r>
      <w:bookmarkEnd w:id="191"/>
      <w:r>
        <w:rPr>
          <w:rFonts w:hint="eastAsia"/>
          <w:b/>
          <w:bCs/>
          <w:lang w:val="en-US" w:eastAsia="zh-CN"/>
        </w:rPr>
        <w:t xml:space="preserve"> 桃江县</w:t>
      </w:r>
      <w:bookmarkStart w:id="192" w:name="OLE_LINK65"/>
      <w:r>
        <w:rPr>
          <w:rFonts w:hint="eastAsia"/>
          <w:b/>
          <w:bCs/>
          <w:lang w:eastAsia="zh-CN"/>
        </w:rPr>
        <w:t>建筑垃圾转运调配场规划</w:t>
      </w:r>
      <w:r>
        <w:rPr>
          <w:rFonts w:hint="eastAsia"/>
          <w:b/>
          <w:bCs/>
          <w:lang w:val="en-US" w:eastAsia="zh-CN"/>
        </w:rPr>
        <w:t>布局</w:t>
      </w:r>
      <w:bookmarkEnd w:id="192"/>
      <w:r>
        <w:rPr>
          <w:rFonts w:hint="eastAsia"/>
          <w:b/>
          <w:bCs/>
          <w:lang w:val="en-US" w:eastAsia="zh-CN"/>
        </w:rPr>
        <w:t>情况表</w:t>
      </w:r>
    </w:p>
    <w:tbl>
      <w:tblPr>
        <w:tblStyle w:val="25"/>
        <w:tblW w:w="525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8"/>
        <w:gridCol w:w="1468"/>
        <w:gridCol w:w="1284"/>
        <w:gridCol w:w="851"/>
        <w:gridCol w:w="3307"/>
        <w:gridCol w:w="1196"/>
      </w:tblGrid>
      <w:tr w14:paraId="304FE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9" w:type="pct"/>
            <w:vAlign w:val="center"/>
          </w:tcPr>
          <w:p w14:paraId="2A426304">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bookmarkStart w:id="193" w:name="OLE_LINK63"/>
            <w:r>
              <w:rPr>
                <w:rFonts w:hint="eastAsia" w:ascii="仿宋" w:hAnsi="仿宋" w:eastAsia="仿宋" w:cs="仿宋"/>
                <w:b/>
                <w:bCs/>
                <w:sz w:val="24"/>
                <w:szCs w:val="24"/>
                <w:highlight w:val="none"/>
                <w:lang w:val="en-US" w:eastAsia="zh-CN"/>
              </w:rPr>
              <w:t>序号</w:t>
            </w:r>
          </w:p>
        </w:tc>
        <w:tc>
          <w:tcPr>
            <w:tcW w:w="840" w:type="pct"/>
            <w:vAlign w:val="center"/>
          </w:tcPr>
          <w:p w14:paraId="31D9B0B3">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名称</w:t>
            </w:r>
          </w:p>
        </w:tc>
        <w:tc>
          <w:tcPr>
            <w:tcW w:w="734" w:type="pct"/>
            <w:vAlign w:val="center"/>
          </w:tcPr>
          <w:p w14:paraId="310661EF">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处理能力（万吨/年）</w:t>
            </w:r>
          </w:p>
        </w:tc>
        <w:tc>
          <w:tcPr>
            <w:tcW w:w="487" w:type="pct"/>
            <w:vAlign w:val="center"/>
          </w:tcPr>
          <w:p w14:paraId="4CB080BA">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用地面积（亩）</w:t>
            </w:r>
          </w:p>
        </w:tc>
        <w:tc>
          <w:tcPr>
            <w:tcW w:w="1893" w:type="pct"/>
            <w:vAlign w:val="center"/>
          </w:tcPr>
          <w:p w14:paraId="68C21061">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服务范围</w:t>
            </w:r>
          </w:p>
        </w:tc>
        <w:tc>
          <w:tcPr>
            <w:tcW w:w="684" w:type="pct"/>
            <w:vAlign w:val="center"/>
          </w:tcPr>
          <w:p w14:paraId="2977FA29">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位置</w:t>
            </w:r>
          </w:p>
        </w:tc>
      </w:tr>
      <w:tr w14:paraId="58AB7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9" w:type="pct"/>
            <w:vAlign w:val="center"/>
          </w:tcPr>
          <w:p w14:paraId="65062225">
            <w:pPr>
              <w:spacing w:afterLines="0" w:line="240" w:lineRule="auto"/>
              <w:ind w:left="0" w:leftChars="0" w:firstLine="0" w:firstLineChars="0"/>
              <w:jc w:val="center"/>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w:t>
            </w:r>
          </w:p>
        </w:tc>
        <w:tc>
          <w:tcPr>
            <w:tcW w:w="840" w:type="pct"/>
            <w:vAlign w:val="center"/>
          </w:tcPr>
          <w:p w14:paraId="662EE771">
            <w:pPr>
              <w:spacing w:afterLines="0" w:line="240" w:lineRule="auto"/>
              <w:ind w:left="0" w:leftChars="0" w:firstLine="0" w:firstLineChars="0"/>
              <w:jc w:val="center"/>
              <w:rPr>
                <w:rFonts w:hint="eastAsia" w:ascii="仿宋" w:hAnsi="仿宋" w:eastAsia="仿宋" w:cs="仿宋"/>
                <w:b w:val="0"/>
                <w:bCs w:val="0"/>
                <w:kern w:val="2"/>
                <w:sz w:val="24"/>
                <w:szCs w:val="24"/>
                <w:highlight w:val="none"/>
                <w:lang w:val="en-US" w:eastAsia="zh-CN" w:bidi="ar-SA"/>
              </w:rPr>
            </w:pPr>
            <w:r>
              <w:rPr>
                <w:rFonts w:hint="eastAsia" w:cs="Times New Roman"/>
                <w:b w:val="0"/>
                <w:bCs w:val="0"/>
                <w:snapToGrid/>
                <w:kern w:val="2"/>
                <w:sz w:val="24"/>
                <w:szCs w:val="24"/>
                <w:highlight w:val="none"/>
                <w:lang w:val="en-US" w:eastAsia="zh-CN"/>
              </w:rPr>
              <w:t>三堂街镇</w:t>
            </w:r>
            <w:r>
              <w:rPr>
                <w:rFonts w:hint="eastAsia" w:ascii="Times New Roman" w:hAnsi="Times New Roman" w:eastAsia="仿宋" w:cs="Times New Roman"/>
                <w:b w:val="0"/>
                <w:bCs w:val="0"/>
                <w:kern w:val="2"/>
                <w:sz w:val="24"/>
                <w:szCs w:val="24"/>
                <w:highlight w:val="none"/>
                <w:lang w:eastAsia="zh-CN"/>
              </w:rPr>
              <w:t>转运调配场</w:t>
            </w:r>
          </w:p>
        </w:tc>
        <w:tc>
          <w:tcPr>
            <w:tcW w:w="734" w:type="pct"/>
            <w:vAlign w:val="center"/>
          </w:tcPr>
          <w:p w14:paraId="575D5615">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30</w:t>
            </w:r>
          </w:p>
        </w:tc>
        <w:tc>
          <w:tcPr>
            <w:tcW w:w="487" w:type="pct"/>
            <w:vAlign w:val="center"/>
          </w:tcPr>
          <w:p w14:paraId="26B134B5">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25</w:t>
            </w:r>
          </w:p>
        </w:tc>
        <w:tc>
          <w:tcPr>
            <w:tcW w:w="1893" w:type="pct"/>
            <w:vAlign w:val="center"/>
          </w:tcPr>
          <w:p w14:paraId="49539941">
            <w:pPr>
              <w:spacing w:afterLines="0" w:line="240" w:lineRule="auto"/>
              <w:ind w:left="0" w:leftChars="0" w:firstLine="0" w:firstLineChars="0"/>
              <w:jc w:val="center"/>
              <w:rPr>
                <w:rFonts w:hint="default" w:ascii="仿宋" w:hAnsi="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修山镇、三堂街镇、鲊埠乡</w:t>
            </w:r>
          </w:p>
        </w:tc>
        <w:tc>
          <w:tcPr>
            <w:tcW w:w="684" w:type="pct"/>
            <w:vAlign w:val="center"/>
          </w:tcPr>
          <w:p w14:paraId="33E7BCA2">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rPr>
              <w:t>桃江县</w:t>
            </w:r>
            <w:r>
              <w:rPr>
                <w:rFonts w:hint="eastAsia" w:ascii="仿宋" w:hAnsi="仿宋" w:cs="仿宋"/>
                <w:b w:val="0"/>
                <w:bCs w:val="0"/>
                <w:sz w:val="24"/>
                <w:szCs w:val="24"/>
                <w:highlight w:val="none"/>
                <w:lang w:val="en-US" w:eastAsia="zh-CN"/>
              </w:rPr>
              <w:t>三堂街镇</w:t>
            </w:r>
          </w:p>
        </w:tc>
      </w:tr>
      <w:tr w14:paraId="02553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9" w:type="pct"/>
            <w:vAlign w:val="center"/>
          </w:tcPr>
          <w:p w14:paraId="4A216DBD">
            <w:pPr>
              <w:spacing w:afterLines="0" w:line="240" w:lineRule="auto"/>
              <w:ind w:left="0" w:leftChars="0" w:firstLine="0" w:firstLineChars="0"/>
              <w:jc w:val="center"/>
              <w:rPr>
                <w:rFonts w:hint="eastAsia" w:ascii="仿宋" w:hAnsi="仿宋" w:eastAsia="仿宋" w:cs="仿宋"/>
                <w:b w:val="0"/>
                <w:bCs w:val="0"/>
                <w:sz w:val="24"/>
                <w:szCs w:val="24"/>
                <w:highlight w:val="none"/>
                <w:lang w:val="en-US" w:eastAsia="zh-CN"/>
              </w:rPr>
            </w:pPr>
            <w:bookmarkStart w:id="194" w:name="OLE_LINK69" w:colFirst="4" w:colLast="4"/>
            <w:r>
              <w:rPr>
                <w:rFonts w:hint="eastAsia" w:ascii="仿宋" w:hAnsi="仿宋" w:eastAsia="仿宋" w:cs="仿宋"/>
                <w:b w:val="0"/>
                <w:bCs w:val="0"/>
                <w:sz w:val="24"/>
                <w:szCs w:val="24"/>
                <w:highlight w:val="none"/>
                <w:lang w:val="en-US" w:eastAsia="zh-CN"/>
              </w:rPr>
              <w:t>2</w:t>
            </w:r>
          </w:p>
        </w:tc>
        <w:tc>
          <w:tcPr>
            <w:tcW w:w="840" w:type="pct"/>
            <w:vAlign w:val="center"/>
          </w:tcPr>
          <w:p w14:paraId="1588E243">
            <w:pPr>
              <w:spacing w:afterLines="0" w:line="240" w:lineRule="auto"/>
              <w:ind w:left="0" w:leftChars="0" w:firstLine="0" w:firstLineChars="0"/>
              <w:jc w:val="center"/>
              <w:rPr>
                <w:rFonts w:hint="eastAsia" w:ascii="仿宋" w:hAnsi="仿宋" w:eastAsia="仿宋" w:cs="仿宋"/>
                <w:b w:val="0"/>
                <w:bCs w:val="0"/>
                <w:kern w:val="2"/>
                <w:sz w:val="24"/>
                <w:szCs w:val="24"/>
                <w:highlight w:val="none"/>
                <w:lang w:val="en-US" w:eastAsia="zh-CN" w:bidi="ar-SA"/>
              </w:rPr>
            </w:pPr>
            <w:r>
              <w:rPr>
                <w:rFonts w:hint="eastAsia" w:cs="Times New Roman"/>
                <w:b w:val="0"/>
                <w:bCs w:val="0"/>
                <w:snapToGrid/>
                <w:kern w:val="2"/>
                <w:sz w:val="24"/>
                <w:szCs w:val="24"/>
                <w:highlight w:val="none"/>
                <w:lang w:val="en-US" w:eastAsia="zh-CN"/>
              </w:rPr>
              <w:t>大栗港镇</w:t>
            </w:r>
            <w:r>
              <w:rPr>
                <w:rFonts w:hint="eastAsia" w:ascii="Times New Roman" w:hAnsi="Times New Roman" w:eastAsia="仿宋" w:cs="Times New Roman"/>
                <w:b w:val="0"/>
                <w:bCs w:val="0"/>
                <w:kern w:val="2"/>
                <w:sz w:val="24"/>
                <w:szCs w:val="24"/>
                <w:highlight w:val="none"/>
                <w:lang w:eastAsia="zh-CN"/>
              </w:rPr>
              <w:t>转运调配场</w:t>
            </w:r>
          </w:p>
        </w:tc>
        <w:tc>
          <w:tcPr>
            <w:tcW w:w="734" w:type="pct"/>
            <w:vAlign w:val="center"/>
          </w:tcPr>
          <w:p w14:paraId="30F62F01">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30</w:t>
            </w:r>
          </w:p>
        </w:tc>
        <w:tc>
          <w:tcPr>
            <w:tcW w:w="487" w:type="pct"/>
            <w:vAlign w:val="center"/>
          </w:tcPr>
          <w:p w14:paraId="5714FD29">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25</w:t>
            </w:r>
          </w:p>
        </w:tc>
        <w:tc>
          <w:tcPr>
            <w:tcW w:w="1893" w:type="pct"/>
            <w:vAlign w:val="center"/>
          </w:tcPr>
          <w:p w14:paraId="36429BFD">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鸬鹚渡镇、大栗港镇、马迹塘镇、武潭镇</w:t>
            </w:r>
          </w:p>
        </w:tc>
        <w:tc>
          <w:tcPr>
            <w:tcW w:w="684" w:type="pct"/>
            <w:vAlign w:val="center"/>
          </w:tcPr>
          <w:p w14:paraId="3E78FBCE">
            <w:pPr>
              <w:keepNext w:val="0"/>
              <w:keepLines w:val="0"/>
              <w:widowControl/>
              <w:suppressLineNumbers w:val="0"/>
              <w:ind w:left="0" w:leftChars="0" w:firstLine="0" w:firstLineChars="0"/>
              <w:jc w:val="center"/>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color w:val="000000"/>
                <w:kern w:val="0"/>
                <w:sz w:val="24"/>
                <w:szCs w:val="24"/>
                <w:highlight w:val="none"/>
                <w:lang w:val="en-US" w:eastAsia="zh-CN" w:bidi="ar"/>
              </w:rPr>
              <w:t>桃江县</w:t>
            </w:r>
            <w:r>
              <w:rPr>
                <w:rFonts w:hint="eastAsia" w:ascii="仿宋" w:hAnsi="仿宋" w:cs="仿宋"/>
                <w:b w:val="0"/>
                <w:bCs w:val="0"/>
                <w:color w:val="000000"/>
                <w:kern w:val="0"/>
                <w:sz w:val="24"/>
                <w:szCs w:val="24"/>
                <w:highlight w:val="none"/>
                <w:lang w:val="en-US" w:eastAsia="zh-CN" w:bidi="ar"/>
              </w:rPr>
              <w:t>大栗港镇</w:t>
            </w:r>
          </w:p>
        </w:tc>
      </w:tr>
      <w:bookmarkEnd w:id="194"/>
      <w:tr w14:paraId="36DBB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59" w:type="pct"/>
            <w:vAlign w:val="center"/>
          </w:tcPr>
          <w:p w14:paraId="7D3CEAE4">
            <w:pPr>
              <w:spacing w:afterLines="0" w:line="240" w:lineRule="auto"/>
              <w:ind w:left="0" w:leftChars="0" w:firstLine="0" w:firstLineChars="0"/>
              <w:jc w:val="center"/>
              <w:rPr>
                <w:rFonts w:hint="eastAsia" w:ascii="仿宋" w:hAnsi="仿宋" w:eastAsia="仿宋" w:cs="仿宋"/>
                <w:b w:val="0"/>
                <w:bCs w:val="0"/>
                <w:sz w:val="24"/>
                <w:szCs w:val="24"/>
                <w:highlight w:val="none"/>
                <w:lang w:val="en-US" w:eastAsia="zh-CN"/>
              </w:rPr>
            </w:pPr>
            <w:bookmarkStart w:id="195" w:name="OLE_LINK70" w:colFirst="5" w:colLast="5"/>
            <w:r>
              <w:rPr>
                <w:rFonts w:hint="eastAsia" w:ascii="仿宋" w:hAnsi="仿宋" w:eastAsia="仿宋" w:cs="仿宋"/>
                <w:b w:val="0"/>
                <w:bCs w:val="0"/>
                <w:sz w:val="24"/>
                <w:szCs w:val="24"/>
                <w:highlight w:val="none"/>
                <w:lang w:val="en-US" w:eastAsia="zh-CN"/>
              </w:rPr>
              <w:t>3</w:t>
            </w:r>
          </w:p>
        </w:tc>
        <w:tc>
          <w:tcPr>
            <w:tcW w:w="840" w:type="pct"/>
            <w:vAlign w:val="center"/>
          </w:tcPr>
          <w:p w14:paraId="413AB57D">
            <w:pPr>
              <w:spacing w:afterLines="0" w:line="240" w:lineRule="auto"/>
              <w:ind w:left="0" w:leftChars="0" w:firstLine="0" w:firstLineChars="0"/>
              <w:jc w:val="center"/>
              <w:rPr>
                <w:rFonts w:hint="eastAsia" w:ascii="仿宋" w:hAnsi="仿宋" w:eastAsia="仿宋" w:cs="仿宋"/>
                <w:b w:val="0"/>
                <w:bCs w:val="0"/>
                <w:sz w:val="24"/>
                <w:szCs w:val="24"/>
                <w:highlight w:val="none"/>
                <w:lang w:val="en-US" w:eastAsia="zh-CN"/>
              </w:rPr>
            </w:pPr>
            <w:r>
              <w:rPr>
                <w:rFonts w:hint="eastAsia" w:cs="Times New Roman"/>
                <w:b w:val="0"/>
                <w:bCs w:val="0"/>
                <w:snapToGrid/>
                <w:kern w:val="2"/>
                <w:sz w:val="24"/>
                <w:szCs w:val="24"/>
                <w:highlight w:val="none"/>
                <w:lang w:val="en-US" w:eastAsia="zh-CN"/>
              </w:rPr>
              <w:t>牛田镇</w:t>
            </w:r>
            <w:r>
              <w:rPr>
                <w:rFonts w:hint="eastAsia" w:ascii="Times New Roman" w:hAnsi="Times New Roman" w:eastAsia="仿宋" w:cs="Times New Roman"/>
                <w:b w:val="0"/>
                <w:bCs w:val="0"/>
                <w:kern w:val="2"/>
                <w:sz w:val="24"/>
                <w:szCs w:val="24"/>
                <w:highlight w:val="none"/>
                <w:lang w:eastAsia="zh-CN"/>
              </w:rPr>
              <w:t>转运调配场</w:t>
            </w:r>
          </w:p>
        </w:tc>
        <w:tc>
          <w:tcPr>
            <w:tcW w:w="734" w:type="pct"/>
            <w:vAlign w:val="center"/>
          </w:tcPr>
          <w:p w14:paraId="00DFECE1">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30</w:t>
            </w:r>
          </w:p>
        </w:tc>
        <w:tc>
          <w:tcPr>
            <w:tcW w:w="487" w:type="pct"/>
            <w:vAlign w:val="center"/>
          </w:tcPr>
          <w:p w14:paraId="2E166A01">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cs="仿宋"/>
                <w:b w:val="0"/>
                <w:bCs w:val="0"/>
                <w:sz w:val="24"/>
                <w:szCs w:val="24"/>
                <w:highlight w:val="none"/>
                <w:lang w:val="en-US" w:eastAsia="zh-CN"/>
              </w:rPr>
              <w:t>25</w:t>
            </w:r>
          </w:p>
        </w:tc>
        <w:tc>
          <w:tcPr>
            <w:tcW w:w="1893" w:type="pct"/>
            <w:vAlign w:val="center"/>
          </w:tcPr>
          <w:p w14:paraId="3A0048FC">
            <w:pPr>
              <w:spacing w:afterLines="0" w:line="240" w:lineRule="auto"/>
              <w:ind w:left="0" w:leftChars="0" w:firstLine="0" w:firstLineChars="0"/>
              <w:jc w:val="center"/>
              <w:rPr>
                <w:rFonts w:hint="default" w:ascii="仿宋" w:hAnsi="仿宋" w:eastAsia="仿宋" w:cs="仿宋"/>
                <w:b w:val="0"/>
                <w:bCs w:val="0"/>
                <w:kern w:val="2"/>
                <w:sz w:val="24"/>
                <w:szCs w:val="24"/>
                <w:highlight w:val="none"/>
                <w:lang w:val="en-US" w:eastAsia="zh-CN" w:bidi="ar-SA"/>
              </w:rPr>
            </w:pPr>
            <w:r>
              <w:rPr>
                <w:rFonts w:hint="eastAsia" w:ascii="仿宋" w:hAnsi="仿宋" w:cs="仿宋"/>
                <w:b w:val="0"/>
                <w:bCs w:val="0"/>
                <w:sz w:val="24"/>
                <w:szCs w:val="24"/>
                <w:highlight w:val="none"/>
                <w:lang w:val="en-US" w:eastAsia="zh-CN"/>
              </w:rPr>
              <w:t>桃花江镇、石牛江</w:t>
            </w:r>
            <w:bookmarkStart w:id="196" w:name="OLE_LINK73"/>
            <w:r>
              <w:rPr>
                <w:rFonts w:hint="eastAsia" w:ascii="仿宋" w:hAnsi="仿宋" w:cs="仿宋"/>
                <w:b w:val="0"/>
                <w:bCs w:val="0"/>
                <w:sz w:val="24"/>
                <w:szCs w:val="24"/>
                <w:highlight w:val="none"/>
                <w:lang w:val="en-US" w:eastAsia="zh-CN"/>
              </w:rPr>
              <w:t>镇</w:t>
            </w:r>
            <w:bookmarkEnd w:id="196"/>
            <w:r>
              <w:rPr>
                <w:rFonts w:hint="eastAsia" w:ascii="仿宋" w:hAnsi="仿宋" w:cs="仿宋"/>
                <w:b w:val="0"/>
                <w:bCs w:val="0"/>
                <w:sz w:val="24"/>
                <w:szCs w:val="24"/>
                <w:highlight w:val="none"/>
                <w:lang w:val="en-US" w:eastAsia="zh-CN"/>
              </w:rPr>
              <w:t>、牛田镇、灰山港镇、松木塘镇、灰山港镇</w:t>
            </w:r>
          </w:p>
        </w:tc>
        <w:tc>
          <w:tcPr>
            <w:tcW w:w="684" w:type="pct"/>
            <w:vAlign w:val="center"/>
          </w:tcPr>
          <w:p w14:paraId="70280D98">
            <w:pPr>
              <w:spacing w:afterLines="0" w:line="240" w:lineRule="auto"/>
              <w:ind w:left="0" w:leftChars="0" w:firstLine="0" w:firstLineChars="0"/>
              <w:jc w:val="center"/>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rPr>
              <w:t>桃江县</w:t>
            </w:r>
            <w:r>
              <w:rPr>
                <w:rFonts w:hint="eastAsia" w:ascii="仿宋" w:hAnsi="仿宋" w:cs="仿宋"/>
                <w:b w:val="0"/>
                <w:bCs w:val="0"/>
                <w:sz w:val="24"/>
                <w:szCs w:val="24"/>
                <w:highlight w:val="none"/>
                <w:lang w:val="en-US" w:eastAsia="zh-CN"/>
              </w:rPr>
              <w:t>牛田镇</w:t>
            </w:r>
          </w:p>
        </w:tc>
      </w:tr>
      <w:bookmarkEnd w:id="193"/>
      <w:bookmarkEnd w:id="195"/>
    </w:tbl>
    <w:p w14:paraId="2C48DEEC">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8"/>
        <w:jc w:val="both"/>
        <w:textAlignment w:val="baseline"/>
        <w:rPr>
          <w:rFonts w:hint="eastAsia" w:ascii="Times New Roman" w:hAnsi="Times New Roman" w:cs="仿宋"/>
          <w:spacing w:val="4"/>
          <w:sz w:val="28"/>
          <w:szCs w:val="28"/>
          <w:highlight w:val="cyan"/>
          <w:lang w:val="en-US" w:eastAsia="zh-CN"/>
        </w:rPr>
      </w:pPr>
    </w:p>
    <w:p w14:paraId="6A466CD5">
      <w:pPr>
        <w:pStyle w:val="4"/>
        <w:bidi w:val="0"/>
        <w:rPr>
          <w:rFonts w:hint="eastAsia"/>
          <w:lang w:val="en-US" w:eastAsia="zh-CN"/>
        </w:rPr>
      </w:pPr>
      <w:r>
        <w:rPr>
          <w:rFonts w:hint="eastAsia"/>
          <w:lang w:eastAsia="zh-CN"/>
        </w:rPr>
        <w:t>3、建筑垃圾填埋场地规划</w:t>
      </w:r>
      <w:r>
        <w:rPr>
          <w:rFonts w:hint="eastAsia"/>
          <w:lang w:val="en-US" w:eastAsia="zh-CN"/>
        </w:rPr>
        <w:t>布局</w:t>
      </w:r>
    </w:p>
    <w:p w14:paraId="3154E8B7">
      <w:pPr>
        <w:bidi w:val="0"/>
      </w:pPr>
      <w:bookmarkStart w:id="197" w:name="OLE_LINK80"/>
      <w:r>
        <w:t>针对</w:t>
      </w:r>
      <w:bookmarkStart w:id="198" w:name="OLE_LINK78"/>
      <w:r>
        <w:rPr>
          <w:rFonts w:hint="eastAsia"/>
          <w:lang w:val="en-US" w:eastAsia="zh-CN"/>
        </w:rPr>
        <w:t>桃江县建筑垃圾产生量情况，</w:t>
      </w:r>
      <w:bookmarkEnd w:id="198"/>
      <w:r>
        <w:rPr>
          <w:rFonts w:hint="eastAsia"/>
          <w:lang w:val="en-US" w:eastAsia="zh-CN"/>
        </w:rPr>
        <w:t>结合</w:t>
      </w:r>
      <w:bookmarkStart w:id="199" w:name="OLE_LINK75"/>
      <w:r>
        <w:rPr>
          <w:rFonts w:hint="eastAsia"/>
          <w:lang w:val="en-US" w:eastAsia="zh-CN"/>
        </w:rPr>
        <w:t>《桃江县国土空间总体规划（2021—2035年）》</w:t>
      </w:r>
      <w:bookmarkEnd w:id="199"/>
      <w:r>
        <w:rPr>
          <w:rFonts w:hint="eastAsia"/>
          <w:lang w:val="en-US" w:eastAsia="zh-CN"/>
        </w:rPr>
        <w:t>，在符合</w:t>
      </w:r>
      <w:r>
        <w:t>避开生态敏感区（如水源保护区、自然保护地）和人口密集区</w:t>
      </w:r>
      <w:r>
        <w:rPr>
          <w:rFonts w:hint="eastAsia"/>
          <w:lang w:eastAsia="zh-CN"/>
        </w:rPr>
        <w:t>、</w:t>
      </w:r>
      <w:r>
        <w:t>靠近主干道或货运通道</w:t>
      </w:r>
      <w:r>
        <w:rPr>
          <w:rFonts w:hint="eastAsia"/>
          <w:lang w:eastAsia="zh-CN"/>
        </w:rPr>
        <w:t>、</w:t>
      </w:r>
      <w:r>
        <w:t>优先利用废弃工业用地或低效土地</w:t>
      </w:r>
      <w:r>
        <w:rPr>
          <w:rFonts w:hint="eastAsia"/>
          <w:lang w:val="en-US" w:eastAsia="zh-CN"/>
        </w:rPr>
        <w:t>的条件下，规划新建2个建筑垃圾填埋场</w:t>
      </w:r>
      <w:r>
        <w:t>。</w:t>
      </w:r>
    </w:p>
    <w:p w14:paraId="2699E106">
      <w:pPr>
        <w:bidi w:val="0"/>
      </w:pPr>
    </w:p>
    <w:bookmarkEnd w:id="197"/>
    <w:p w14:paraId="49ABC79C">
      <w:pPr>
        <w:bidi w:val="0"/>
        <w:ind w:left="0" w:leftChars="0" w:firstLine="0" w:firstLineChars="0"/>
        <w:jc w:val="center"/>
        <w:rPr>
          <w:rFonts w:hint="default"/>
          <w:b/>
          <w:bCs/>
          <w:lang w:val="en-US" w:eastAsia="zh-CN"/>
        </w:rPr>
      </w:pPr>
      <w:r>
        <w:rPr>
          <w:b/>
          <w:bCs/>
          <w:lang w:eastAsia="zh-CN"/>
        </w:rPr>
        <w:t>表</w:t>
      </w:r>
      <w:r>
        <w:rPr>
          <w:rFonts w:hint="eastAsia"/>
          <w:b/>
          <w:bCs/>
          <w:lang w:val="en-US" w:eastAsia="zh-CN"/>
        </w:rPr>
        <w:t>8-4桃江县</w:t>
      </w:r>
      <w:r>
        <w:rPr>
          <w:rFonts w:hint="eastAsia"/>
          <w:b/>
          <w:bCs/>
          <w:lang w:eastAsia="zh-CN"/>
        </w:rPr>
        <w:t>建筑垃圾填埋场规划</w:t>
      </w:r>
      <w:r>
        <w:rPr>
          <w:rFonts w:hint="eastAsia"/>
          <w:b/>
          <w:bCs/>
          <w:lang w:val="en-US" w:eastAsia="zh-CN"/>
        </w:rPr>
        <w:t>布局情况表</w:t>
      </w:r>
    </w:p>
    <w:tbl>
      <w:tblPr>
        <w:tblStyle w:val="25"/>
        <w:tblW w:w="51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6"/>
        <w:gridCol w:w="2768"/>
        <w:gridCol w:w="1307"/>
        <w:gridCol w:w="855"/>
        <w:gridCol w:w="1212"/>
        <w:gridCol w:w="1872"/>
      </w:tblGrid>
      <w:tr w14:paraId="5D62F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3" w:type="pct"/>
            <w:vAlign w:val="center"/>
          </w:tcPr>
          <w:p w14:paraId="1E366833">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序号</w:t>
            </w:r>
          </w:p>
        </w:tc>
        <w:tc>
          <w:tcPr>
            <w:tcW w:w="1601" w:type="pct"/>
            <w:vAlign w:val="center"/>
          </w:tcPr>
          <w:p w14:paraId="3D14AEF3">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名称</w:t>
            </w:r>
          </w:p>
        </w:tc>
        <w:tc>
          <w:tcPr>
            <w:tcW w:w="756" w:type="pct"/>
            <w:vAlign w:val="center"/>
          </w:tcPr>
          <w:p w14:paraId="4AB43CA9">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处理能力（万吨）</w:t>
            </w:r>
          </w:p>
        </w:tc>
        <w:tc>
          <w:tcPr>
            <w:tcW w:w="495" w:type="pct"/>
            <w:vAlign w:val="center"/>
          </w:tcPr>
          <w:p w14:paraId="1AEE7A2A">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用地面积（亩）</w:t>
            </w:r>
          </w:p>
        </w:tc>
        <w:tc>
          <w:tcPr>
            <w:tcW w:w="701" w:type="pct"/>
            <w:vAlign w:val="center"/>
          </w:tcPr>
          <w:p w14:paraId="2C5C2213">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服务范围</w:t>
            </w:r>
          </w:p>
        </w:tc>
        <w:tc>
          <w:tcPr>
            <w:tcW w:w="1083" w:type="pct"/>
            <w:vAlign w:val="center"/>
          </w:tcPr>
          <w:p w14:paraId="27847EAE">
            <w:pPr>
              <w:spacing w:afterLines="0" w:line="240" w:lineRule="auto"/>
              <w:ind w:left="0" w:leftChars="0" w:firstLine="0" w:firstLineChars="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位置</w:t>
            </w:r>
          </w:p>
        </w:tc>
      </w:tr>
      <w:tr w14:paraId="5B343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363" w:type="pct"/>
            <w:vAlign w:val="center"/>
          </w:tcPr>
          <w:p w14:paraId="62DD4683">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601" w:type="pct"/>
            <w:vAlign w:val="center"/>
          </w:tcPr>
          <w:p w14:paraId="47E0EA06">
            <w:pPr>
              <w:spacing w:afterLines="0" w:line="240" w:lineRule="auto"/>
              <w:ind w:left="0" w:leftChars="0" w:firstLine="0" w:firstLineChars="0"/>
              <w:jc w:val="center"/>
              <w:rPr>
                <w:rFonts w:hint="default" w:ascii="仿宋" w:hAnsi="仿宋" w:eastAsia="仿宋" w:cs="仿宋"/>
                <w:kern w:val="2"/>
                <w:sz w:val="24"/>
                <w:szCs w:val="24"/>
                <w:highlight w:val="none"/>
                <w:lang w:val="en-US" w:eastAsia="zh-CN" w:bidi="ar-SA"/>
              </w:rPr>
            </w:pPr>
            <w:r>
              <w:rPr>
                <w:rFonts w:hint="eastAsia" w:ascii="仿宋" w:hAnsi="仿宋" w:cs="仿宋"/>
                <w:sz w:val="24"/>
                <w:szCs w:val="24"/>
                <w:highlight w:val="none"/>
                <w:lang w:val="en-US" w:eastAsia="zh-CN"/>
              </w:rPr>
              <w:t>鸬鹚渡镇</w:t>
            </w:r>
            <w:r>
              <w:rPr>
                <w:rFonts w:hint="eastAsia" w:ascii="仿宋" w:hAnsi="仿宋" w:cs="仿宋"/>
                <w:color w:val="000000"/>
                <w:sz w:val="24"/>
                <w:szCs w:val="24"/>
                <w:highlight w:val="none"/>
                <w:lang w:val="en-US" w:eastAsia="zh-CN"/>
              </w:rPr>
              <w:t>建筑垃圾填埋场</w:t>
            </w:r>
          </w:p>
        </w:tc>
        <w:tc>
          <w:tcPr>
            <w:tcW w:w="756" w:type="pct"/>
            <w:vAlign w:val="center"/>
          </w:tcPr>
          <w:p w14:paraId="70D8B3F0">
            <w:pPr>
              <w:spacing w:afterLines="0" w:line="240" w:lineRule="auto"/>
              <w:ind w:left="0" w:leftChars="0" w:firstLine="0" w:firstLineChars="0"/>
              <w:jc w:val="center"/>
              <w:rPr>
                <w:rFonts w:hint="default" w:ascii="仿宋" w:hAnsi="仿宋" w:eastAsia="仿宋" w:cs="仿宋"/>
                <w:sz w:val="24"/>
                <w:szCs w:val="24"/>
                <w:highlight w:val="none"/>
                <w:lang w:val="en-US" w:eastAsia="zh-CN"/>
              </w:rPr>
            </w:pPr>
            <w:r>
              <w:rPr>
                <w:rFonts w:hint="eastAsia" w:ascii="仿宋" w:hAnsi="仿宋" w:cs="仿宋"/>
                <w:sz w:val="24"/>
                <w:szCs w:val="24"/>
                <w:highlight w:val="none"/>
                <w:lang w:val="en-US" w:eastAsia="zh-CN"/>
              </w:rPr>
              <w:t>90</w:t>
            </w:r>
          </w:p>
        </w:tc>
        <w:tc>
          <w:tcPr>
            <w:tcW w:w="495" w:type="pct"/>
            <w:vAlign w:val="center"/>
          </w:tcPr>
          <w:p w14:paraId="6D5C4A76">
            <w:pPr>
              <w:spacing w:afterLines="0" w:line="240" w:lineRule="auto"/>
              <w:ind w:left="0" w:leftChars="0" w:firstLine="0" w:firstLineChars="0"/>
              <w:jc w:val="center"/>
              <w:rPr>
                <w:rFonts w:hint="default" w:ascii="仿宋" w:hAnsi="仿宋" w:eastAsia="仿宋" w:cs="仿宋"/>
                <w:sz w:val="24"/>
                <w:szCs w:val="24"/>
                <w:highlight w:val="none"/>
                <w:lang w:val="en-US" w:eastAsia="zh-CN"/>
              </w:rPr>
            </w:pPr>
            <w:r>
              <w:rPr>
                <w:rFonts w:hint="eastAsia" w:ascii="仿宋" w:hAnsi="仿宋" w:cs="仿宋"/>
                <w:sz w:val="24"/>
                <w:szCs w:val="24"/>
                <w:highlight w:val="none"/>
                <w:lang w:val="en-US" w:eastAsia="zh-CN"/>
              </w:rPr>
              <w:t>50</w:t>
            </w:r>
          </w:p>
        </w:tc>
        <w:tc>
          <w:tcPr>
            <w:tcW w:w="701" w:type="pct"/>
            <w:vAlign w:val="center"/>
          </w:tcPr>
          <w:p w14:paraId="14BF63CC">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建筑垃圾</w:t>
            </w:r>
          </w:p>
        </w:tc>
        <w:tc>
          <w:tcPr>
            <w:tcW w:w="1083" w:type="pct"/>
            <w:vAlign w:val="center"/>
          </w:tcPr>
          <w:p w14:paraId="1406F88C">
            <w:pPr>
              <w:spacing w:afterLines="0" w:line="240" w:lineRule="auto"/>
              <w:ind w:left="0" w:leftChars="0" w:firstLine="0" w:firstLineChars="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桃江县</w:t>
            </w:r>
            <w:r>
              <w:rPr>
                <w:rFonts w:hint="eastAsia" w:ascii="仿宋" w:hAnsi="仿宋" w:cs="仿宋"/>
                <w:sz w:val="24"/>
                <w:szCs w:val="24"/>
                <w:highlight w:val="none"/>
                <w:lang w:val="en-US" w:eastAsia="zh-CN"/>
              </w:rPr>
              <w:t>鸬鹚渡镇</w:t>
            </w:r>
          </w:p>
        </w:tc>
      </w:tr>
      <w:tr w14:paraId="3EDCF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363" w:type="pct"/>
            <w:vAlign w:val="center"/>
          </w:tcPr>
          <w:p w14:paraId="2FC47856">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601" w:type="pct"/>
            <w:vAlign w:val="center"/>
          </w:tcPr>
          <w:p w14:paraId="504153B8">
            <w:pPr>
              <w:spacing w:afterLines="0" w:line="240" w:lineRule="auto"/>
              <w:ind w:left="0" w:leftChars="0" w:firstLine="0" w:firstLineChars="0"/>
              <w:jc w:val="center"/>
              <w:rPr>
                <w:rFonts w:hint="default" w:ascii="仿宋" w:hAnsi="仿宋" w:eastAsia="仿宋" w:cs="仿宋"/>
                <w:kern w:val="2"/>
                <w:sz w:val="24"/>
                <w:szCs w:val="24"/>
                <w:highlight w:val="none"/>
                <w:lang w:val="en-US" w:eastAsia="zh-CN" w:bidi="ar-SA"/>
              </w:rPr>
            </w:pPr>
            <w:r>
              <w:rPr>
                <w:rFonts w:hint="eastAsia" w:ascii="仿宋" w:hAnsi="仿宋" w:cs="仿宋"/>
                <w:sz w:val="24"/>
                <w:szCs w:val="24"/>
                <w:highlight w:val="none"/>
                <w:lang w:val="en-US" w:eastAsia="zh-CN"/>
              </w:rPr>
              <w:t>灰山港镇建筑垃圾填埋场</w:t>
            </w:r>
          </w:p>
        </w:tc>
        <w:tc>
          <w:tcPr>
            <w:tcW w:w="756" w:type="pct"/>
            <w:vAlign w:val="center"/>
          </w:tcPr>
          <w:p w14:paraId="379B19BB">
            <w:pPr>
              <w:spacing w:afterLines="0" w:line="240" w:lineRule="auto"/>
              <w:ind w:left="0" w:leftChars="0" w:firstLine="0" w:firstLineChars="0"/>
              <w:jc w:val="center"/>
              <w:rPr>
                <w:rFonts w:hint="default" w:ascii="仿宋" w:hAnsi="仿宋" w:eastAsia="仿宋" w:cs="仿宋"/>
                <w:sz w:val="24"/>
                <w:szCs w:val="24"/>
                <w:highlight w:val="none"/>
                <w:lang w:val="en-US" w:eastAsia="zh-CN"/>
              </w:rPr>
            </w:pPr>
            <w:r>
              <w:rPr>
                <w:rFonts w:hint="eastAsia" w:ascii="仿宋" w:hAnsi="仿宋" w:cs="仿宋"/>
                <w:sz w:val="24"/>
                <w:szCs w:val="24"/>
                <w:highlight w:val="none"/>
                <w:lang w:val="en-US" w:eastAsia="zh-CN"/>
              </w:rPr>
              <w:t>90</w:t>
            </w:r>
          </w:p>
        </w:tc>
        <w:tc>
          <w:tcPr>
            <w:tcW w:w="495" w:type="pct"/>
            <w:vAlign w:val="center"/>
          </w:tcPr>
          <w:p w14:paraId="3E03C053">
            <w:pPr>
              <w:spacing w:afterLines="0" w:line="240" w:lineRule="auto"/>
              <w:ind w:left="0" w:leftChars="0" w:firstLine="0" w:firstLineChars="0"/>
              <w:jc w:val="center"/>
              <w:rPr>
                <w:rFonts w:hint="default" w:ascii="仿宋" w:hAnsi="仿宋" w:eastAsia="仿宋" w:cs="仿宋"/>
                <w:sz w:val="24"/>
                <w:szCs w:val="24"/>
                <w:highlight w:val="none"/>
                <w:lang w:val="en-US" w:eastAsia="zh-CN"/>
              </w:rPr>
            </w:pPr>
            <w:r>
              <w:rPr>
                <w:rFonts w:hint="eastAsia" w:ascii="仿宋" w:hAnsi="仿宋" w:cs="仿宋"/>
                <w:sz w:val="24"/>
                <w:szCs w:val="24"/>
                <w:highlight w:val="none"/>
                <w:lang w:val="en-US" w:eastAsia="zh-CN"/>
              </w:rPr>
              <w:t>50</w:t>
            </w:r>
          </w:p>
        </w:tc>
        <w:tc>
          <w:tcPr>
            <w:tcW w:w="701" w:type="pct"/>
            <w:vAlign w:val="center"/>
          </w:tcPr>
          <w:p w14:paraId="1A8B98C6">
            <w:pPr>
              <w:spacing w:afterLines="0" w:line="240" w:lineRule="auto"/>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建筑垃圾</w:t>
            </w:r>
          </w:p>
        </w:tc>
        <w:tc>
          <w:tcPr>
            <w:tcW w:w="1083" w:type="pct"/>
            <w:vAlign w:val="center"/>
          </w:tcPr>
          <w:p w14:paraId="53363733">
            <w:pPr>
              <w:keepNext w:val="0"/>
              <w:keepLines w:val="0"/>
              <w:widowControl/>
              <w:suppressLineNumbers w:val="0"/>
              <w:ind w:left="0" w:leftChars="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color w:val="000000"/>
                <w:kern w:val="0"/>
                <w:sz w:val="24"/>
                <w:szCs w:val="24"/>
                <w:highlight w:val="none"/>
                <w:lang w:val="en-US" w:eastAsia="zh-CN" w:bidi="ar"/>
              </w:rPr>
              <w:t>桃江县</w:t>
            </w:r>
            <w:r>
              <w:rPr>
                <w:rFonts w:hint="eastAsia" w:ascii="仿宋" w:hAnsi="仿宋" w:cs="仿宋"/>
                <w:color w:val="000000"/>
                <w:kern w:val="0"/>
                <w:sz w:val="24"/>
                <w:szCs w:val="24"/>
                <w:highlight w:val="none"/>
                <w:lang w:val="en-US" w:eastAsia="zh-CN" w:bidi="ar"/>
              </w:rPr>
              <w:t>灰山港镇</w:t>
            </w:r>
          </w:p>
        </w:tc>
      </w:tr>
    </w:tbl>
    <w:p w14:paraId="2C0C31DA">
      <w:pPr>
        <w:keepNext w:val="0"/>
        <w:keepLines w:val="0"/>
        <w:pageBreakBefore w:val="0"/>
        <w:widowControl w:val="0"/>
        <w:kinsoku w:val="0"/>
        <w:wordWrap/>
        <w:overflowPunct/>
        <w:topLinePunct w:val="0"/>
        <w:autoSpaceDE w:val="0"/>
        <w:autoSpaceDN w:val="0"/>
        <w:bidi w:val="0"/>
        <w:adjustRightInd w:val="0"/>
        <w:snapToGrid w:val="0"/>
        <w:spacing w:after="0" w:afterLines="0" w:line="360" w:lineRule="auto"/>
        <w:ind w:left="0" w:leftChars="0" w:right="0" w:firstLine="558"/>
        <w:jc w:val="both"/>
        <w:textAlignment w:val="baseline"/>
        <w:rPr>
          <w:rFonts w:hint="eastAsia" w:ascii="Times New Roman" w:hAnsi="Times New Roman" w:cs="仿宋"/>
          <w:spacing w:val="4"/>
          <w:sz w:val="28"/>
          <w:szCs w:val="28"/>
          <w:highlight w:val="cyan"/>
          <w:lang w:val="en-US" w:eastAsia="zh-CN"/>
        </w:rPr>
      </w:pPr>
    </w:p>
    <w:p w14:paraId="4D0EFCE4">
      <w:pPr>
        <w:pStyle w:val="3"/>
        <w:bidi w:val="0"/>
        <w:rPr>
          <w:rFonts w:hint="eastAsia" w:ascii="楷体" w:hAnsi="楷体" w:eastAsia="楷体" w:cs="楷体"/>
          <w:sz w:val="28"/>
          <w:szCs w:val="28"/>
        </w:rPr>
      </w:pPr>
      <w:bookmarkStart w:id="200" w:name="_Toc10575"/>
      <w:bookmarkStart w:id="201" w:name="OLE_LINK61"/>
      <w:r>
        <w:rPr>
          <w:rFonts w:hint="eastAsia" w:ascii="楷体" w:hAnsi="楷体" w:eastAsia="楷体" w:cs="楷体"/>
          <w:sz w:val="28"/>
          <w:szCs w:val="28"/>
        </w:rPr>
        <w:t>（三）选址方案</w:t>
      </w:r>
      <w:bookmarkEnd w:id="200"/>
    </w:p>
    <w:p w14:paraId="478A6D5D">
      <w:pPr>
        <w:pStyle w:val="4"/>
        <w:bidi w:val="0"/>
        <w:rPr>
          <w:rFonts w:hint="eastAsia"/>
          <w:lang w:val="en-US" w:eastAsia="zh-CN"/>
        </w:rPr>
      </w:pPr>
      <w:r>
        <w:rPr>
          <w:rFonts w:hint="eastAsia"/>
          <w:lang w:val="en-US" w:eastAsia="zh-CN"/>
        </w:rPr>
        <w:t>1、</w:t>
      </w:r>
      <w:r>
        <w:rPr>
          <w:rFonts w:hint="eastAsia"/>
          <w:lang w:eastAsia="zh-CN"/>
        </w:rPr>
        <w:t>建筑垃圾转运调配场</w:t>
      </w:r>
      <w:r>
        <w:rPr>
          <w:rFonts w:hint="eastAsia"/>
          <w:lang w:val="en-US" w:eastAsia="zh-CN"/>
        </w:rPr>
        <w:t>选址方案</w:t>
      </w:r>
    </w:p>
    <w:p w14:paraId="3EBD1FF3">
      <w:pPr>
        <w:bidi w:val="0"/>
        <w:rPr>
          <w:b/>
          <w:bCs/>
        </w:rPr>
      </w:pPr>
      <w:r>
        <w:rPr>
          <w:rFonts w:hint="eastAsia"/>
          <w:b/>
          <w:bCs/>
          <w:lang w:val="en-US" w:eastAsia="zh-CN"/>
        </w:rPr>
        <w:t>（1）</w:t>
      </w:r>
      <w:r>
        <w:rPr>
          <w:b/>
          <w:bCs/>
        </w:rPr>
        <w:t>选址目标与基本原则</w:t>
      </w:r>
    </w:p>
    <w:p w14:paraId="67AEBC28">
      <w:pPr>
        <w:bidi w:val="0"/>
      </w:pPr>
      <w:bookmarkStart w:id="202" w:name="OLE_LINK68"/>
      <w:r>
        <w:t>选址旨在为</w:t>
      </w:r>
      <w:r>
        <w:rPr>
          <w:rFonts w:hint="eastAsia"/>
          <w:lang w:val="en-US" w:eastAsia="zh-CN"/>
        </w:rPr>
        <w:t>桃江县</w:t>
      </w:r>
      <w:r>
        <w:t>建筑垃圾转运调配提供安全、高效且可持续的解决方案，核心目标包括：</w:t>
      </w:r>
    </w:p>
    <w:p w14:paraId="1B4C54CD">
      <w:pPr>
        <w:bidi w:val="0"/>
      </w:pPr>
      <w:r>
        <w:t>环境安全：严格避开生态敏感区（如水源保护区、自然保护区），确保与居民区、学校等敏感区域保持最小500米卫生距离，减少污染扩散风险。</w:t>
      </w:r>
    </w:p>
    <w:bookmarkEnd w:id="202"/>
    <w:p w14:paraId="0966C275">
      <w:pPr>
        <w:bidi w:val="0"/>
      </w:pPr>
      <w:r>
        <w:t>地质稳定：选择地质构造稳定区域，避开滑坡、洪涝、地震断裂带等灾害易发地带，保障场地长期安全。</w:t>
      </w:r>
    </w:p>
    <w:p w14:paraId="29E254A4">
      <w:pPr>
        <w:bidi w:val="0"/>
      </w:pPr>
      <w:r>
        <w:t>经济高效：优先利用荒地或废弃工业用地，降低土地成本；优化运输路线以减少费用，提升整体运营效率。</w:t>
      </w:r>
    </w:p>
    <w:p w14:paraId="3104150F">
      <w:pPr>
        <w:bidi w:val="0"/>
      </w:pPr>
      <w:r>
        <w:t>前瞻规划：预留未来升级空间，如渗滤液处理或生态修复设施，支持县域可持续发展。</w:t>
      </w:r>
    </w:p>
    <w:p w14:paraId="40B55039">
      <w:pPr>
        <w:bidi w:val="0"/>
      </w:pPr>
      <w:r>
        <w:t>基本原则遵循</w:t>
      </w:r>
      <w:r>
        <w:rPr>
          <w:rFonts w:hint="eastAsia"/>
          <w:lang w:eastAsia="zh-CN"/>
        </w:rPr>
        <w:t>“</w:t>
      </w:r>
      <w:r>
        <w:t>减量化、资源化、无害化</w:t>
      </w:r>
      <w:r>
        <w:rPr>
          <w:rFonts w:hint="eastAsia"/>
          <w:lang w:eastAsia="zh-CN"/>
        </w:rPr>
        <w:t>”</w:t>
      </w:r>
      <w:r>
        <w:t>理念，强调环境保护优先、资源集约利用及分步实施。</w:t>
      </w:r>
    </w:p>
    <w:p w14:paraId="7DD9EA90">
      <w:pPr>
        <w:bidi w:val="0"/>
        <w:rPr>
          <w:b/>
          <w:bCs/>
        </w:rPr>
      </w:pPr>
      <w:r>
        <w:rPr>
          <w:rFonts w:hint="eastAsia"/>
          <w:b/>
          <w:bCs/>
          <w:lang w:val="en-US" w:eastAsia="zh-CN"/>
        </w:rPr>
        <w:t>（2）</w:t>
      </w:r>
      <w:r>
        <w:rPr>
          <w:b/>
          <w:bCs/>
        </w:rPr>
        <w:t>具体选址要求</w:t>
      </w:r>
    </w:p>
    <w:p w14:paraId="5DFD6971">
      <w:pPr>
        <w:bidi w:val="0"/>
      </w:pPr>
      <w:r>
        <w:rPr>
          <w:rFonts w:hint="eastAsia"/>
          <w:lang w:val="en-US" w:eastAsia="zh-CN"/>
        </w:rPr>
        <w:t>根据《建筑垃圾处理技术标准》（</w:t>
      </w:r>
      <w:r>
        <w:rPr>
          <w:rFonts w:hint="default"/>
          <w:lang w:val="en-US" w:eastAsia="zh-CN"/>
        </w:rPr>
        <w:t>CJJ/T134-2019</w:t>
      </w:r>
      <w:r>
        <w:rPr>
          <w:rFonts w:hint="eastAsia"/>
          <w:lang w:val="en-US" w:eastAsia="zh-CN"/>
        </w:rPr>
        <w:t>）、</w:t>
      </w:r>
      <w:bookmarkStart w:id="203" w:name="OLE_LINK96"/>
      <w:r>
        <w:t>《城市环境卫生设施规划标准》</w:t>
      </w:r>
      <w:r>
        <w:rPr>
          <w:rFonts w:hint="eastAsia"/>
          <w:lang w:eastAsia="zh-CN"/>
        </w:rPr>
        <w:t>（</w:t>
      </w:r>
      <w:r>
        <w:t>GB/T 50337</w:t>
      </w:r>
      <w:r>
        <w:rPr>
          <w:rFonts w:hint="eastAsia"/>
          <w:lang w:val="en-US" w:eastAsia="zh-CN"/>
        </w:rPr>
        <w:t>-2018</w:t>
      </w:r>
      <w:r>
        <w:rPr>
          <w:rFonts w:hint="eastAsia"/>
          <w:lang w:eastAsia="zh-CN"/>
        </w:rPr>
        <w:t>）、</w:t>
      </w:r>
      <w:r>
        <w:rPr>
          <w:rFonts w:hint="eastAsia"/>
          <w:lang w:val="en-US" w:eastAsia="zh-CN"/>
        </w:rPr>
        <w:t>《桃江县国土空间总体规划（2021—2035年）》等相关标准和规划要求，</w:t>
      </w:r>
      <w:r>
        <w:t>选址需满足以下核心要求：</w:t>
      </w:r>
    </w:p>
    <w:bookmarkEnd w:id="203"/>
    <w:p w14:paraId="6706AA46">
      <w:pPr>
        <w:bidi w:val="0"/>
      </w:pPr>
      <w:r>
        <w:t>地理位置：靠近主干道或货运通道，服务半径建议2000-4000米，以降低运输成本；优先选择县域边缘的交通枢纽附近，确保与主要建筑垃圾产生点（如城区、乡镇）高效连接。</w:t>
      </w:r>
    </w:p>
    <w:p w14:paraId="31DA28DA">
      <w:pPr>
        <w:bidi w:val="0"/>
      </w:pPr>
      <w:r>
        <w:t>地质与水文条件：地基承载力需满足转运荷载，地下水位埋深大于2米，防止渗滤液污染地下水；避免活动断裂带或岩溶发育区，确保场地稳定性。</w:t>
      </w:r>
    </w:p>
    <w:p w14:paraId="3A25CF1B">
      <w:pPr>
        <w:bidi w:val="0"/>
      </w:pPr>
      <w:r>
        <w:t>环境隔离：与敏感区域保持最小500米距离，位于夏季主导风向下风向，减少噪声和异味影响；周边宜种植乔木作为生物隔离带。</w:t>
      </w:r>
    </w:p>
    <w:p w14:paraId="7836061B">
      <w:pPr>
        <w:bidi w:val="0"/>
      </w:pPr>
      <w:r>
        <w:t>用地规模：按每万吨垃圾转运需600</w:t>
      </w:r>
      <w:r>
        <w:rPr>
          <w:rFonts w:hint="eastAsia"/>
          <w:lang w:val="en-US" w:eastAsia="zh-CN"/>
        </w:rPr>
        <w:t>-</w:t>
      </w:r>
      <w:r>
        <w:t>800平方米估算，40万吨规模需约2.4万-3.2万平方米（36-48亩），含分拣区、暂存区、管理办公区及绿化带；容积率控制在0.2-0.4，建筑密度≤20%，绿地率≥25%。</w:t>
      </w:r>
    </w:p>
    <w:p w14:paraId="663E1417">
      <w:pPr>
        <w:bidi w:val="0"/>
        <w:rPr>
          <w:b/>
          <w:bCs/>
        </w:rPr>
      </w:pPr>
      <w:r>
        <w:rPr>
          <w:rFonts w:hint="eastAsia"/>
          <w:b/>
          <w:bCs/>
          <w:lang w:val="en-US" w:eastAsia="zh-CN"/>
        </w:rPr>
        <w:t>（3）</w:t>
      </w:r>
      <w:r>
        <w:rPr>
          <w:b/>
          <w:bCs/>
        </w:rPr>
        <w:t>功能分区与设施设计</w:t>
      </w:r>
    </w:p>
    <w:p w14:paraId="2CB430BC">
      <w:pPr>
        <w:bidi w:val="0"/>
      </w:pPr>
      <w:r>
        <w:rPr>
          <w:rFonts w:hint="eastAsia"/>
          <w:lang w:val="en-US" w:eastAsia="zh-CN"/>
        </w:rPr>
        <w:t>1）</w:t>
      </w:r>
      <w:r>
        <w:t>核心功能区：</w:t>
      </w:r>
    </w:p>
    <w:p w14:paraId="5E62EB29">
      <w:pPr>
        <w:bidi w:val="0"/>
      </w:pPr>
      <w:r>
        <w:t>分拣区：配备自动化分拣设备，按建筑垃圾类型（如废混凝土块、砖瓦、金属）分类处理，提升资源化效率。</w:t>
      </w:r>
    </w:p>
    <w:p w14:paraId="2E504293">
      <w:pPr>
        <w:bidi w:val="0"/>
      </w:pPr>
      <w:r>
        <w:t>暂存区：设置防尘降尘设施，确保垃圾暂存安全，减少异味扩散；采用封闭式设计，配备喷淋系统抑制扬尘。</w:t>
      </w:r>
    </w:p>
    <w:p w14:paraId="4D22D930">
      <w:pPr>
        <w:bidi w:val="0"/>
      </w:pPr>
      <w:r>
        <w:t>管理办公区：集中监控调度，支持信息化管理，实现全流程跟踪；包括控制室、检测实验室及员工休息区。</w:t>
      </w:r>
    </w:p>
    <w:p w14:paraId="1C72A801">
      <w:pPr>
        <w:bidi w:val="0"/>
      </w:pPr>
      <w:r>
        <w:rPr>
          <w:rFonts w:hint="eastAsia"/>
          <w:lang w:val="en-US" w:eastAsia="zh-CN"/>
        </w:rPr>
        <w:t>2）</w:t>
      </w:r>
      <w:r>
        <w:t>辅助设施：</w:t>
      </w:r>
    </w:p>
    <w:p w14:paraId="0A022B29">
      <w:pPr>
        <w:bidi w:val="0"/>
      </w:pPr>
      <w:r>
        <w:t>道路系统：场内道路宽度≥6米，满足重型车辆双向通行；入口与主干道直接相连，确保运输畅通。</w:t>
      </w:r>
    </w:p>
    <w:p w14:paraId="42C3815F">
      <w:pPr>
        <w:bidi w:val="0"/>
      </w:pPr>
      <w:r>
        <w:t>排水系统：建设截洪沟和雨水收集池，引导地表径流远离填埋区；渗滤液导排系统接入废水处理设施。</w:t>
      </w:r>
    </w:p>
    <w:p w14:paraId="72429A06">
      <w:pPr>
        <w:bidi w:val="0"/>
      </w:pPr>
      <w:r>
        <w:t>绿化隔离带：沿场地周边种植耐旱植物，形成生态屏障，减少视觉污染。</w:t>
      </w:r>
    </w:p>
    <w:p w14:paraId="2FE14580">
      <w:pPr>
        <w:bidi w:val="0"/>
        <w:rPr>
          <w:b/>
          <w:bCs/>
        </w:rPr>
      </w:pPr>
      <w:r>
        <w:rPr>
          <w:rFonts w:hint="eastAsia"/>
          <w:b/>
          <w:bCs/>
          <w:lang w:val="en-US" w:eastAsia="zh-CN"/>
        </w:rPr>
        <w:t>（4）</w:t>
      </w:r>
      <w:r>
        <w:rPr>
          <w:b/>
          <w:bCs/>
        </w:rPr>
        <w:t>转运模式设计</w:t>
      </w:r>
    </w:p>
    <w:p w14:paraId="02AD2833">
      <w:pPr>
        <w:bidi w:val="0"/>
      </w:pPr>
      <w:r>
        <w:t>直运模式：城区及邻近乡镇采用专用车辆直接运输至转运调配场，减少中转环节；车辆配备GPS定位，实时监控运输路线。</w:t>
      </w:r>
    </w:p>
    <w:p w14:paraId="57A1E998">
      <w:pPr>
        <w:bidi w:val="0"/>
      </w:pPr>
    </w:p>
    <w:p w14:paraId="2606039E">
      <w:pPr>
        <w:bidi w:val="0"/>
      </w:pPr>
      <w:r>
        <w:t>转运模式：偏远乡镇通过小型中转站集中后转运至核心场，降低运输成本；采用“一车配多箱”技术，提升装载效率。</w:t>
      </w:r>
    </w:p>
    <w:p w14:paraId="69BBB714">
      <w:pPr>
        <w:bidi w:val="0"/>
      </w:pPr>
      <w:r>
        <w:t>信息化管理：建立电子联单系统，实现从产生到转运的全流程跟踪；数据接入智慧管理平台，支持实时调度和异常预警。</w:t>
      </w:r>
    </w:p>
    <w:p w14:paraId="28E749D5">
      <w:pPr>
        <w:bidi w:val="0"/>
      </w:pPr>
      <w:r>
        <w:rPr>
          <w:rFonts w:hint="eastAsia"/>
          <w:lang w:val="en-US" w:eastAsia="zh-CN"/>
        </w:rPr>
        <w:t>（5）</w:t>
      </w:r>
      <w:r>
        <w:t>污染防治与环保措施</w:t>
      </w:r>
    </w:p>
    <w:p w14:paraId="701DF8F9">
      <w:pPr>
        <w:bidi w:val="0"/>
      </w:pPr>
      <w:r>
        <w:t>源头控制：推广装配式建筑和绿色施工技术，减少现场垃圾产生；施工阶段强制分类分离，优先就地利用可回收材料。</w:t>
      </w:r>
    </w:p>
    <w:p w14:paraId="1F805B32">
      <w:pPr>
        <w:bidi w:val="0"/>
      </w:pPr>
      <w:r>
        <w:t>运输管理：使用密闭式运输车辆并安装GPS，防止遗撒；配备喷淋降尘设施，抑制运输途中粉尘扩散。</w:t>
      </w:r>
    </w:p>
    <w:p w14:paraId="28A67FC9">
      <w:pPr>
        <w:bidi w:val="0"/>
      </w:pPr>
      <w:r>
        <w:t>终端处理：场地内设置防尘网和废水回用系统，确保运营期间废水零排放；填埋气导排设施减少甲烷积聚，降低爆炸风险。</w:t>
      </w:r>
    </w:p>
    <w:p w14:paraId="477EFB4F">
      <w:pPr>
        <w:bidi w:val="0"/>
      </w:pPr>
      <w:r>
        <w:t>生态修复：转运调配场封场后实施植被恢复，将废弃场地转化为绿地或公共空间，实现土地复用。</w:t>
      </w:r>
    </w:p>
    <w:p w14:paraId="49825ABD">
      <w:pPr>
        <w:pStyle w:val="4"/>
        <w:bidi w:val="0"/>
        <w:rPr>
          <w:rFonts w:hint="default"/>
          <w:lang w:val="en-US" w:eastAsia="zh-CN"/>
        </w:rPr>
      </w:pPr>
      <w:r>
        <w:rPr>
          <w:rFonts w:hint="eastAsia"/>
          <w:lang w:val="en-US" w:eastAsia="zh-CN"/>
        </w:rPr>
        <w:t>2、建筑垃圾填埋场选址方案</w:t>
      </w:r>
    </w:p>
    <w:p w14:paraId="3691989D">
      <w:pPr>
        <w:bidi w:val="0"/>
        <w:rPr>
          <w:b/>
          <w:bCs/>
        </w:rPr>
      </w:pPr>
      <w:r>
        <w:rPr>
          <w:rFonts w:hint="eastAsia"/>
          <w:b/>
          <w:bCs/>
          <w:lang w:eastAsia="zh-CN"/>
        </w:rPr>
        <w:t>（</w:t>
      </w:r>
      <w:r>
        <w:rPr>
          <w:rFonts w:hint="eastAsia"/>
          <w:b/>
          <w:bCs/>
          <w:lang w:val="en-US" w:eastAsia="zh-CN"/>
        </w:rPr>
        <w:t>1</w:t>
      </w:r>
      <w:r>
        <w:rPr>
          <w:rFonts w:hint="eastAsia"/>
          <w:b/>
          <w:bCs/>
          <w:lang w:eastAsia="zh-CN"/>
        </w:rPr>
        <w:t>）</w:t>
      </w:r>
      <w:r>
        <w:rPr>
          <w:b/>
          <w:bCs/>
        </w:rPr>
        <w:t>选址目标与基本原则</w:t>
      </w:r>
    </w:p>
    <w:p w14:paraId="4FDB1E2D">
      <w:pPr>
        <w:bidi w:val="0"/>
      </w:pPr>
      <w:bookmarkStart w:id="204" w:name="OLE_LINK76"/>
      <w:r>
        <w:rPr>
          <w:rFonts w:hint="eastAsia"/>
          <w:lang w:val="en-US" w:eastAsia="zh-CN"/>
        </w:rPr>
        <w:t>本选择</w:t>
      </w:r>
      <w:r>
        <w:t>选址旨在为</w:t>
      </w:r>
      <w:r>
        <w:rPr>
          <w:rFonts w:hint="eastAsia"/>
          <w:lang w:val="en-US" w:eastAsia="zh-CN"/>
        </w:rPr>
        <w:t>桃江县</w:t>
      </w:r>
      <w:r>
        <w:t>建筑垃圾提供安全、经济、可持续的无害化处理场所，核心目标包括：</w:t>
      </w:r>
    </w:p>
    <w:p w14:paraId="019D35F0">
      <w:pPr>
        <w:bidi w:val="0"/>
      </w:pPr>
      <w:r>
        <w:t>环境安全：严格避开生态敏感区如水源保护区、自然保护区，确保与居民区、学校等敏感区域保持最小500米卫生距离，减少污染扩散风险。</w:t>
      </w:r>
    </w:p>
    <w:p w14:paraId="05D65C40">
      <w:pPr>
        <w:bidi w:val="0"/>
      </w:pPr>
      <w:r>
        <w:t>地质稳定：选择地质构造稳定区域，</w:t>
      </w:r>
      <w:r>
        <w:rPr>
          <w:rFonts w:hint="eastAsia"/>
        </w:rPr>
        <w:t>优先选择天然洼地或废弃矿坑，利用自然地形降低土方工程量。</w:t>
      </w:r>
      <w:r>
        <w:t>避开滑坡、洪涝、地震断裂带等灾害易发地带，保障场地长期安全。</w:t>
      </w:r>
    </w:p>
    <w:p w14:paraId="5894D6D8">
      <w:pPr>
        <w:bidi w:val="0"/>
      </w:pPr>
      <w:r>
        <w:t>经济高效：优先利用荒地或废弃工业用地，降低土地成本；优化运输路线以减少费用，提升运营效率</w:t>
      </w:r>
      <w:r>
        <w:rPr>
          <w:rFonts w:hint="eastAsia"/>
          <w:lang w:eastAsia="zh-CN"/>
        </w:rPr>
        <w:t>，</w:t>
      </w:r>
      <w:r>
        <w:rPr>
          <w:rFonts w:hint="eastAsia"/>
        </w:rPr>
        <w:t>场地入口需与主干道或货运通道直接相连，道路宽度≥6米，满足重型车辆双向通行。</w:t>
      </w:r>
    </w:p>
    <w:p w14:paraId="69C2C395">
      <w:pPr>
        <w:bidi w:val="0"/>
      </w:pPr>
      <w:r>
        <w:t>前瞻规划：预留未来升级空间，如渗滤液处理或生态修复设施，支持县域可持续发展。</w:t>
      </w:r>
    </w:p>
    <w:p w14:paraId="6EE7CEF7">
      <w:pPr>
        <w:bidi w:val="0"/>
      </w:pPr>
      <w:r>
        <w:t>基本原则遵循</w:t>
      </w:r>
      <w:r>
        <w:rPr>
          <w:rFonts w:hint="eastAsia"/>
          <w:lang w:eastAsia="zh-CN"/>
        </w:rPr>
        <w:t>“</w:t>
      </w:r>
      <w:r>
        <w:t>减量化、资源化、无害化</w:t>
      </w:r>
      <w:r>
        <w:rPr>
          <w:rFonts w:hint="eastAsia"/>
          <w:lang w:eastAsia="zh-CN"/>
        </w:rPr>
        <w:t>”</w:t>
      </w:r>
      <w:r>
        <w:t>理念，强调环境保护优先、资源集约利用及分步实施。</w:t>
      </w:r>
    </w:p>
    <w:bookmarkEnd w:id="204"/>
    <w:p w14:paraId="10442580">
      <w:pPr>
        <w:bidi w:val="0"/>
        <w:rPr>
          <w:b/>
          <w:bCs/>
        </w:rPr>
      </w:pPr>
      <w:r>
        <w:rPr>
          <w:rFonts w:hint="eastAsia"/>
          <w:b/>
          <w:bCs/>
          <w:lang w:val="en-US" w:eastAsia="zh-CN"/>
        </w:rPr>
        <w:t>（2）</w:t>
      </w:r>
      <w:r>
        <w:rPr>
          <w:b/>
          <w:bCs/>
        </w:rPr>
        <w:t>具体选址要求</w:t>
      </w:r>
    </w:p>
    <w:p w14:paraId="3FA49C4A">
      <w:pPr>
        <w:bidi w:val="0"/>
      </w:pPr>
      <w:bookmarkStart w:id="205" w:name="OLE_LINK77"/>
      <w:r>
        <w:rPr>
          <w:rFonts w:hint="eastAsia"/>
          <w:lang w:val="en-US" w:eastAsia="zh-CN"/>
        </w:rPr>
        <w:t>根据《建筑垃圾处理技术标准》（</w:t>
      </w:r>
      <w:r>
        <w:rPr>
          <w:rFonts w:hint="default"/>
          <w:lang w:val="en-US" w:eastAsia="zh-CN"/>
        </w:rPr>
        <w:t>CJJ/T134-2019</w:t>
      </w:r>
      <w:r>
        <w:rPr>
          <w:rFonts w:hint="eastAsia"/>
          <w:lang w:val="en-US" w:eastAsia="zh-CN"/>
        </w:rPr>
        <w:t>）、</w:t>
      </w:r>
      <w:r>
        <w:t>《城市环境卫生设施规划标准》</w:t>
      </w:r>
      <w:r>
        <w:rPr>
          <w:rFonts w:hint="eastAsia"/>
          <w:lang w:eastAsia="zh-CN"/>
        </w:rPr>
        <w:t>（</w:t>
      </w:r>
      <w:r>
        <w:t>GB/T 50337</w:t>
      </w:r>
      <w:r>
        <w:rPr>
          <w:rFonts w:hint="eastAsia"/>
          <w:lang w:val="en-US" w:eastAsia="zh-CN"/>
        </w:rPr>
        <w:t>-2018</w:t>
      </w:r>
      <w:r>
        <w:rPr>
          <w:rFonts w:hint="eastAsia"/>
          <w:lang w:eastAsia="zh-CN"/>
        </w:rPr>
        <w:t>）、</w:t>
      </w:r>
      <w:r>
        <w:rPr>
          <w:rFonts w:hint="eastAsia"/>
          <w:lang w:val="en-US" w:eastAsia="zh-CN"/>
        </w:rPr>
        <w:t>《桃江县国土空间总体规划（2021—2035年）》等相关标准和规划要求，</w:t>
      </w:r>
      <w:r>
        <w:t>选址需满足以下核心要求：</w:t>
      </w:r>
    </w:p>
    <w:bookmarkEnd w:id="205"/>
    <w:p w14:paraId="211FEEF5">
      <w:pPr>
        <w:bidi w:val="0"/>
      </w:pPr>
      <w:r>
        <w:t>地理位置：靠近主干道或货运通道，服务半径建议2000-4000米，以降低运输成本；优先选择县域边缘的交通枢纽附近，确保物流效率。</w:t>
      </w:r>
    </w:p>
    <w:p w14:paraId="5EBFEEFE">
      <w:pPr>
        <w:bidi w:val="0"/>
      </w:pPr>
      <w:r>
        <w:t>地质与水文条件：地基承载力需满足填埋荷载，地下水位埋深大于2米，防止渗滤液污染地下水；避免活动断裂带或岩溶发育区，确保场地稳定性。</w:t>
      </w:r>
    </w:p>
    <w:p w14:paraId="1F9C46F3">
      <w:pPr>
        <w:bidi w:val="0"/>
      </w:pPr>
      <w:r>
        <w:t>环境隔离：与敏感区域保持最小500米距离，位于夏季主导风向下风向，减少噪声和异味影响；周边宜设置绿化隔离带，进一步降低环境风险。</w:t>
      </w:r>
    </w:p>
    <w:p w14:paraId="13398602">
      <w:pPr>
        <w:bidi w:val="0"/>
      </w:pPr>
      <w:r>
        <w:t>用地规模：按每万吨垃圾需1000-1500平方米估算，100万吨规模需约10万-15万平方米（150-225亩），含填埋库区、防渗系统及辅助设施；容积率控制在0.1-0.3，建筑密度≤15%，绿地率≥30%以协调生态。</w:t>
      </w:r>
    </w:p>
    <w:p w14:paraId="5D186450">
      <w:pPr>
        <w:bidi w:val="0"/>
        <w:rPr>
          <w:b/>
          <w:bCs/>
        </w:rPr>
      </w:pPr>
      <w:r>
        <w:rPr>
          <w:rFonts w:hint="eastAsia"/>
          <w:b/>
          <w:bCs/>
          <w:lang w:val="en-US" w:eastAsia="zh-CN"/>
        </w:rPr>
        <w:t>（3）</w:t>
      </w:r>
      <w:r>
        <w:rPr>
          <w:b/>
          <w:bCs/>
        </w:rPr>
        <w:t>填埋场设计参数</w:t>
      </w:r>
    </w:p>
    <w:p w14:paraId="4A8C4275">
      <w:pPr>
        <w:bidi w:val="0"/>
      </w:pPr>
      <w:r>
        <w:t>库容计算：设计库容需满足100万吨建筑垃圾填埋需求，考虑压实系数后，有效库容应≥120万立方米。</w:t>
      </w:r>
    </w:p>
    <w:p w14:paraId="63DE61BD">
      <w:pPr>
        <w:bidi w:val="0"/>
      </w:pPr>
      <w:r>
        <w:t>堆体设计：采用阶梯式分层填埋，每层高度控制在3-5米，确保压实效果；堆体坡度≤1</w:t>
      </w:r>
      <w:r>
        <w:rPr>
          <w:rFonts w:hint="eastAsia"/>
          <w:lang w:eastAsia="zh-CN"/>
        </w:rPr>
        <w:t>：</w:t>
      </w:r>
      <w:r>
        <w:t>3，防止滑坡风险。</w:t>
      </w:r>
    </w:p>
    <w:p w14:paraId="5B2DCC82">
      <w:pPr>
        <w:bidi w:val="0"/>
      </w:pPr>
      <w:r>
        <w:t>防渗系统：底部铺设复合防渗层（HDPE膜+黏土层），渗透系数≤10⁻¹² cm/s，防止渗滤液渗漏；周边设置截洪沟，减少雨水入渗。</w:t>
      </w:r>
    </w:p>
    <w:p w14:paraId="489DCD1D">
      <w:pPr>
        <w:bidi w:val="0"/>
      </w:pPr>
      <w:r>
        <w:t>渗滤液处理：建设渗滤液收集池和处理设施，采用“预处理+生物处理+深度处理”工艺，确保出水水质达标排放或回用。</w:t>
      </w:r>
    </w:p>
    <w:p w14:paraId="0E5B64AB">
      <w:pPr>
        <w:bidi w:val="0"/>
      </w:pPr>
      <w:r>
        <w:t>填埋气导排：设置竖向导排井和水平导排管，收集填埋气用于发电或燃烧处理，减少温室气体排放。</w:t>
      </w:r>
    </w:p>
    <w:p w14:paraId="35A74824">
      <w:pPr>
        <w:bidi w:val="0"/>
        <w:rPr>
          <w:b/>
          <w:bCs/>
        </w:rPr>
      </w:pPr>
      <w:r>
        <w:rPr>
          <w:rFonts w:hint="eastAsia"/>
          <w:b/>
          <w:bCs/>
          <w:lang w:val="en-US" w:eastAsia="zh-CN"/>
        </w:rPr>
        <w:t>（4）</w:t>
      </w:r>
      <w:r>
        <w:rPr>
          <w:b/>
          <w:bCs/>
        </w:rPr>
        <w:t>污染防治与环保措施</w:t>
      </w:r>
    </w:p>
    <w:p w14:paraId="02089667">
      <w:pPr>
        <w:bidi w:val="0"/>
      </w:pPr>
      <w:r>
        <w:t>为最大限度降低环境影响，实施多层次防护：</w:t>
      </w:r>
    </w:p>
    <w:p w14:paraId="0E59534D">
      <w:pPr>
        <w:bidi w:val="0"/>
      </w:pPr>
      <w:r>
        <w:t>源头控制：推广装配式建筑和绿色施工技术，减少现场垃圾产生；施工阶段强制分类分离，优先就地利用可回收材料。</w:t>
      </w:r>
    </w:p>
    <w:p w14:paraId="05643741">
      <w:pPr>
        <w:bidi w:val="0"/>
      </w:pPr>
      <w:r>
        <w:t>运输管理：使用密闭式运输车辆并安装GPS定位，防止遗撒；配备喷淋降尘设施，抑制运输途中粉尘扩散。</w:t>
      </w:r>
    </w:p>
    <w:p w14:paraId="3659296F">
      <w:pPr>
        <w:bidi w:val="0"/>
      </w:pPr>
      <w:r>
        <w:t>终端处理：场地内设置防渗层、渗滤液收集池及废水回用系统，确保运营期间废水零排放；填埋气导排设施减少甲烷积聚，降低爆炸风险。</w:t>
      </w:r>
    </w:p>
    <w:p w14:paraId="16858868">
      <w:pPr>
        <w:bidi w:val="0"/>
      </w:pPr>
      <w:r>
        <w:t>生态修复：填埋场封场后，实施植被恢复工程，将废弃场地转化为绿地或公共空间，实现土地复用；定期监测周边环境，确保长期生态安全。</w:t>
      </w:r>
    </w:p>
    <w:p w14:paraId="5935B7D8">
      <w:pPr>
        <w:pStyle w:val="3"/>
        <w:bidi w:val="0"/>
        <w:rPr>
          <w:rFonts w:hint="eastAsia" w:ascii="楷体" w:hAnsi="楷体" w:eastAsia="楷体" w:cs="楷体"/>
          <w:sz w:val="28"/>
          <w:szCs w:val="28"/>
          <w:lang w:val="en-US" w:eastAsia="en-US"/>
        </w:rPr>
      </w:pPr>
      <w:bookmarkStart w:id="206" w:name="_Toc614"/>
      <w:r>
        <w:rPr>
          <w:rFonts w:hint="eastAsia" w:ascii="楷体" w:hAnsi="楷体" w:eastAsia="楷体" w:cs="楷体"/>
          <w:sz w:val="28"/>
          <w:szCs w:val="28"/>
          <w:lang w:val="en-US" w:eastAsia="en-US"/>
        </w:rPr>
        <w:t>（四）建筑垃圾资源化利用</w:t>
      </w:r>
      <w:bookmarkEnd w:id="206"/>
    </w:p>
    <w:p w14:paraId="7FC60F67">
      <w:pPr>
        <w:pStyle w:val="4"/>
        <w:bidi w:val="0"/>
        <w:rPr>
          <w:rFonts w:hint="eastAsia"/>
        </w:rPr>
      </w:pPr>
      <w:r>
        <w:rPr>
          <w:rFonts w:hint="eastAsia"/>
          <w:lang w:val="en-US" w:eastAsia="zh-CN"/>
        </w:rPr>
        <w:t>1、</w:t>
      </w:r>
      <w:r>
        <w:rPr>
          <w:rFonts w:hint="eastAsia"/>
        </w:rPr>
        <w:t>益阳方成建筑新材料有限公司</w:t>
      </w:r>
    </w:p>
    <w:p w14:paraId="5F7E2E0E">
      <w:pPr>
        <w:bidi w:val="0"/>
        <w:rPr>
          <w:rFonts w:hint="eastAsia"/>
          <w:b/>
          <w:bCs/>
          <w:lang w:val="en-US" w:eastAsia="zh-CN"/>
        </w:rPr>
      </w:pPr>
      <w:r>
        <w:rPr>
          <w:rFonts w:hint="eastAsia"/>
          <w:b/>
          <w:bCs/>
          <w:lang w:val="en-US" w:eastAsia="zh-CN"/>
        </w:rPr>
        <w:t>（1）项目简介</w:t>
      </w:r>
    </w:p>
    <w:p w14:paraId="60136831">
      <w:pPr>
        <w:bidi w:val="0"/>
        <w:rPr>
          <w:rFonts w:hint="eastAsia"/>
        </w:rPr>
      </w:pPr>
      <w:r>
        <w:rPr>
          <w:rFonts w:hint="eastAsia"/>
          <w:lang w:val="en-US" w:eastAsia="zh-CN"/>
        </w:rPr>
        <w:t>公司投资建设的</w:t>
      </w:r>
      <w:r>
        <w:rPr>
          <w:rFonts w:hint="eastAsia"/>
        </w:rPr>
        <w:t>年处理100万吨建筑垃圾</w:t>
      </w:r>
      <w:bookmarkStart w:id="207" w:name="OLE_LINK97"/>
      <w:r>
        <w:rPr>
          <w:rFonts w:hint="eastAsia"/>
          <w:lang w:eastAsia="zh-CN"/>
        </w:rPr>
        <w:t>（</w:t>
      </w:r>
      <w:r>
        <w:rPr>
          <w:rFonts w:hint="eastAsia"/>
        </w:rPr>
        <w:t>固体废料</w:t>
      </w:r>
      <w:r>
        <w:rPr>
          <w:rFonts w:hint="eastAsia"/>
          <w:lang w:eastAsia="zh-CN"/>
        </w:rPr>
        <w:t>）</w:t>
      </w:r>
      <w:bookmarkEnd w:id="207"/>
      <w:r>
        <w:rPr>
          <w:rFonts w:hint="eastAsia"/>
        </w:rPr>
        <w:t>综合处理利用项目</w:t>
      </w:r>
      <w:r>
        <w:rPr>
          <w:rFonts w:hint="eastAsia"/>
          <w:lang w:eastAsia="zh-CN"/>
        </w:rPr>
        <w:t>，</w:t>
      </w:r>
      <w:r>
        <w:rPr>
          <w:rFonts w:hint="eastAsia"/>
        </w:rPr>
        <w:t>建设智能全自动建筑垃圾</w:t>
      </w:r>
      <w:r>
        <w:rPr>
          <w:rFonts w:hint="eastAsia" w:eastAsia="宋体"/>
          <w:lang w:eastAsia="zh-CN"/>
        </w:rPr>
        <w:t>（</w:t>
      </w:r>
      <w:r>
        <w:rPr>
          <w:rFonts w:hint="eastAsia"/>
        </w:rPr>
        <w:t>固体废料</w:t>
      </w:r>
      <w:r>
        <w:rPr>
          <w:rFonts w:hint="eastAsia" w:eastAsia="宋体"/>
          <w:lang w:eastAsia="zh-CN"/>
        </w:rPr>
        <w:t>）</w:t>
      </w:r>
      <w:r>
        <w:rPr>
          <w:rFonts w:hint="eastAsia"/>
        </w:rPr>
        <w:t>无害化处理与再生利用生产线6条，其中智能全自动建筑垃圾</w:t>
      </w:r>
      <w:r>
        <w:rPr>
          <w:rFonts w:hint="eastAsia" w:eastAsia="宋体"/>
          <w:lang w:eastAsia="zh-CN"/>
        </w:rPr>
        <w:t>（</w:t>
      </w:r>
      <w:r>
        <w:rPr>
          <w:rFonts w:hint="eastAsia"/>
        </w:rPr>
        <w:t>固体废料</w:t>
      </w:r>
      <w:r>
        <w:rPr>
          <w:rFonts w:hint="eastAsia" w:eastAsia="宋体"/>
          <w:lang w:eastAsia="zh-CN"/>
        </w:rPr>
        <w:t>）</w:t>
      </w:r>
      <w:r>
        <w:rPr>
          <w:rFonts w:hint="eastAsia"/>
        </w:rPr>
        <w:t>无害化处理与再生利用固定生产线4条、移动生产线2条。年处理建筑垃圾(固体废料)100万吨，年生产各类路面景观砖60万m</w:t>
      </w:r>
      <w:r>
        <w:rPr>
          <w:rFonts w:hint="eastAsia"/>
          <w:vertAlign w:val="superscript"/>
        </w:rPr>
        <w:t>2</w:t>
      </w:r>
      <w:r>
        <w:rPr>
          <w:rFonts w:hint="eastAsia"/>
        </w:rPr>
        <w:t>、干粉砂浆20万吨、稳定层料90万吨。</w:t>
      </w:r>
    </w:p>
    <w:p w14:paraId="296EF818">
      <w:pPr>
        <w:bidi w:val="0"/>
        <w:rPr>
          <w:rFonts w:hint="eastAsia"/>
          <w:b/>
          <w:bCs/>
        </w:rPr>
      </w:pPr>
      <w:r>
        <w:rPr>
          <w:rFonts w:hint="eastAsia"/>
          <w:b/>
          <w:bCs/>
          <w:lang w:eastAsia="zh-CN"/>
        </w:rPr>
        <w:t>（</w:t>
      </w:r>
      <w:r>
        <w:rPr>
          <w:rFonts w:hint="eastAsia"/>
          <w:b/>
          <w:bCs/>
          <w:lang w:val="en-US" w:eastAsia="zh-CN"/>
        </w:rPr>
        <w:t>2</w:t>
      </w:r>
      <w:r>
        <w:rPr>
          <w:rFonts w:hint="eastAsia"/>
          <w:b/>
          <w:bCs/>
          <w:lang w:eastAsia="zh-CN"/>
        </w:rPr>
        <w:t>）</w:t>
      </w:r>
      <w:r>
        <w:rPr>
          <w:rFonts w:hint="eastAsia"/>
          <w:b/>
          <w:bCs/>
        </w:rPr>
        <w:t>生产工艺</w:t>
      </w:r>
    </w:p>
    <w:p w14:paraId="69BA0BDE">
      <w:pPr>
        <w:bidi w:val="0"/>
        <w:rPr>
          <w:rFonts w:hint="eastAsia"/>
        </w:rPr>
      </w:pPr>
      <w:r>
        <w:rPr>
          <w:rFonts w:hint="eastAsia"/>
          <w:b/>
          <w:bCs/>
        </w:rPr>
        <w:t>建筑垃圾资源综合利用生产工艺流程</w:t>
      </w:r>
      <w:r>
        <w:rPr>
          <w:rFonts w:hint="eastAsia"/>
          <w:b/>
          <w:bCs/>
          <w:lang w:val="en-US" w:eastAsia="zh-CN"/>
        </w:rPr>
        <w:t>:</w:t>
      </w:r>
      <w:r>
        <w:rPr>
          <w:rFonts w:hint="eastAsia"/>
        </w:rPr>
        <w:t>建筑垃圾(固体废料)→喂料→颚式破碎→轻物质分选→电磁除铁→液压圆锥破碎→塔楼砂站系统→干法工艺或湿法工艺 (过虑系统及污水处理系统) →成品建筑骨料(不同规格、标准)</w:t>
      </w:r>
      <w:r>
        <w:rPr>
          <w:rFonts w:hint="eastAsia"/>
          <w:lang w:eastAsia="zh-CN"/>
        </w:rPr>
        <w:t>。</w:t>
      </w:r>
      <w:r>
        <w:rPr>
          <w:rFonts w:hint="eastAsia"/>
        </w:rPr>
        <w:t>其中百分之七十采用干法工艺，百分之三十（泥性特别重的原材料）采用湿法工艺（过虑系统）。</w:t>
      </w:r>
    </w:p>
    <w:p w14:paraId="339D6DCA">
      <w:pPr>
        <w:bidi w:val="0"/>
        <w:rPr>
          <w:rFonts w:hint="eastAsia" w:eastAsia="仿宋"/>
          <w:lang w:eastAsia="zh-CN"/>
        </w:rPr>
      </w:pPr>
      <w:r>
        <w:rPr>
          <w:rFonts w:hint="eastAsia"/>
          <w:b/>
          <w:bCs/>
        </w:rPr>
        <w:t>路面景观砖生产工艺流程</w:t>
      </w:r>
      <w:r>
        <w:rPr>
          <w:rFonts w:hint="eastAsia"/>
          <w:b/>
          <w:bCs/>
          <w:lang w:eastAsia="zh-CN"/>
        </w:rPr>
        <w:t>：</w:t>
      </w:r>
      <w:r>
        <w:rPr>
          <w:rFonts w:hint="eastAsia"/>
        </w:rPr>
        <w:t>建筑骨料（加一定比例的水泥、白水泥、彩色水泥及水）→混合搅拌→压制成型(不同规格、标准) →成品路面景观砖</w:t>
      </w:r>
      <w:r>
        <w:rPr>
          <w:rFonts w:hint="eastAsia"/>
          <w:lang w:eastAsia="zh-CN"/>
        </w:rPr>
        <w:t>。</w:t>
      </w:r>
    </w:p>
    <w:p w14:paraId="2B1BC068">
      <w:pPr>
        <w:bidi w:val="0"/>
        <w:rPr>
          <w:rFonts w:hint="eastAsia" w:eastAsia="仿宋"/>
          <w:lang w:eastAsia="zh-CN"/>
        </w:rPr>
      </w:pPr>
      <w:r>
        <w:rPr>
          <w:rFonts w:hint="eastAsia"/>
          <w:b/>
          <w:bCs/>
        </w:rPr>
        <w:t>干粉砂浆生产工艺流程</w:t>
      </w:r>
      <w:r>
        <w:rPr>
          <w:rFonts w:hint="eastAsia"/>
          <w:b/>
          <w:bCs/>
          <w:lang w:eastAsia="zh-CN"/>
        </w:rPr>
        <w:t>：</w:t>
      </w:r>
      <w:r>
        <w:rPr>
          <w:rFonts w:hint="eastAsia"/>
        </w:rPr>
        <w:t>原料配比（建筑骨料、水泥、石膏）→混合搅拌→干粉砂浆(不同规格、标准) →包装（成品）</w:t>
      </w:r>
      <w:r>
        <w:rPr>
          <w:rFonts w:hint="eastAsia"/>
          <w:lang w:eastAsia="zh-CN"/>
        </w:rPr>
        <w:t>。</w:t>
      </w:r>
    </w:p>
    <w:p w14:paraId="0417B683">
      <w:pPr>
        <w:bidi w:val="0"/>
        <w:rPr>
          <w:rFonts w:hint="eastAsia" w:eastAsia="仿宋"/>
          <w:lang w:eastAsia="zh-CN"/>
        </w:rPr>
      </w:pPr>
      <w:r>
        <w:rPr>
          <w:rFonts w:hint="eastAsia"/>
          <w:b/>
          <w:bCs/>
        </w:rPr>
        <w:t>稳定层料生产工艺流程</w:t>
      </w:r>
      <w:r>
        <w:rPr>
          <w:rFonts w:hint="eastAsia"/>
          <w:b/>
          <w:bCs/>
          <w:lang w:eastAsia="zh-CN"/>
        </w:rPr>
        <w:t>：</w:t>
      </w:r>
      <w:r>
        <w:rPr>
          <w:rFonts w:hint="eastAsia"/>
        </w:rPr>
        <w:t>原料配比（建筑骨料、水泥）→混合搅拌→稳定层料</w:t>
      </w:r>
      <w:r>
        <w:rPr>
          <w:rFonts w:hint="eastAsia"/>
          <w:lang w:eastAsia="zh-CN"/>
        </w:rPr>
        <w:t>。</w:t>
      </w:r>
    </w:p>
    <w:p w14:paraId="56F27475">
      <w:pPr>
        <w:bidi w:val="0"/>
        <w:rPr>
          <w:rFonts w:hint="default"/>
          <w:b/>
          <w:bCs/>
          <w:lang w:val="en-US" w:eastAsia="zh-CN"/>
        </w:rPr>
      </w:pPr>
      <w:bookmarkStart w:id="208" w:name="OLE_LINK79"/>
      <w:r>
        <w:rPr>
          <w:rFonts w:hint="eastAsia"/>
          <w:b/>
          <w:bCs/>
          <w:lang w:val="en-US" w:eastAsia="zh-CN"/>
        </w:rPr>
        <w:t>（3）设施运行要求</w:t>
      </w:r>
    </w:p>
    <w:bookmarkEnd w:id="208"/>
    <w:p w14:paraId="263839ED">
      <w:pPr>
        <w:bidi w:val="0"/>
        <w:rPr>
          <w:rFonts w:hint="eastAsia"/>
        </w:rPr>
      </w:pPr>
      <w:r>
        <w:rPr>
          <w:rFonts w:hint="eastAsia"/>
        </w:rPr>
        <w:t>项目年处理建筑垃圾100万吨</w:t>
      </w:r>
      <w:r>
        <w:rPr>
          <w:rFonts w:hint="eastAsia"/>
          <w:lang w:eastAsia="zh-CN"/>
        </w:rPr>
        <w:t>，</w:t>
      </w:r>
      <w:r>
        <w:rPr>
          <w:rFonts w:hint="eastAsia"/>
          <w:lang w:val="en-US" w:eastAsia="zh-CN"/>
        </w:rPr>
        <w:t>项目</w:t>
      </w:r>
      <w:r>
        <w:rPr>
          <w:rFonts w:hint="eastAsia"/>
        </w:rPr>
        <w:t>生产的再生建筑骨料全部用于本项目建筑材料产品的生产，年消耗量约95万吨。</w:t>
      </w:r>
    </w:p>
    <w:p w14:paraId="5D7BFFB3">
      <w:pPr>
        <w:bidi w:val="0"/>
        <w:rPr>
          <w:rFonts w:hint="eastAsia"/>
        </w:rPr>
      </w:pPr>
      <w:r>
        <w:rPr>
          <w:rFonts w:hint="eastAsia"/>
        </w:rPr>
        <w:t>项目根据建筑材料产品生产设计要求，年需细砂154290吨、水泥150890吨、白水泥2079吨、彩色水泥231吨。</w:t>
      </w:r>
    </w:p>
    <w:p w14:paraId="081A9041">
      <w:pPr>
        <w:bidi w:val="0"/>
      </w:pPr>
      <w:r>
        <w:t>项目采用单电源供电，供电电压为380/220V三相四线制，用电负荷为三级，</w:t>
      </w:r>
      <w:r>
        <w:rPr>
          <w:rFonts w:hint="eastAsia"/>
        </w:rPr>
        <w:t>总装机容量1163.5kw，生产设备总装容量为1043.5kw、照明装容量为120kw，</w:t>
      </w:r>
      <w:r>
        <w:t>全年生产</w:t>
      </w:r>
      <w:r>
        <w:rPr>
          <w:rFonts w:hint="eastAsia"/>
        </w:rPr>
        <w:t>200</w:t>
      </w:r>
      <w:r>
        <w:t>天数</w:t>
      </w:r>
      <w:r>
        <w:rPr>
          <w:rFonts w:hint="eastAsia"/>
        </w:rPr>
        <w:t>，日</w:t>
      </w:r>
      <w:r>
        <w:t>工作时间</w:t>
      </w:r>
      <w:r>
        <w:rPr>
          <w:rFonts w:hint="eastAsia"/>
        </w:rPr>
        <w:t>16小时，功率使用取值0.8，</w:t>
      </w:r>
      <w:r>
        <w:t>项目达产期全年</w:t>
      </w:r>
      <w:r>
        <w:rPr>
          <w:rFonts w:hint="eastAsia"/>
        </w:rPr>
        <w:t>消费</w:t>
      </w:r>
      <w:r>
        <w:t>电</w:t>
      </w:r>
      <w:r>
        <w:rPr>
          <w:rFonts w:hint="eastAsia"/>
        </w:rPr>
        <w:t>量297.87</w:t>
      </w:r>
      <w:r>
        <w:t>万</w:t>
      </w:r>
      <w:r>
        <w:rPr>
          <w:rFonts w:hint="eastAsia"/>
        </w:rPr>
        <w:t>kw.h</w:t>
      </w:r>
      <w:r>
        <w:t>。</w:t>
      </w:r>
    </w:p>
    <w:p w14:paraId="5DF6B503">
      <w:pPr>
        <w:bidi w:val="0"/>
        <w:rPr>
          <w:rFonts w:hint="eastAsia"/>
        </w:rPr>
      </w:pPr>
      <w:r>
        <w:t>项目水源</w:t>
      </w:r>
      <w:r>
        <w:rPr>
          <w:rFonts w:hint="eastAsia"/>
        </w:rPr>
        <w:t>采用</w:t>
      </w:r>
      <w:r>
        <w:t>自备深井系统供给，</w:t>
      </w:r>
      <w:r>
        <w:rPr>
          <w:rFonts w:hint="eastAsia"/>
        </w:rPr>
        <w:t>生产工艺环保设备降尘用水按吨单位消费水2.5kg估算，再生建筑材料产品（各类路面景观砖）生产工艺用水量m2/9.24 kg估算，生产用水8045；生活用水按150kg.人/d估算，生活用水900吨，</w:t>
      </w:r>
      <w:r>
        <w:t>全年用水量为</w:t>
      </w:r>
      <w:r>
        <w:rPr>
          <w:rFonts w:hint="eastAsia"/>
        </w:rPr>
        <w:t>8945</w:t>
      </w:r>
      <w:r>
        <w:t>吨</w:t>
      </w:r>
      <w:r>
        <w:rPr>
          <w:rFonts w:hint="eastAsia"/>
        </w:rPr>
        <w:t>。生产工艺中没有污水排放，生活污水按90%估算，年生活污水810吨，</w:t>
      </w:r>
      <w:r>
        <w:t>经污水处理池</w:t>
      </w:r>
      <w:r>
        <w:rPr>
          <w:rFonts w:hint="eastAsia"/>
        </w:rPr>
        <w:t>三级</w:t>
      </w:r>
      <w:r>
        <w:t>处理后用于</w:t>
      </w:r>
      <w:r>
        <w:rPr>
          <w:rFonts w:hint="eastAsia"/>
        </w:rPr>
        <w:t>厂</w:t>
      </w:r>
      <w:r>
        <w:t>区绿化。</w:t>
      </w:r>
    </w:p>
    <w:p w14:paraId="3AE3C82D">
      <w:pPr>
        <w:bidi w:val="0"/>
      </w:pPr>
      <w:r>
        <w:t>项目</w:t>
      </w:r>
      <w:r>
        <w:rPr>
          <w:rFonts w:hint="eastAsia"/>
        </w:rPr>
        <w:t>设计铲车2台，柴</w:t>
      </w:r>
      <w:r>
        <w:t>油由当地</w:t>
      </w:r>
      <w:r>
        <w:rPr>
          <w:rFonts w:hint="eastAsia"/>
        </w:rPr>
        <w:t>石油公司提供</w:t>
      </w:r>
      <w:r>
        <w:t>，</w:t>
      </w:r>
      <w:r>
        <w:rPr>
          <w:rFonts w:hint="eastAsia"/>
        </w:rPr>
        <w:t>每台设备日消费柴油按30kg估算，</w:t>
      </w:r>
      <w:r>
        <w:t>年</w:t>
      </w:r>
      <w:r>
        <w:rPr>
          <w:rFonts w:hint="eastAsia"/>
        </w:rPr>
        <w:t>耗</w:t>
      </w:r>
      <w:r>
        <w:t>用</w:t>
      </w:r>
      <w:r>
        <w:rPr>
          <w:rFonts w:hint="eastAsia"/>
        </w:rPr>
        <w:t>柴</w:t>
      </w:r>
      <w:r>
        <w:t>油</w:t>
      </w:r>
      <w:r>
        <w:rPr>
          <w:rFonts w:hint="eastAsia"/>
        </w:rPr>
        <w:t>总</w:t>
      </w:r>
      <w:r>
        <w:t>量约</w:t>
      </w:r>
      <w:r>
        <w:rPr>
          <w:rFonts w:hint="eastAsia"/>
        </w:rPr>
        <w:t>12</w:t>
      </w:r>
      <w:r>
        <w:t>吨，能得到充分保证。</w:t>
      </w:r>
    </w:p>
    <w:p w14:paraId="0EB503E4">
      <w:pPr>
        <w:pStyle w:val="4"/>
        <w:bidi w:val="0"/>
      </w:pPr>
      <w:r>
        <w:rPr>
          <w:rFonts w:hint="eastAsia"/>
          <w:lang w:val="en-US" w:eastAsia="zh-CN"/>
        </w:rPr>
        <w:t>2、</w:t>
      </w:r>
      <w:r>
        <w:rPr>
          <w:rFonts w:hint="eastAsia"/>
        </w:rPr>
        <w:t>桃江惠强环保建材有限公司</w:t>
      </w:r>
    </w:p>
    <w:p w14:paraId="08129C38">
      <w:pPr>
        <w:numPr>
          <w:ilvl w:val="0"/>
          <w:numId w:val="0"/>
        </w:numPr>
        <w:bidi w:val="0"/>
        <w:ind w:firstLine="562" w:firstLineChars="200"/>
        <w:rPr>
          <w:rFonts w:hint="eastAsia"/>
          <w:b/>
          <w:bCs/>
          <w:lang w:val="en-US" w:eastAsia="zh-CN"/>
        </w:rPr>
      </w:pPr>
      <w:r>
        <w:rPr>
          <w:rFonts w:hint="eastAsia"/>
          <w:b/>
          <w:bCs/>
          <w:lang w:val="en-US" w:eastAsia="zh-CN"/>
        </w:rPr>
        <w:t>（一）项目简介</w:t>
      </w:r>
    </w:p>
    <w:p w14:paraId="52B69C44">
      <w:pPr>
        <w:numPr>
          <w:ilvl w:val="0"/>
          <w:numId w:val="0"/>
        </w:numPr>
        <w:bidi w:val="0"/>
        <w:ind w:firstLine="560" w:firstLineChars="200"/>
      </w:pPr>
      <w:r>
        <w:rPr>
          <w:rFonts w:hint="eastAsia"/>
          <w:lang w:val="en-US" w:eastAsia="zh-CN"/>
        </w:rPr>
        <w:t>公司投资建设的</w:t>
      </w:r>
      <w:r>
        <w:rPr>
          <w:rFonts w:hint="eastAsia"/>
        </w:rPr>
        <w:t>污泥、淤泥、废弃土无害化处理与再生利用基地建设项目</w:t>
      </w:r>
      <w:r>
        <w:rPr>
          <w:rFonts w:hint="eastAsia"/>
          <w:lang w:eastAsia="zh-CN"/>
        </w:rPr>
        <w:t>，</w:t>
      </w:r>
      <w:r>
        <w:rPr>
          <w:rFonts w:hint="eastAsia"/>
        </w:rPr>
        <w:t>建设智能生产线 2条、数控混合搅拌生产线</w:t>
      </w:r>
      <w:r>
        <w:t xml:space="preserve"> 2</w:t>
      </w:r>
      <w:r>
        <w:rPr>
          <w:rFonts w:hint="eastAsia"/>
        </w:rPr>
        <w:t>条，混合料陈化供料生产线</w:t>
      </w:r>
      <w:r>
        <w:t xml:space="preserve"> 2</w:t>
      </w:r>
      <w:r>
        <w:rPr>
          <w:rFonts w:hint="eastAsia"/>
        </w:rPr>
        <w:t>条，双级真空挤砖生产线</w:t>
      </w:r>
      <w:r>
        <w:t xml:space="preserve"> 2</w:t>
      </w:r>
      <w:r>
        <w:rPr>
          <w:rFonts w:hint="eastAsia"/>
        </w:rPr>
        <w:t>条，机器人自动切码坯生产线</w:t>
      </w:r>
      <w:r>
        <w:t xml:space="preserve"> 2</w:t>
      </w:r>
      <w:r>
        <w:rPr>
          <w:rFonts w:hint="eastAsia"/>
        </w:rPr>
        <w:t>条，隧道窑自动温控</w:t>
      </w:r>
      <w:r>
        <w:t>干燥</w:t>
      </w:r>
      <w:r>
        <w:rPr>
          <w:rFonts w:hint="eastAsia"/>
        </w:rPr>
        <w:t>焙烧生产线</w:t>
      </w:r>
      <w:r>
        <w:t xml:space="preserve"> 2</w:t>
      </w:r>
      <w:r>
        <w:rPr>
          <w:rFonts w:hint="eastAsia"/>
        </w:rPr>
        <w:t>条及自动码砖装车系统。年处理污泥、废弃土、建筑废渣粉尘9.2万吨（其中污泥7.3万吨），</w:t>
      </w:r>
      <w:r>
        <w:t>年</w:t>
      </w:r>
      <w:r>
        <w:rPr>
          <w:rFonts w:hint="eastAsia"/>
        </w:rPr>
        <w:t>生</w:t>
      </w:r>
      <w:r>
        <w:t>产烧结保温</w:t>
      </w:r>
      <w:r>
        <w:rPr>
          <w:rFonts w:hint="eastAsia"/>
        </w:rPr>
        <w:t>空心</w:t>
      </w:r>
      <w:r>
        <w:t>砌块30万</w:t>
      </w:r>
      <w:r>
        <w:rPr>
          <w:rFonts w:hint="eastAsia"/>
        </w:rPr>
        <w:t>m</w:t>
      </w:r>
      <w:r>
        <w:rPr>
          <w:rFonts w:hint="eastAsia"/>
          <w:vertAlign w:val="superscript"/>
        </w:rPr>
        <w:t>3</w:t>
      </w:r>
      <w:r>
        <w:rPr>
          <w:rFonts w:hint="eastAsia"/>
        </w:rPr>
        <w:t>（折合标砖20000万块）</w:t>
      </w:r>
      <w:r>
        <w:t>。</w:t>
      </w:r>
    </w:p>
    <w:p w14:paraId="41533CB1">
      <w:pPr>
        <w:bidi w:val="0"/>
      </w:pPr>
      <w:r>
        <w:rPr>
          <w:rFonts w:hint="eastAsia" w:eastAsia="仿宋"/>
          <w:b/>
          <w:bCs/>
          <w:lang w:eastAsia="zh-CN"/>
        </w:rPr>
        <w:t>（</w:t>
      </w:r>
      <w:r>
        <w:rPr>
          <w:rFonts w:hint="eastAsia" w:ascii="Times New Roman" w:eastAsia="仿宋"/>
          <w:b/>
          <w:bCs/>
          <w:lang w:val="en-US" w:eastAsia="zh-CN"/>
        </w:rPr>
        <w:t>2</w:t>
      </w:r>
      <w:r>
        <w:rPr>
          <w:rFonts w:hint="eastAsia" w:eastAsia="仿宋"/>
          <w:b/>
          <w:bCs/>
          <w:lang w:eastAsia="zh-CN"/>
        </w:rPr>
        <w:t>）</w:t>
      </w:r>
      <w:r>
        <w:rPr>
          <w:rFonts w:hint="eastAsia"/>
          <w:b/>
          <w:bCs/>
        </w:rPr>
        <w:t>生产工艺</w:t>
      </w:r>
    </w:p>
    <w:p w14:paraId="5E3743E0">
      <w:pPr>
        <w:bidi w:val="0"/>
      </w:pPr>
      <w:r>
        <w:rPr>
          <w:rFonts w:hint="eastAsia"/>
          <w:lang w:val="en-US" w:eastAsia="zh-CN"/>
        </w:rPr>
        <w:t>项目采用一次码烧的工艺进行生产，其工艺特点是</w:t>
      </w:r>
      <w:r>
        <w:t>原料经挤砖机挤出成型后，经切条、切坯、人工或机械将坯体直接码放到窑车上，进行坯体干燥、焙烧，一次码烧工艺成型的砖坯一般为硬塑或半硬塑成型工艺，成型水分控制在12%～18%的范围。项目产品为</w:t>
      </w:r>
      <w:r>
        <w:rPr>
          <w:rFonts w:hint="eastAsia"/>
        </w:rPr>
        <w:t>保温</w:t>
      </w:r>
      <w:r>
        <w:t>空心砌块，即以</w:t>
      </w:r>
      <w:r>
        <w:rPr>
          <w:rFonts w:hint="eastAsia"/>
        </w:rPr>
        <w:t>污泥、</w:t>
      </w:r>
      <w:r>
        <w:t>建筑废渣粉尘</w:t>
      </w:r>
      <w:r>
        <w:rPr>
          <w:rFonts w:hint="eastAsia"/>
        </w:rPr>
        <w:t>（建筑废弃土）、尾矿渣（页岩尾矿）</w:t>
      </w:r>
      <w:r>
        <w:t>等为原料，通过原料配料、粉碎、筛选搅拌、制砖、烘干、窑烧、卸车等工序生产产品。根据产品生产工艺特点，主要生产系统包括：粉碎工序、搅拌工序、制砖工序、烘干工序、煅烧工序、卸车工序。考虑到项目的社会效益和未来的经济效益，本生产线拟采用机械化、自动化程度较高的一次码烧工艺。</w:t>
      </w:r>
    </w:p>
    <w:p w14:paraId="0D7706A0">
      <w:pPr>
        <w:bidi w:val="0"/>
        <w:rPr>
          <w:rFonts w:hint="default"/>
          <w:b/>
          <w:bCs/>
          <w:lang w:val="en-US" w:eastAsia="zh-CN"/>
        </w:rPr>
      </w:pPr>
      <w:r>
        <w:rPr>
          <w:rFonts w:hint="eastAsia" w:ascii="Times New Roman" w:eastAsia="仿宋"/>
          <w:b/>
          <w:bCs/>
          <w:lang w:val="en-US" w:eastAsia="zh-CN"/>
        </w:rPr>
        <w:t>（3）设施运行要求</w:t>
      </w:r>
    </w:p>
    <w:p w14:paraId="7DAD717A">
      <w:pPr>
        <w:bidi w:val="0"/>
        <w:rPr>
          <w:rFonts w:hint="eastAsia"/>
        </w:rPr>
      </w:pPr>
      <w:r>
        <w:rPr>
          <w:rFonts w:hint="eastAsia"/>
        </w:rPr>
        <w:t>污泥：项目配入坯料中的污泥为桃江境内污水处理厂产生的污泥，该污泥主要为居民生活和企业排出废水处理后产生的，运至厂区的污泥含水率为80%左右，经过改性压滤干化处理后配入物料中的污泥水分约为40%左右，污泥干基热值为2689.15Kcal/kg。根据原材料配比，项目年需配入污泥量7.3万吨</w:t>
      </w:r>
      <w:r>
        <w:t>，</w:t>
      </w:r>
      <w:r>
        <w:rPr>
          <w:rFonts w:hint="eastAsia"/>
        </w:rPr>
        <w:t>项目地区年产生污泥量达到7.88万吨，</w:t>
      </w:r>
      <w:r>
        <w:t>能得到充分保证</w:t>
      </w:r>
      <w:r>
        <w:rPr>
          <w:rFonts w:hint="eastAsia"/>
        </w:rPr>
        <w:t>。</w:t>
      </w:r>
    </w:p>
    <w:p w14:paraId="258E204A">
      <w:pPr>
        <w:bidi w:val="0"/>
        <w:rPr>
          <w:rFonts w:hint="eastAsia"/>
        </w:rPr>
      </w:pPr>
      <w:r>
        <w:t>建筑废渣粉尘</w:t>
      </w:r>
      <w:r>
        <w:rPr>
          <w:rFonts w:hint="eastAsia"/>
        </w:rPr>
        <w:t>及废弃土：</w:t>
      </w:r>
      <w:bookmarkStart w:id="209" w:name="OLE_LINK98"/>
      <w:r>
        <w:rPr>
          <w:rFonts w:hint="eastAsia"/>
        </w:rPr>
        <w:t>根据原材料配比，项目年需配入</w:t>
      </w:r>
      <w:r>
        <w:t>建筑废渣粉尘</w:t>
      </w:r>
      <w:r>
        <w:rPr>
          <w:rFonts w:hint="eastAsia"/>
        </w:rPr>
        <w:t>及废弃土量1.90万吨</w:t>
      </w:r>
      <w:r>
        <w:t>，</w:t>
      </w:r>
      <w:r>
        <w:rPr>
          <w:rFonts w:hint="eastAsia"/>
        </w:rPr>
        <w:t>当地城乡建设过程中开挖基础的废弃土及拆迁改造的</w:t>
      </w:r>
      <w:r>
        <w:t>建筑废渣粉尘</w:t>
      </w:r>
      <w:r>
        <w:rPr>
          <w:rFonts w:hint="eastAsia"/>
        </w:rPr>
        <w:t>资源丰富，年产生量预测在500万吨</w:t>
      </w:r>
      <w:bookmarkEnd w:id="209"/>
      <w:r>
        <w:rPr>
          <w:rFonts w:hint="eastAsia"/>
        </w:rPr>
        <w:t>左右，</w:t>
      </w:r>
      <w:r>
        <w:t>能得到充分保证</w:t>
      </w:r>
      <w:r>
        <w:rPr>
          <w:rFonts w:hint="eastAsia"/>
        </w:rPr>
        <w:t>。</w:t>
      </w:r>
    </w:p>
    <w:p w14:paraId="354B1A74">
      <w:pPr>
        <w:bidi w:val="0"/>
        <w:rPr>
          <w:rFonts w:hint="eastAsia"/>
        </w:rPr>
      </w:pPr>
      <w:r>
        <w:rPr>
          <w:rFonts w:hint="eastAsia"/>
        </w:rPr>
        <w:t>尾矿渣</w:t>
      </w:r>
      <w:r>
        <w:rPr>
          <w:rFonts w:hint="eastAsia"/>
          <w:lang w:eastAsia="zh-CN"/>
        </w:rPr>
        <w:t>：</w:t>
      </w:r>
      <w:r>
        <w:rPr>
          <w:rFonts w:hint="eastAsia"/>
        </w:rPr>
        <w:t>项目配入坯料中</w:t>
      </w:r>
      <w:r>
        <w:t>建筑废渣粉尘</w:t>
      </w:r>
      <w:r>
        <w:rPr>
          <w:rFonts w:hint="eastAsia"/>
        </w:rPr>
        <w:t>及尾矿粉，桃江县境内页岩尾矿渣资源量达</w:t>
      </w:r>
      <w:r>
        <w:t>10</w:t>
      </w:r>
      <w:r>
        <w:rPr>
          <w:rFonts w:hint="eastAsia"/>
        </w:rPr>
        <w:t>00余万吨，目前年利用量约100万吨，利用率只有10%。根据项目设计要求年需求量</w:t>
      </w:r>
      <w:r>
        <w:t>1</w:t>
      </w:r>
      <w:r>
        <w:rPr>
          <w:rFonts w:hint="eastAsia"/>
        </w:rPr>
        <w:t>8.30万吨，</w:t>
      </w:r>
      <w:r>
        <w:t>能得到充分保证</w:t>
      </w:r>
      <w:r>
        <w:rPr>
          <w:rFonts w:hint="eastAsia"/>
        </w:rPr>
        <w:t>。</w:t>
      </w:r>
    </w:p>
    <w:p w14:paraId="14530423">
      <w:pPr>
        <w:bidi w:val="0"/>
        <w:rPr>
          <w:rFonts w:hint="eastAsia"/>
        </w:rPr>
      </w:pPr>
      <w:r>
        <w:rPr>
          <w:rFonts w:hint="eastAsia"/>
        </w:rPr>
        <w:t>煤：根据项目燃料配比，每万块需0.215吨，项目年需原煤4300吨</w:t>
      </w:r>
      <w:r>
        <w:t>，</w:t>
      </w:r>
      <w:r>
        <w:rPr>
          <w:rFonts w:hint="eastAsia"/>
        </w:rPr>
        <w:t>与省内涟源市相关煤灰生产企业签订了供应合同，</w:t>
      </w:r>
      <w:r>
        <w:t>能得到充分保证</w:t>
      </w:r>
      <w:r>
        <w:rPr>
          <w:rFonts w:hint="eastAsia"/>
        </w:rPr>
        <w:t>。</w:t>
      </w:r>
    </w:p>
    <w:p w14:paraId="4F07E946">
      <w:pPr>
        <w:bidi w:val="0"/>
        <w:rPr>
          <w:rFonts w:hint="eastAsia"/>
        </w:rPr>
      </w:pPr>
      <w:r>
        <w:rPr>
          <w:rFonts w:hint="eastAsia"/>
        </w:rPr>
        <w:t>锯末（生物质）：桃江县为主要林区，境内竹木加工企业较多，产生的锯末也较多，锯末含水率为8%左右，热值大于3900Kcal/kg。根据项目燃料配比，每万块需0.04吨，项目年需锯末800吨；人员生活消费生物质，</w:t>
      </w:r>
      <w:r>
        <w:t>项目</w:t>
      </w:r>
      <w:r>
        <w:rPr>
          <w:rFonts w:hint="eastAsia"/>
        </w:rPr>
        <w:t>设计容纳人员100人，按人均热能消费值2093</w:t>
      </w:r>
      <w:r>
        <w:t xml:space="preserve"> MJ/(人·年)</w:t>
      </w:r>
      <w:r>
        <w:rPr>
          <w:rFonts w:hint="eastAsia"/>
        </w:rPr>
        <w:t>换算成生物质约0.14吨，</w:t>
      </w:r>
      <w:r>
        <w:t>年</w:t>
      </w:r>
      <w:r>
        <w:rPr>
          <w:rFonts w:hint="eastAsia"/>
        </w:rPr>
        <w:t>人员生活消费生物质总</w:t>
      </w:r>
      <w:r>
        <w:t>量约</w:t>
      </w:r>
      <w:r>
        <w:rPr>
          <w:rFonts w:hint="eastAsia"/>
        </w:rPr>
        <w:t>14</w:t>
      </w:r>
      <w:r>
        <w:t>吨，能得到充分保证。</w:t>
      </w:r>
    </w:p>
    <w:p w14:paraId="5F086345">
      <w:pPr>
        <w:bidi w:val="0"/>
      </w:pPr>
      <w:r>
        <w:rPr>
          <w:rFonts w:hint="eastAsia"/>
        </w:rPr>
        <w:t>电：</w:t>
      </w:r>
      <w:r>
        <w:t>项目采用单电源供电，供电电压为380/220V三相四线制，用电负荷为三级，</w:t>
      </w:r>
      <w:r>
        <w:rPr>
          <w:rFonts w:hint="eastAsia"/>
        </w:rPr>
        <w:t>总</w:t>
      </w:r>
      <w:r>
        <w:t>装机容量</w:t>
      </w:r>
      <w:r>
        <w:rPr>
          <w:rFonts w:hint="eastAsia"/>
        </w:rPr>
        <w:t>2122.8kw</w:t>
      </w:r>
      <w:r>
        <w:t>，</w:t>
      </w:r>
      <w:r>
        <w:rPr>
          <w:rFonts w:hint="eastAsia"/>
        </w:rPr>
        <w:t>其中设备</w:t>
      </w:r>
      <w:r>
        <w:t>装机容量</w:t>
      </w:r>
      <w:r>
        <w:rPr>
          <w:rFonts w:hint="eastAsia"/>
        </w:rPr>
        <w:t>1653.5kw</w:t>
      </w:r>
      <w:r>
        <w:t>，</w:t>
      </w:r>
      <w:r>
        <w:rPr>
          <w:rFonts w:hint="eastAsia"/>
        </w:rPr>
        <w:t>照明</w:t>
      </w:r>
      <w:r>
        <w:t>装机容量</w:t>
      </w:r>
      <w:r>
        <w:rPr>
          <w:rFonts w:hint="eastAsia"/>
        </w:rPr>
        <w:t>469.3kw，</w:t>
      </w:r>
      <w:r>
        <w:t>全年生产</w:t>
      </w:r>
      <w:r>
        <w:rPr>
          <w:rFonts w:hint="eastAsia"/>
        </w:rPr>
        <w:t>330</w:t>
      </w:r>
      <w:r>
        <w:t>天数</w:t>
      </w:r>
      <w:r>
        <w:rPr>
          <w:rFonts w:hint="eastAsia"/>
        </w:rPr>
        <w:t>，日</w:t>
      </w:r>
      <w:r>
        <w:t>工作时间</w:t>
      </w:r>
      <w:r>
        <w:rPr>
          <w:rFonts w:hint="eastAsia"/>
        </w:rPr>
        <w:t>16小时，使用功率取值0.8，</w:t>
      </w:r>
      <w:r>
        <w:t>项目达产期全年</w:t>
      </w:r>
      <w:r>
        <w:rPr>
          <w:rFonts w:hint="eastAsia"/>
        </w:rPr>
        <w:t>消费</w:t>
      </w:r>
      <w:r>
        <w:t>电</w:t>
      </w:r>
      <w:r>
        <w:rPr>
          <w:rFonts w:hint="eastAsia"/>
        </w:rPr>
        <w:t>量896.67</w:t>
      </w:r>
      <w:r>
        <w:t>万</w:t>
      </w:r>
      <w:r>
        <w:rPr>
          <w:rFonts w:hint="eastAsia"/>
        </w:rPr>
        <w:t>kw.h</w:t>
      </w:r>
      <w:r>
        <w:t>，能得到充分保证。</w:t>
      </w:r>
    </w:p>
    <w:p w14:paraId="7AC31A00">
      <w:pPr>
        <w:bidi w:val="0"/>
        <w:rPr>
          <w:rFonts w:hint="eastAsia"/>
        </w:rPr>
      </w:pPr>
      <w:r>
        <w:rPr>
          <w:rFonts w:hint="eastAsia"/>
        </w:rPr>
        <w:t>柴油：</w:t>
      </w:r>
      <w:r>
        <w:t>项目</w:t>
      </w:r>
      <w:r>
        <w:rPr>
          <w:rFonts w:hint="eastAsia"/>
        </w:rPr>
        <w:t>设计</w:t>
      </w:r>
      <w:r>
        <w:t>多斗挖土机</w:t>
      </w:r>
      <w:r>
        <w:rPr>
          <w:rFonts w:hint="eastAsia"/>
        </w:rPr>
        <w:t>3台，消费柴</w:t>
      </w:r>
      <w:r>
        <w:t>油由当地</w:t>
      </w:r>
      <w:r>
        <w:rPr>
          <w:rFonts w:hint="eastAsia"/>
        </w:rPr>
        <w:t>石油公司提供</w:t>
      </w:r>
      <w:r>
        <w:t>，</w:t>
      </w:r>
      <w:r>
        <w:rPr>
          <w:rFonts w:hint="eastAsia"/>
        </w:rPr>
        <w:t>每台设备日均消费柴油按66.67kg估算，</w:t>
      </w:r>
      <w:r>
        <w:t>年</w:t>
      </w:r>
      <w:r>
        <w:rPr>
          <w:rFonts w:hint="eastAsia"/>
        </w:rPr>
        <w:t>消费柴</w:t>
      </w:r>
      <w:r>
        <w:t>油</w:t>
      </w:r>
      <w:r>
        <w:rPr>
          <w:rFonts w:hint="eastAsia"/>
        </w:rPr>
        <w:t>总</w:t>
      </w:r>
      <w:r>
        <w:t>量约</w:t>
      </w:r>
      <w:r>
        <w:rPr>
          <w:rFonts w:hint="eastAsia"/>
        </w:rPr>
        <w:t>66</w:t>
      </w:r>
      <w:r>
        <w:t>吨，能得到充分保证。</w:t>
      </w:r>
    </w:p>
    <w:p w14:paraId="0DD2F272">
      <w:pPr>
        <w:bidi w:val="0"/>
        <w:rPr>
          <w:rFonts w:hint="eastAsia"/>
        </w:rPr>
      </w:pPr>
      <w:r>
        <w:rPr>
          <w:rFonts w:hint="eastAsia"/>
        </w:rPr>
        <w:t>水：</w:t>
      </w:r>
      <w:r>
        <w:t>项目</w:t>
      </w:r>
      <w:r>
        <w:rPr>
          <w:rFonts w:hint="eastAsia"/>
        </w:rPr>
        <w:t>采用市政供水水源，项目设计生产日用水31.8吨、年生产用水量约10500吨；生活用水按150Kg人/日估算，项目编制员工100人，年生活用水量约4950吨，</w:t>
      </w:r>
      <w:r>
        <w:t>未预见用水</w:t>
      </w:r>
      <w:r>
        <w:rPr>
          <w:rFonts w:hint="eastAsia"/>
        </w:rPr>
        <w:t>量按用水量的10%估算约1545吨，</w:t>
      </w:r>
      <w:r>
        <w:t>全年</w:t>
      </w:r>
      <w:r>
        <w:rPr>
          <w:rFonts w:hint="eastAsia"/>
        </w:rPr>
        <w:t>生产生活</w:t>
      </w:r>
      <w:r>
        <w:t>用水量</w:t>
      </w:r>
      <w:r>
        <w:rPr>
          <w:rFonts w:hint="eastAsia"/>
        </w:rPr>
        <w:t>约16995</w:t>
      </w:r>
      <w:r>
        <w:t>吨</w:t>
      </w:r>
      <w:r>
        <w:rPr>
          <w:rFonts w:hint="eastAsia"/>
        </w:rPr>
        <w:t>。</w:t>
      </w:r>
    </w:p>
    <w:p w14:paraId="1D49D121">
      <w:pPr>
        <w:pStyle w:val="4"/>
        <w:bidi w:val="0"/>
        <w:rPr>
          <w:rFonts w:hint="eastAsia"/>
        </w:rPr>
      </w:pPr>
      <w:r>
        <w:rPr>
          <w:rFonts w:hint="eastAsia"/>
          <w:lang w:val="en-US" w:eastAsia="zh-CN"/>
        </w:rPr>
        <w:t>3、</w:t>
      </w:r>
      <w:r>
        <w:rPr>
          <w:rFonts w:hint="eastAsia"/>
        </w:rPr>
        <w:t>桃江县晓亿建材有限责任公司</w:t>
      </w:r>
    </w:p>
    <w:p w14:paraId="1873B178">
      <w:pPr>
        <w:bidi w:val="0"/>
        <w:rPr>
          <w:rFonts w:hint="eastAsia"/>
          <w:b/>
          <w:bCs/>
          <w:lang w:val="en-US" w:eastAsia="zh-CN"/>
        </w:rPr>
      </w:pPr>
      <w:r>
        <w:rPr>
          <w:rFonts w:hint="eastAsia"/>
          <w:b/>
          <w:bCs/>
          <w:lang w:eastAsia="zh-CN"/>
        </w:rPr>
        <w:t>（</w:t>
      </w:r>
      <w:r>
        <w:rPr>
          <w:rFonts w:hint="eastAsia"/>
          <w:b/>
          <w:bCs/>
          <w:lang w:val="en-US" w:eastAsia="zh-CN"/>
        </w:rPr>
        <w:t>1</w:t>
      </w:r>
      <w:r>
        <w:rPr>
          <w:rFonts w:hint="eastAsia"/>
          <w:b/>
          <w:bCs/>
          <w:lang w:eastAsia="zh-CN"/>
        </w:rPr>
        <w:t>）</w:t>
      </w:r>
      <w:r>
        <w:rPr>
          <w:rFonts w:hint="eastAsia"/>
          <w:b/>
          <w:bCs/>
          <w:lang w:val="en-US" w:eastAsia="zh-CN"/>
        </w:rPr>
        <w:t>项目简介</w:t>
      </w:r>
    </w:p>
    <w:p w14:paraId="0D8821C0">
      <w:pPr>
        <w:bidi w:val="0"/>
      </w:pPr>
      <w:r>
        <w:rPr>
          <w:rFonts w:hint="eastAsia"/>
          <w:lang w:val="en-US" w:eastAsia="zh-CN"/>
        </w:rPr>
        <w:t>项目</w:t>
      </w:r>
      <w:r>
        <w:rPr>
          <w:rFonts w:hint="eastAsia"/>
        </w:rPr>
        <w:t>年处理60万吨建筑垃圾建设项目</w:t>
      </w:r>
      <w:r>
        <w:rPr>
          <w:rFonts w:hint="eastAsia"/>
          <w:lang w:eastAsia="zh-CN"/>
        </w:rPr>
        <w:t>，规划用地面积13334平方米(20亩)，项目分两期建设，</w:t>
      </w:r>
      <w:r>
        <w:rPr>
          <w:rFonts w:hint="eastAsia"/>
          <w:lang w:val="en-US" w:eastAsia="zh-CN"/>
        </w:rPr>
        <w:t>建设</w:t>
      </w:r>
      <w:r>
        <w:rPr>
          <w:rFonts w:hint="eastAsia"/>
          <w:lang w:eastAsia="zh-CN"/>
        </w:rPr>
        <w:t>2条建筑垃圾破碎生产线、2条水稳料生产线</w:t>
      </w:r>
      <w:r>
        <w:rPr>
          <w:rFonts w:hint="eastAsia"/>
          <w:lang w:val="en-US" w:eastAsia="zh-CN"/>
        </w:rPr>
        <w:t>和</w:t>
      </w:r>
      <w:r>
        <w:rPr>
          <w:rFonts w:hint="eastAsia"/>
          <w:lang w:eastAsia="zh-CN"/>
        </w:rPr>
        <w:t>1条环保砖生产线。项目自2023年年初启动，2024年底投产。</w:t>
      </w:r>
      <w:r>
        <w:rPr>
          <w:rFonts w:hint="eastAsia"/>
          <w:lang w:val="en-US" w:eastAsia="zh-CN"/>
        </w:rPr>
        <w:t>年处理建筑垃圾60万吨，</w:t>
      </w:r>
      <w:r>
        <w:rPr>
          <w:rFonts w:hint="default"/>
          <w:lang w:val="en-US" w:eastAsia="zh-CN"/>
        </w:rPr>
        <w:t>生产骨料51万吨、环保砖32万吨、水稳料25万吨。</w:t>
      </w:r>
    </w:p>
    <w:p w14:paraId="7236E374">
      <w:pPr>
        <w:bidi w:val="0"/>
        <w:rPr>
          <w:rFonts w:hint="default"/>
          <w:b/>
          <w:bCs/>
          <w:lang w:val="en-US" w:eastAsia="zh-CN"/>
        </w:rPr>
      </w:pPr>
      <w:r>
        <w:rPr>
          <w:rFonts w:hint="eastAsia"/>
          <w:b/>
          <w:bCs/>
          <w:lang w:val="en-US" w:eastAsia="zh-CN"/>
        </w:rPr>
        <w:t>（2）</w:t>
      </w:r>
      <w:r>
        <w:rPr>
          <w:rFonts w:hint="eastAsia"/>
          <w:b/>
          <w:bCs/>
          <w:lang w:eastAsia="zh-CN"/>
        </w:rPr>
        <w:t>生产工艺</w:t>
      </w:r>
    </w:p>
    <w:p w14:paraId="1FFB25FC">
      <w:pPr>
        <w:bidi w:val="0"/>
        <w:rPr>
          <w:rFonts w:hint="eastAsia"/>
          <w:lang w:val="en-US" w:eastAsia="zh-CN"/>
        </w:rPr>
      </w:pPr>
      <w:r>
        <w:rPr>
          <w:rFonts w:hint="eastAsia"/>
          <w:lang w:val="en-US" w:eastAsia="zh-CN"/>
        </w:rPr>
        <w:t>人工筛选：建筑垃圾由运输车辆运入场区，卸料至原料堆场，由人工对原料进行分选，将较大块状的垃圾或金属钢筋等无法用作建筑用砂的废弃建筑材料挑选出来。该工序产生的污染物主要为噪声和固废。</w:t>
      </w:r>
    </w:p>
    <w:p w14:paraId="586D6F2F">
      <w:pPr>
        <w:bidi w:val="0"/>
        <w:rPr>
          <w:rFonts w:hint="eastAsia"/>
          <w:lang w:val="en-US" w:eastAsia="zh-CN"/>
        </w:rPr>
      </w:pPr>
      <w:r>
        <w:rPr>
          <w:rFonts w:hint="eastAsia"/>
          <w:lang w:val="en-US" w:eastAsia="zh-CN"/>
        </w:rPr>
        <w:t>给料：建筑垃圾由运输车辆运入场区，卸料至原料堆场，再由装载车卸入进料斗，经振动给料机送入颚式破碎机。该工序产生的污染物主要为噪声和粉尘。</w:t>
      </w:r>
    </w:p>
    <w:p w14:paraId="6697B966">
      <w:pPr>
        <w:bidi w:val="0"/>
        <w:rPr>
          <w:rFonts w:hint="eastAsia"/>
          <w:lang w:val="en-US" w:eastAsia="zh-CN"/>
        </w:rPr>
      </w:pPr>
      <w:r>
        <w:rPr>
          <w:rFonts w:hint="eastAsia"/>
          <w:lang w:val="en-US" w:eastAsia="zh-CN"/>
        </w:rPr>
        <w:t>鄂破：物料经颚式破碎机进行一次破碎。该工序产生的污染物主要为噪声和粉尘。</w:t>
      </w:r>
    </w:p>
    <w:p w14:paraId="02729D88">
      <w:pPr>
        <w:bidi w:val="0"/>
        <w:rPr>
          <w:rFonts w:hint="eastAsia"/>
          <w:lang w:val="en-US" w:eastAsia="zh-CN"/>
        </w:rPr>
      </w:pPr>
      <w:r>
        <w:rPr>
          <w:rFonts w:hint="eastAsia"/>
          <w:lang w:val="en-US" w:eastAsia="zh-CN"/>
        </w:rPr>
        <w:t>筛分：经鄂破后的物料送入振动筛一次筛分对物料进行分级，分筛出细砂和粗料。该工序产生的污染物主要为噪声和粉尘。(5)反击破:经振动筛筛分后的粗料送入反击破进行二次破碎二次破碎后形成的砂石经振动筛二次筛分。该工序产生的污染物主要为噪声和粉尘。</w:t>
      </w:r>
    </w:p>
    <w:p w14:paraId="38FDA5EB">
      <w:pPr>
        <w:bidi w:val="0"/>
        <w:rPr>
          <w:rFonts w:hint="default"/>
          <w:b/>
          <w:bCs/>
          <w:lang w:val="en-US" w:eastAsia="zh-CN"/>
        </w:rPr>
      </w:pPr>
      <w:r>
        <w:rPr>
          <w:rFonts w:hint="eastAsia"/>
          <w:b/>
          <w:bCs/>
          <w:lang w:val="en-US" w:eastAsia="zh-CN"/>
        </w:rPr>
        <w:t>水稳料生产工艺：</w:t>
      </w:r>
    </w:p>
    <w:p w14:paraId="2B89AA36">
      <w:pPr>
        <w:bidi w:val="0"/>
        <w:rPr>
          <w:rFonts w:hint="eastAsia"/>
          <w:lang w:val="en-US" w:eastAsia="zh-CN"/>
        </w:rPr>
      </w:pPr>
      <w:r>
        <w:rPr>
          <w:rFonts w:hint="eastAsia"/>
          <w:lang w:val="en-US" w:eastAsia="zh-CN"/>
        </w:rPr>
        <w:t>将原料砂石（碎石、石粉）、外购的水泥和水分别进行计量后送入搅拌机内进行搅拌，计量配送采用电脑控制，从而保证水稳料的质量，之后通过自卸运输车送至建筑工地。原料砂石为厂区现有生产线以建筑废石加工生产的;水泥外购。</w:t>
      </w:r>
    </w:p>
    <w:p w14:paraId="0C98DE36">
      <w:pPr>
        <w:bidi w:val="0"/>
        <w:rPr>
          <w:rFonts w:hint="default"/>
          <w:b/>
          <w:bCs/>
          <w:lang w:val="en-US" w:eastAsia="zh-CN"/>
        </w:rPr>
      </w:pPr>
      <w:r>
        <w:rPr>
          <w:rFonts w:hint="eastAsia"/>
          <w:b/>
          <w:bCs/>
          <w:lang w:val="en-US" w:eastAsia="zh-CN"/>
        </w:rPr>
        <w:t>环保砖生产线工艺技术：</w:t>
      </w:r>
    </w:p>
    <w:p w14:paraId="2BCAD0D9">
      <w:pPr>
        <w:bidi w:val="0"/>
        <w:ind w:left="0" w:leftChars="0" w:firstLine="840" w:firstLineChars="300"/>
        <w:rPr>
          <w:rFonts w:hint="eastAsia"/>
          <w:lang w:val="en-US" w:eastAsia="zh-CN"/>
        </w:rPr>
      </w:pPr>
      <w:r>
        <w:rPr>
          <w:rFonts w:hint="eastAsia"/>
          <w:lang w:val="en-US" w:eastAsia="zh-CN"/>
        </w:rPr>
        <w:t>原料砂石为厂区现有生产线以建筑废石加工生产，砂石由配料仓下料后由传送带送至搅拌机入口，砂石下料过程会有粉尘产生，水泥由水泥罐底的螺旋输送机直接输送至搅拌机中，水泥下料过程中基本无粉尘产生（水泥罐的粉尘主要为水泥罐车将水泥用空压机打进水泥罐中时呼吸口产生的）与此同时加水搅拌；</w:t>
      </w:r>
    </w:p>
    <w:p w14:paraId="7019D739">
      <w:pPr>
        <w:bidi w:val="0"/>
        <w:rPr>
          <w:rFonts w:hint="eastAsia"/>
          <w:lang w:val="en-US" w:eastAsia="zh-CN"/>
        </w:rPr>
      </w:pPr>
      <w:r>
        <w:rPr>
          <w:rFonts w:hint="eastAsia"/>
          <w:lang w:val="en-US" w:eastAsia="zh-CN"/>
        </w:rPr>
        <w:t>搅拌完成的物料送至制砖机压制成型，再将成品砖运送厂区养护堆放区堆放，进行自然养护，未成型的产品回用于生产。</w:t>
      </w:r>
    </w:p>
    <w:p w14:paraId="1E083E09">
      <w:pPr>
        <w:bidi w:val="0"/>
        <w:rPr>
          <w:rFonts w:hint="eastAsia"/>
          <w:b/>
          <w:bCs/>
          <w:lang w:val="en-US" w:eastAsia="zh-CN"/>
        </w:rPr>
      </w:pPr>
      <w:r>
        <w:rPr>
          <w:rFonts w:hint="eastAsia"/>
          <w:b/>
          <w:bCs/>
          <w:lang w:val="en-US" w:eastAsia="zh-CN"/>
        </w:rPr>
        <w:t>（3）设施运行要求</w:t>
      </w:r>
    </w:p>
    <w:p w14:paraId="5F72FD45">
      <w:pPr>
        <w:bidi w:val="0"/>
        <w:rPr>
          <w:rFonts w:hint="eastAsia"/>
          <w:lang w:val="en-US" w:eastAsia="zh-CN"/>
        </w:rPr>
      </w:pPr>
      <w:r>
        <w:rPr>
          <w:rFonts w:hint="eastAsia"/>
          <w:lang w:val="en-US" w:eastAsia="zh-CN"/>
        </w:rPr>
        <w:t>项目根据建筑材料产品生产设计要求，年需水泥4.45 万吨:水 2.85 万吨、润滑油 3 吨、絮凝剂 3 吨。</w:t>
      </w:r>
    </w:p>
    <w:p w14:paraId="6378EF3F">
      <w:pPr>
        <w:bidi w:val="0"/>
        <w:rPr>
          <w:rFonts w:hint="eastAsia"/>
          <w:lang w:val="en-US" w:eastAsia="zh-CN"/>
        </w:rPr>
      </w:pPr>
      <w:r>
        <w:rPr>
          <w:rFonts w:hint="eastAsia"/>
          <w:lang w:val="en-US" w:eastAsia="zh-CN"/>
        </w:rPr>
        <w:t>电力：项目供电由石牛江镇供电系统供电。采用单电源供电，供电电压为 380/22 三相四线制，用电负荷为三级，总装机容量2329kw，生产设备总装容量为 2280kw、照明装容量为24kw，全年生产280天数，日工作时间8小时，功率使用取值0.8，项目达产期全年消费电量 417.30 万 kw.h。</w:t>
      </w:r>
    </w:p>
    <w:p w14:paraId="46994535">
      <w:pPr>
        <w:bidi w:val="0"/>
        <w:rPr>
          <w:rFonts w:hint="eastAsia"/>
          <w:lang w:val="en-US" w:eastAsia="zh-CN"/>
        </w:rPr>
      </w:pPr>
      <w:r>
        <w:rPr>
          <w:rFonts w:hint="eastAsia"/>
          <w:lang w:val="en-US" w:eastAsia="zh-CN"/>
        </w:rPr>
        <w:t>用水：本项目用水约3.74万m</w:t>
      </w:r>
      <w:r>
        <w:rPr>
          <w:rFonts w:hint="eastAsia"/>
          <w:vertAlign w:val="superscript"/>
          <w:lang w:val="en-US" w:eastAsia="zh-CN"/>
        </w:rPr>
        <w:t>3</w:t>
      </w:r>
      <w:r>
        <w:rPr>
          <w:rFonts w:hint="eastAsia"/>
          <w:lang w:val="en-US" w:eastAsia="zh-CN"/>
        </w:rPr>
        <w:t>/a，其中生活用水为 1015m</w:t>
      </w:r>
      <w:r>
        <w:rPr>
          <w:rFonts w:hint="eastAsia"/>
          <w:vertAlign w:val="superscript"/>
          <w:lang w:val="en-US" w:eastAsia="zh-CN"/>
        </w:rPr>
        <w:t>3</w:t>
      </w:r>
      <w:r>
        <w:rPr>
          <w:rFonts w:hint="eastAsia"/>
          <w:lang w:val="en-US" w:eastAsia="zh-CN"/>
        </w:rPr>
        <w:t>/a、生产用水为3.64 万m³/a。</w:t>
      </w:r>
    </w:p>
    <w:p w14:paraId="6B38BBC3">
      <w:pPr>
        <w:bidi w:val="0"/>
        <w:rPr>
          <w:rFonts w:hint="default"/>
          <w:lang w:val="en-US" w:eastAsia="zh-CN"/>
        </w:rPr>
      </w:pPr>
      <w:r>
        <w:rPr>
          <w:rFonts w:hint="default"/>
          <w:lang w:val="en-US" w:eastAsia="zh-CN"/>
        </w:rPr>
        <w:t>燃油</w:t>
      </w:r>
      <w:r>
        <w:rPr>
          <w:rFonts w:hint="eastAsia"/>
          <w:lang w:val="en-US" w:eastAsia="zh-CN"/>
        </w:rPr>
        <w:t>：</w:t>
      </w:r>
      <w:r>
        <w:rPr>
          <w:rFonts w:hint="default"/>
          <w:lang w:val="en-US" w:eastAsia="zh-CN"/>
        </w:rPr>
        <w:t>项目设计铲车4台，柴油由当地石油公司提供，每台设备日消费柴油按3</w:t>
      </w:r>
      <w:r>
        <w:rPr>
          <w:rFonts w:hint="eastAsia"/>
          <w:lang w:val="en-US" w:eastAsia="zh-CN"/>
        </w:rPr>
        <w:t>3kg</w:t>
      </w:r>
      <w:r>
        <w:rPr>
          <w:rFonts w:hint="default"/>
          <w:lang w:val="en-US" w:eastAsia="zh-CN"/>
        </w:rPr>
        <w:t>估算，年耗用柴油总量约12吨，能得到充分保证。</w:t>
      </w:r>
    </w:p>
    <w:p w14:paraId="655D5D5C">
      <w:pPr>
        <w:pStyle w:val="3"/>
        <w:bidi w:val="0"/>
        <w:rPr>
          <w:rFonts w:hint="eastAsia" w:ascii="楷体" w:hAnsi="楷体" w:eastAsia="楷体" w:cs="楷体"/>
          <w:sz w:val="28"/>
          <w:szCs w:val="28"/>
          <w:lang w:val="en-US" w:eastAsia="en-US"/>
        </w:rPr>
      </w:pPr>
      <w:bookmarkStart w:id="210" w:name="_Toc31771"/>
      <w:r>
        <w:rPr>
          <w:rFonts w:hint="eastAsia" w:ascii="楷体" w:hAnsi="楷体" w:eastAsia="楷体" w:cs="楷体"/>
          <w:sz w:val="28"/>
          <w:szCs w:val="28"/>
          <w:lang w:val="en-US" w:eastAsia="en-US"/>
        </w:rPr>
        <w:t>（五）建筑垃圾消纳处置</w:t>
      </w:r>
      <w:bookmarkEnd w:id="210"/>
    </w:p>
    <w:p w14:paraId="5E56AE31">
      <w:pPr>
        <w:bidi w:val="0"/>
      </w:pPr>
      <w:r>
        <w:t>针对</w:t>
      </w:r>
      <w:r>
        <w:rPr>
          <w:rFonts w:hint="eastAsia"/>
          <w:lang w:val="en-US" w:eastAsia="zh-CN"/>
        </w:rPr>
        <w:t>桃江县建筑垃圾产生量情况，结合《桃江县国土空间总体规划（2021—2035年）》，在符合</w:t>
      </w:r>
      <w:r>
        <w:t>避开生态敏感区（如水源保护区、自然保护地）和人口密集区</w:t>
      </w:r>
      <w:r>
        <w:rPr>
          <w:rFonts w:hint="eastAsia"/>
          <w:lang w:eastAsia="zh-CN"/>
        </w:rPr>
        <w:t>、</w:t>
      </w:r>
      <w:r>
        <w:t>靠近主干道或货运通道</w:t>
      </w:r>
      <w:r>
        <w:rPr>
          <w:rFonts w:hint="eastAsia"/>
          <w:lang w:eastAsia="zh-CN"/>
        </w:rPr>
        <w:t>、</w:t>
      </w:r>
      <w:r>
        <w:t>优先利用废弃工业用地或低效土地</w:t>
      </w:r>
      <w:r>
        <w:rPr>
          <w:rFonts w:hint="eastAsia"/>
          <w:lang w:val="en-US" w:eastAsia="zh-CN"/>
        </w:rPr>
        <w:t>的条件下，规划新建2个建筑垃圾填埋场</w:t>
      </w:r>
      <w:r>
        <w:t>。</w:t>
      </w:r>
    </w:p>
    <w:p w14:paraId="431DAB6C">
      <w:pPr>
        <w:bidi w:val="0"/>
      </w:pPr>
      <w:r>
        <w:rPr>
          <w:rFonts w:hint="eastAsia"/>
        </w:rPr>
        <w:t>鼓励依法依规充分利用采石场、废弃矿坑等现有条件建设建筑垃圾消纳场。有条件的地区可将消纳场与资源化利用项目统筹建设。选址及建设应依法依规，并应符合《建筑垃圾处理技术标准》（</w:t>
      </w:r>
      <w:r>
        <w:t>CJJ/T 134-2019</w:t>
      </w:r>
      <w:r>
        <w:rPr>
          <w:rFonts w:hint="eastAsia"/>
        </w:rPr>
        <w:t>）和《建筑余泥渣土受纳场建设技术规范》（</w:t>
      </w:r>
      <w:r>
        <w:t>DBJ/T 15-118-2016</w:t>
      </w:r>
      <w:r>
        <w:rPr>
          <w:rFonts w:hint="eastAsia"/>
        </w:rPr>
        <w:t>）相关要求。</w:t>
      </w:r>
    </w:p>
    <w:p w14:paraId="25BD8B9D">
      <w:pPr>
        <w:pStyle w:val="4"/>
        <w:bidi w:val="0"/>
      </w:pPr>
      <w:r>
        <w:rPr>
          <w:rFonts w:hint="eastAsia"/>
          <w:lang w:val="en-US" w:eastAsia="zh-CN"/>
        </w:rPr>
        <w:t>1</w:t>
      </w:r>
      <w:r>
        <w:rPr>
          <w:rFonts w:hint="eastAsia"/>
        </w:rPr>
        <w:t>、建设要求</w:t>
      </w:r>
    </w:p>
    <w:p w14:paraId="799B19DC">
      <w:pPr>
        <w:bidi w:val="0"/>
        <w:rPr>
          <w:lang w:val="en-US" w:eastAsia="zh-CN"/>
        </w:rPr>
      </w:pPr>
      <w:r>
        <w:rPr>
          <w:rFonts w:hint="eastAsia"/>
          <w:lang w:val="en-US" w:eastAsia="zh-CN"/>
        </w:rPr>
        <w:t>（1）消纳场建设应符合当地国土空间规划及其他相关规划。</w:t>
      </w:r>
    </w:p>
    <w:p w14:paraId="7B5CF896">
      <w:pPr>
        <w:bidi w:val="0"/>
        <w:rPr>
          <w:lang w:val="en-US" w:eastAsia="zh-CN"/>
        </w:rPr>
      </w:pPr>
      <w:r>
        <w:rPr>
          <w:rFonts w:hint="eastAsia"/>
          <w:lang w:val="en-US" w:eastAsia="zh-CN"/>
        </w:rPr>
        <w:t>（2）消纳场选址时应开展选址调查与监测、环境影响评价、地质灾害危险性评估。</w:t>
      </w:r>
    </w:p>
    <w:p w14:paraId="73CACA6B">
      <w:pPr>
        <w:bidi w:val="0"/>
        <w:rPr>
          <w:lang w:val="en-US" w:eastAsia="zh-CN"/>
        </w:rPr>
      </w:pPr>
      <w:r>
        <w:rPr>
          <w:rFonts w:hint="eastAsia"/>
          <w:lang w:val="en-US" w:eastAsia="zh-CN"/>
        </w:rPr>
        <w:t>（3）需分期建设的消纳场，其库容及使用年限应根据填埋量、场址条件等因素综合确定。</w:t>
      </w:r>
    </w:p>
    <w:p w14:paraId="0EAE89F1">
      <w:pPr>
        <w:bidi w:val="0"/>
        <w:rPr>
          <w:lang w:val="en-US" w:eastAsia="zh-CN"/>
        </w:rPr>
      </w:pPr>
      <w:r>
        <w:rPr>
          <w:rFonts w:hint="eastAsia"/>
          <w:lang w:val="en-US" w:eastAsia="zh-CN"/>
        </w:rPr>
        <w:t>（4）受纳场的总图设计应根据场址所在地区的自然条件，结合生产、运输、环境保护、职业卫生与劳动安全、职工生活，以及电力、通信、给水排水等设施，经多方案综合比较后确定。</w:t>
      </w:r>
    </w:p>
    <w:p w14:paraId="6909F472">
      <w:pPr>
        <w:bidi w:val="0"/>
        <w:rPr>
          <w:lang w:val="en-US" w:eastAsia="zh-CN"/>
        </w:rPr>
      </w:pPr>
      <w:r>
        <w:rPr>
          <w:rFonts w:hint="eastAsia"/>
          <w:lang w:val="en-US" w:eastAsia="zh-CN"/>
        </w:rPr>
        <w:t>（5）堆填作业过程中，应对各阶段完成的堆体单元进行稳定性评估。</w:t>
      </w:r>
    </w:p>
    <w:p w14:paraId="1636A2C3">
      <w:pPr>
        <w:bidi w:val="0"/>
        <w:rPr>
          <w:lang w:val="en-US" w:eastAsia="zh-CN"/>
        </w:rPr>
      </w:pPr>
      <w:r>
        <w:rPr>
          <w:rFonts w:hint="eastAsia"/>
          <w:lang w:val="en-US" w:eastAsia="zh-CN"/>
        </w:rPr>
        <w:t>（6）受纳场建设工程应对主体工程、配套工程的各分项进行验收。</w:t>
      </w:r>
    </w:p>
    <w:p w14:paraId="2A78F600">
      <w:pPr>
        <w:pStyle w:val="4"/>
        <w:bidi w:val="0"/>
      </w:pPr>
      <w:r>
        <w:rPr>
          <w:rFonts w:hint="eastAsia"/>
          <w:lang w:val="en-US" w:eastAsia="zh-CN"/>
        </w:rPr>
        <w:t>2</w:t>
      </w:r>
      <w:r>
        <w:rPr>
          <w:rFonts w:hint="eastAsia"/>
        </w:rPr>
        <w:t>、运营监管</w:t>
      </w:r>
    </w:p>
    <w:p w14:paraId="68C4925F">
      <w:pPr>
        <w:bidi w:val="0"/>
        <w:rPr>
          <w:rFonts w:hint="eastAsia"/>
        </w:rPr>
      </w:pPr>
      <w:r>
        <w:rPr>
          <w:rFonts w:hint="eastAsia"/>
        </w:rPr>
        <w:t>建筑垃圾消纳场应当遵守下列规定：</w:t>
      </w:r>
    </w:p>
    <w:p w14:paraId="38B1C309">
      <w:pPr>
        <w:bidi w:val="0"/>
        <w:rPr>
          <w:rFonts w:hint="eastAsia"/>
        </w:rPr>
      </w:pPr>
      <w:r>
        <w:rPr>
          <w:rFonts w:hint="eastAsia"/>
        </w:rPr>
        <w:t>（</w:t>
      </w:r>
      <w:r>
        <w:t>1</w:t>
      </w:r>
      <w:r>
        <w:rPr>
          <w:rFonts w:hint="eastAsia"/>
        </w:rPr>
        <w:t>）建立规范完整的生产台账，并定期向区级建筑垃圾主管部门报送数据；</w:t>
      </w:r>
    </w:p>
    <w:p w14:paraId="032EB6A2">
      <w:pPr>
        <w:bidi w:val="0"/>
        <w:rPr>
          <w:rFonts w:hint="eastAsia"/>
        </w:rPr>
      </w:pPr>
      <w:r>
        <w:rPr>
          <w:rFonts w:hint="eastAsia"/>
        </w:rPr>
        <w:t>（</w:t>
      </w:r>
      <w:r>
        <w:t>2</w:t>
      </w:r>
      <w:r>
        <w:rPr>
          <w:rFonts w:hint="eastAsia"/>
        </w:rPr>
        <w:t>）不得超过经核准的堆放容量；</w:t>
      </w:r>
    </w:p>
    <w:p w14:paraId="7A3BA196">
      <w:pPr>
        <w:bidi w:val="0"/>
        <w:rPr>
          <w:rFonts w:hint="eastAsia"/>
        </w:rPr>
      </w:pPr>
      <w:r>
        <w:rPr>
          <w:rFonts w:hint="eastAsia"/>
        </w:rPr>
        <w:t>（</w:t>
      </w:r>
      <w:r>
        <w:t>3</w:t>
      </w:r>
      <w:r>
        <w:rPr>
          <w:rFonts w:hint="eastAsia"/>
        </w:rPr>
        <w:t>）分区、分类堆填，按照有关规定进行作业规划、设计和运营；</w:t>
      </w:r>
    </w:p>
    <w:p w14:paraId="78FA54E1">
      <w:pPr>
        <w:bidi w:val="0"/>
        <w:rPr>
          <w:rFonts w:hint="eastAsia"/>
        </w:rPr>
      </w:pPr>
      <w:r>
        <w:rPr>
          <w:rFonts w:hint="eastAsia"/>
        </w:rPr>
        <w:t>（</w:t>
      </w:r>
      <w:r>
        <w:t>4</w:t>
      </w:r>
      <w:r>
        <w:rPr>
          <w:rFonts w:hint="eastAsia"/>
        </w:rPr>
        <w:t>）不得接收生活垃圾、污泥、河道疏浚底泥、工业垃圾和危险废物等；</w:t>
      </w:r>
    </w:p>
    <w:p w14:paraId="4891E5DE">
      <w:pPr>
        <w:bidi w:val="0"/>
      </w:pPr>
      <w:r>
        <w:rPr>
          <w:rFonts w:hint="eastAsia"/>
        </w:rPr>
        <w:t>（</w:t>
      </w:r>
      <w:r>
        <w:t>5</w:t>
      </w:r>
      <w:r>
        <w:rPr>
          <w:rFonts w:hint="eastAsia"/>
        </w:rPr>
        <w:t>）建立安全管理制度，采取有效措施保障安全生产，防止失稳滑坡、环境污染、水土流失或者其他危害。法律、法规、规章规定的其他要求。</w:t>
      </w:r>
    </w:p>
    <w:p w14:paraId="716CBECC">
      <w:pPr>
        <w:pStyle w:val="4"/>
        <w:bidi w:val="0"/>
      </w:pPr>
      <w:r>
        <w:rPr>
          <w:rFonts w:hint="eastAsia"/>
          <w:lang w:val="en-US" w:eastAsia="zh-CN"/>
        </w:rPr>
        <w:t>3</w:t>
      </w:r>
      <w:r>
        <w:rPr>
          <w:rFonts w:hint="eastAsia"/>
        </w:rPr>
        <w:t>、建设任务</w:t>
      </w:r>
    </w:p>
    <w:p w14:paraId="611932EF">
      <w:pPr>
        <w:bidi w:val="0"/>
        <w:rPr>
          <w:lang w:val="en-US" w:eastAsia="zh-CN"/>
        </w:rPr>
      </w:pPr>
      <w:bookmarkStart w:id="211" w:name="OLE_LINK99"/>
      <w:r>
        <w:rPr>
          <w:rFonts w:hint="eastAsia"/>
          <w:lang w:val="en-US" w:eastAsia="zh-CN"/>
        </w:rPr>
        <w:t>建筑垃圾消纳场主要用于填埋经资源化利用厂处理后无法进一步循环利用的建筑垃圾尾料，以及临时存放符合回填方技术标准，但暂无明确去处的工程渣土。根据《环境卫生设施设置标准》（</w:t>
      </w:r>
      <w:r>
        <w:rPr>
          <w:lang w:val="en-US" w:eastAsia="zh-CN"/>
        </w:rPr>
        <w:t>CJJ 27-2012</w:t>
      </w:r>
      <w:r>
        <w:rPr>
          <w:rFonts w:hint="eastAsia"/>
          <w:lang w:val="en-US" w:eastAsia="zh-CN"/>
        </w:rPr>
        <w:t>）要求，建筑垃圾处理设施使用年限不应小于</w:t>
      </w:r>
      <w:r>
        <w:rPr>
          <w:lang w:val="en-US" w:eastAsia="zh-CN"/>
        </w:rPr>
        <w:t>10</w:t>
      </w:r>
      <w:r>
        <w:rPr>
          <w:rFonts w:hint="eastAsia"/>
          <w:lang w:val="en-US" w:eastAsia="zh-CN"/>
        </w:rPr>
        <w:t>年。同时根据</w:t>
      </w:r>
      <w:bookmarkEnd w:id="211"/>
      <w:r>
        <w:rPr>
          <w:rFonts w:hint="eastAsia"/>
          <w:lang w:val="en-US" w:eastAsia="zh-CN"/>
        </w:rPr>
        <w:t>桃江县建筑垃圾防治具体情况，桃江县近期至少应建有一个库容为</w:t>
      </w:r>
      <w:r>
        <w:rPr>
          <w:lang w:val="en-US" w:eastAsia="zh-CN"/>
        </w:rPr>
        <w:t>10</w:t>
      </w:r>
      <w:r>
        <w:rPr>
          <w:rFonts w:hint="eastAsia"/>
          <w:lang w:val="en-US" w:eastAsia="zh-CN"/>
        </w:rPr>
        <w:t>0万立方米的建筑垃圾填埋消纳场，远期综合消纳场剩余库容、工程回填及土地平整实际需求等情况，再新建一座不低于100万吨的建筑垃圾填埋消纳场，</w:t>
      </w:r>
      <w:r>
        <w:rPr>
          <w:rFonts w:hint="eastAsia" w:ascii="Times New Roman" w:eastAsia="仿宋"/>
          <w:lang w:val="en-US" w:eastAsia="zh-CN"/>
        </w:rPr>
        <w:t>并同步优化运输路线，确保全域消纳能力达标。</w:t>
      </w:r>
    </w:p>
    <w:bookmarkEnd w:id="201"/>
    <w:p w14:paraId="608C4DB6">
      <w:pPr>
        <w:pStyle w:val="2"/>
        <w:bidi w:val="0"/>
        <w:rPr>
          <w:lang w:eastAsia="en-US"/>
        </w:rPr>
      </w:pPr>
      <w:bookmarkStart w:id="212" w:name="bookmark107"/>
      <w:bookmarkEnd w:id="212"/>
      <w:bookmarkStart w:id="213" w:name="bookmark106"/>
      <w:bookmarkEnd w:id="213"/>
      <w:bookmarkStart w:id="214" w:name="bookmark105"/>
      <w:bookmarkEnd w:id="214"/>
      <w:bookmarkStart w:id="215" w:name="bookmark108"/>
      <w:bookmarkEnd w:id="215"/>
      <w:bookmarkStart w:id="216" w:name="_Toc27968"/>
      <w:r>
        <w:rPr>
          <w:rFonts w:hint="eastAsia"/>
          <w:lang w:val="en-US" w:eastAsia="zh-CN"/>
        </w:rPr>
        <w:t>九、</w:t>
      </w:r>
      <w:r>
        <w:rPr>
          <w:lang w:eastAsia="en-US"/>
        </w:rPr>
        <w:t>监督管理规划</w:t>
      </w:r>
      <w:bookmarkEnd w:id="216"/>
    </w:p>
    <w:p w14:paraId="298F43F5">
      <w:pPr>
        <w:pStyle w:val="3"/>
        <w:bidi w:val="0"/>
        <w:rPr>
          <w:rFonts w:hint="eastAsia" w:ascii="楷体" w:hAnsi="楷体" w:eastAsia="楷体" w:cs="楷体"/>
          <w:snapToGrid w:val="0"/>
          <w:color w:val="000000"/>
          <w:kern w:val="0"/>
          <w:sz w:val="28"/>
          <w:szCs w:val="28"/>
          <w:lang w:eastAsia="en-US"/>
        </w:rPr>
      </w:pPr>
      <w:bookmarkStart w:id="217" w:name="bookmark167"/>
      <w:bookmarkEnd w:id="217"/>
      <w:bookmarkStart w:id="218" w:name="_Toc30582"/>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一</w:t>
      </w:r>
      <w:r>
        <w:rPr>
          <w:rFonts w:hint="eastAsia" w:ascii="楷体" w:hAnsi="楷体" w:eastAsia="楷体" w:cs="楷体"/>
          <w:sz w:val="28"/>
          <w:szCs w:val="28"/>
          <w:lang w:eastAsia="zh-CN"/>
        </w:rPr>
        <w:t>）</w:t>
      </w:r>
      <w:r>
        <w:rPr>
          <w:rFonts w:hint="eastAsia" w:ascii="楷体" w:hAnsi="楷体" w:eastAsia="楷体" w:cs="楷体"/>
          <w:sz w:val="28"/>
          <w:szCs w:val="28"/>
          <w:lang w:eastAsia="en-US"/>
        </w:rPr>
        <w:t>管理制度机制建设</w:t>
      </w:r>
      <w:bookmarkEnd w:id="218"/>
    </w:p>
    <w:p w14:paraId="09A7286A">
      <w:pPr>
        <w:bidi w:val="0"/>
        <w:rPr>
          <w:lang w:eastAsia="en-US"/>
        </w:rPr>
      </w:pPr>
      <w:r>
        <w:rPr>
          <w:lang w:eastAsia="en-US"/>
        </w:rPr>
        <w:t>建筑垃圾集中处理涉及面广、环节多，必须建立多部门协作机制。</w:t>
      </w:r>
      <w:r>
        <w:rPr>
          <w:u w:val="single"/>
          <w:lang w:eastAsia="en-US"/>
        </w:rPr>
        <w:t>市城市管理和综合执法主管部门应当与公安、住房城乡建设、生态环境、交通运输等部门</w:t>
      </w:r>
      <w:r>
        <w:rPr>
          <w:lang w:eastAsia="en-US"/>
        </w:rPr>
        <w:t>建立执法联动工作机制，开展建筑垃圾管理联合执法，及时发现和查处违法违规行为，统筹推进建筑垃圾处理项目建设、日常监管及综合利用。</w:t>
      </w:r>
    </w:p>
    <w:p w14:paraId="644395AF">
      <w:pPr>
        <w:pStyle w:val="4"/>
        <w:bidi w:val="0"/>
        <w:rPr>
          <w:lang w:eastAsia="en-US"/>
        </w:rPr>
      </w:pPr>
      <w:r>
        <w:rPr>
          <w:lang w:eastAsia="en-US"/>
        </w:rPr>
        <w:t>1、管理制度</w:t>
      </w:r>
    </w:p>
    <w:p w14:paraId="27A446C4">
      <w:pPr>
        <w:bidi w:val="0"/>
        <w:rPr>
          <w:lang w:eastAsia="en-US"/>
        </w:rPr>
      </w:pPr>
      <w:r>
        <w:rPr>
          <w:lang w:eastAsia="en-US"/>
        </w:rPr>
        <w:t>建筑垃圾管理工作实行</w:t>
      </w:r>
      <w:r>
        <w:rPr>
          <w:rFonts w:hint="eastAsia"/>
          <w:lang w:eastAsia="zh-CN"/>
        </w:rPr>
        <w:t>“</w:t>
      </w:r>
      <w:r>
        <w:rPr>
          <w:lang w:eastAsia="en-US"/>
        </w:rPr>
        <w:t>统一领导、属地为主、统筹规划、分级管理</w:t>
      </w:r>
      <w:r>
        <w:rPr>
          <w:rFonts w:hint="eastAsia"/>
          <w:lang w:eastAsia="zh-CN"/>
        </w:rPr>
        <w:t>”</w:t>
      </w:r>
      <w:r>
        <w:rPr>
          <w:lang w:eastAsia="en-US"/>
        </w:rPr>
        <w:t xml:space="preserve"> 的工作机制，建立健全</w:t>
      </w:r>
      <w:r>
        <w:rPr>
          <w:rFonts w:hint="eastAsia"/>
          <w:lang w:val="en-US" w:eastAsia="zh-CN"/>
        </w:rPr>
        <w:t>县</w:t>
      </w:r>
      <w:r>
        <w:rPr>
          <w:lang w:eastAsia="en-US"/>
        </w:rPr>
        <w:t>、乡镇、村（社区）</w:t>
      </w:r>
      <w:r>
        <w:rPr>
          <w:rFonts w:hint="eastAsia"/>
          <w:lang w:val="en-US" w:eastAsia="zh-CN"/>
        </w:rPr>
        <w:t>三</w:t>
      </w:r>
      <w:r>
        <w:rPr>
          <w:lang w:eastAsia="en-US"/>
        </w:rPr>
        <w:t>级建筑垃圾处置管理网络。</w:t>
      </w:r>
    </w:p>
    <w:p w14:paraId="52D60468">
      <w:pPr>
        <w:bidi w:val="0"/>
        <w:rPr>
          <w:lang w:eastAsia="en-US"/>
        </w:rPr>
      </w:pPr>
      <w:r>
        <w:rPr>
          <w:rFonts w:hint="eastAsia"/>
          <w:u w:val="single"/>
          <w:lang w:val="en-US" w:eastAsia="zh-CN"/>
        </w:rPr>
        <w:t>县</w:t>
      </w:r>
      <w:r>
        <w:rPr>
          <w:u w:val="single"/>
          <w:lang w:eastAsia="en-US"/>
        </w:rPr>
        <w:t>住房和城乡建设</w:t>
      </w:r>
      <w:r>
        <w:rPr>
          <w:rFonts w:hint="eastAsia"/>
          <w:u w:val="single"/>
          <w:lang w:val="en-US" w:eastAsia="zh-CN"/>
        </w:rPr>
        <w:t>、县</w:t>
      </w:r>
      <w:r>
        <w:rPr>
          <w:u w:val="single"/>
          <w:lang w:eastAsia="en-US"/>
        </w:rPr>
        <w:t>城市管理和综合执法部门应当会同</w:t>
      </w:r>
      <w:r>
        <w:rPr>
          <w:rFonts w:hint="eastAsia"/>
          <w:u w:val="single"/>
          <w:lang w:val="en-US" w:eastAsia="zh-CN"/>
        </w:rPr>
        <w:t>县</w:t>
      </w:r>
      <w:r>
        <w:rPr>
          <w:u w:val="single"/>
          <w:lang w:eastAsia="en-US"/>
        </w:rPr>
        <w:t>人民政府</w:t>
      </w:r>
      <w:r>
        <w:rPr>
          <w:lang w:eastAsia="en-US"/>
        </w:rPr>
        <w:t>以及有关部门加强城市建筑垃圾倾倒、运输、中转、消纳、利用等处置活动的综合监管，建立建筑垃圾的考核评价机制，并依法纳入行业监管平台和社会信用体系。</w:t>
      </w:r>
    </w:p>
    <w:p w14:paraId="3A8C848A">
      <w:pPr>
        <w:bidi w:val="0"/>
        <w:rPr>
          <w:lang w:eastAsia="en-US"/>
        </w:rPr>
      </w:pPr>
      <w:r>
        <w:rPr>
          <w:lang w:eastAsia="en-US"/>
        </w:rPr>
        <w:t>各乡镇应建立由行政主要领导为组长的建筑垃圾管理工作领导小组，明确本辖区建筑垃圾管理专门机构，统筹辖区内的建筑垃圾管理工作。</w:t>
      </w:r>
    </w:p>
    <w:p w14:paraId="5F4D0ABF">
      <w:pPr>
        <w:bidi w:val="0"/>
        <w:rPr>
          <w:lang w:eastAsia="en-US"/>
        </w:rPr>
      </w:pPr>
      <w:r>
        <w:rPr>
          <w:lang w:eastAsia="en-US"/>
        </w:rPr>
        <w:t>各村（社区）协助和配合乡镇做好本区域的建筑垃圾宣传、巡查和管理工作，引导居民将建筑垃圾袋装化收集，并集中堆放至指定堆放点。对违法行为及时制止，及时向属地乡镇管理部门反映。</w:t>
      </w:r>
    </w:p>
    <w:p w14:paraId="6D99069A">
      <w:pPr>
        <w:pStyle w:val="4"/>
        <w:bidi w:val="0"/>
        <w:rPr>
          <w:lang w:eastAsia="en-US"/>
        </w:rPr>
      </w:pPr>
      <w:r>
        <w:rPr>
          <w:lang w:eastAsia="en-US"/>
        </w:rPr>
        <w:t>2、联合执法制度</w:t>
      </w:r>
    </w:p>
    <w:p w14:paraId="3366228B">
      <w:pPr>
        <w:bidi w:val="0"/>
        <w:rPr>
          <w:lang w:eastAsia="en-US"/>
        </w:rPr>
      </w:pPr>
      <w:bookmarkStart w:id="219" w:name="OLE_LINK102"/>
      <w:bookmarkStart w:id="220" w:name="OLE_LINK101"/>
      <w:bookmarkStart w:id="221" w:name="OLE_LINK105"/>
      <w:r>
        <w:rPr>
          <w:rFonts w:hint="eastAsia"/>
          <w:u w:val="single"/>
          <w:lang w:val="en-US" w:eastAsia="zh-CN"/>
        </w:rPr>
        <w:t>县</w:t>
      </w:r>
      <w:bookmarkEnd w:id="219"/>
      <w:r>
        <w:rPr>
          <w:u w:val="single"/>
          <w:lang w:eastAsia="en-US"/>
        </w:rPr>
        <w:t>住房和城乡建设</w:t>
      </w:r>
      <w:bookmarkEnd w:id="220"/>
      <w:r>
        <w:rPr>
          <w:u w:val="single"/>
          <w:lang w:eastAsia="en-US"/>
        </w:rPr>
        <w:t>局</w:t>
      </w:r>
      <w:bookmarkEnd w:id="221"/>
      <w:r>
        <w:rPr>
          <w:u w:val="single"/>
          <w:lang w:eastAsia="en-US"/>
        </w:rPr>
        <w:t>、</w:t>
      </w:r>
      <w:r>
        <w:rPr>
          <w:rFonts w:hint="eastAsia"/>
          <w:u w:val="single"/>
          <w:lang w:val="en-US" w:eastAsia="zh-CN"/>
        </w:rPr>
        <w:t>县</w:t>
      </w:r>
      <w:r>
        <w:rPr>
          <w:u w:val="single"/>
          <w:lang w:eastAsia="en-US"/>
        </w:rPr>
        <w:t>城市管理和综合执法局、</w:t>
      </w:r>
      <w:r>
        <w:rPr>
          <w:rFonts w:hint="eastAsia"/>
          <w:u w:val="single"/>
          <w:lang w:val="en-US" w:eastAsia="zh-CN"/>
        </w:rPr>
        <w:t>县</w:t>
      </w:r>
      <w:r>
        <w:rPr>
          <w:u w:val="single"/>
          <w:lang w:eastAsia="en-US"/>
        </w:rPr>
        <w:t>生态环境局、</w:t>
      </w:r>
      <w:r>
        <w:rPr>
          <w:rFonts w:hint="eastAsia"/>
          <w:u w:val="single"/>
          <w:lang w:val="en-US" w:eastAsia="zh-CN"/>
        </w:rPr>
        <w:t>县自然资源局</w:t>
      </w:r>
      <w:r>
        <w:rPr>
          <w:u w:val="single"/>
          <w:lang w:eastAsia="en-US"/>
        </w:rPr>
        <w:t>、</w:t>
      </w:r>
      <w:r>
        <w:rPr>
          <w:rFonts w:hint="eastAsia"/>
          <w:u w:val="single"/>
          <w:lang w:val="en-US" w:eastAsia="zh-CN"/>
        </w:rPr>
        <w:t>县</w:t>
      </w:r>
      <w:r>
        <w:rPr>
          <w:u w:val="single"/>
          <w:lang w:eastAsia="en-US"/>
        </w:rPr>
        <w:t>交通运输局、</w:t>
      </w:r>
      <w:r>
        <w:rPr>
          <w:rFonts w:hint="eastAsia"/>
          <w:u w:val="single"/>
          <w:lang w:val="en-US" w:eastAsia="zh-CN"/>
        </w:rPr>
        <w:t>县</w:t>
      </w:r>
      <w:r>
        <w:rPr>
          <w:u w:val="single"/>
          <w:lang w:eastAsia="en-US"/>
        </w:rPr>
        <w:t>公安局等部门</w:t>
      </w:r>
      <w:r>
        <w:rPr>
          <w:lang w:eastAsia="en-US"/>
        </w:rPr>
        <w:t>应全面落实联勤联动机制，在切实强化日常执法管理的基础上，常态化开展联合执法行动，畅通信息共享、案件移送等渠道。优化办案流程，严厉打击私自排放、违规运输、随意倾倒建筑垃圾等违法违规行为。对违法倾倒建筑垃圾行为，除追究运输单位责任外，同步追究工程建设单位、施工单位和建筑垃圾利用、处置单位相关责任，并依法依规纳入信用管理。</w:t>
      </w:r>
    </w:p>
    <w:p w14:paraId="2D4E7AB0">
      <w:pPr>
        <w:pStyle w:val="4"/>
        <w:bidi w:val="0"/>
        <w:rPr>
          <w:lang w:val="en-US" w:eastAsia="en-US"/>
        </w:rPr>
      </w:pPr>
      <w:r>
        <w:rPr>
          <w:lang w:eastAsia="en-US"/>
        </w:rPr>
        <w:t>3、转移联单制度</w:t>
      </w:r>
    </w:p>
    <w:p w14:paraId="6BA192F5">
      <w:pPr>
        <w:bidi w:val="0"/>
        <w:rPr>
          <w:lang w:eastAsia="en-US"/>
        </w:rPr>
      </w:pPr>
      <w:r>
        <w:rPr>
          <w:lang w:eastAsia="en-US"/>
        </w:rPr>
        <w:t>建筑垃圾转移实施联单管理制度，转移联单内容包括排放单位、排放地址、建筑垃圾类别及数量、运输单位、运输工具、驾驶员、行驶路线、运输时间、消纳单位、消纳方式和排放、运输、消纳核准等信息， 自运输车辆离开排放单位时开始运转，到达预定消纳单位时结束。排放单位、运输单位和消纳单位应当分别指定工作人员在各自负责环节进行联单信息核对、确认，各联单确认人是联单管理的直接责任人。转移联单形式推行电子联单信息化管理，因条件等限制不能实施信息化管理的，应当采取纸质联单管理留存备查。</w:t>
      </w:r>
    </w:p>
    <w:p w14:paraId="59190E0C">
      <w:pPr>
        <w:pStyle w:val="4"/>
        <w:bidi w:val="0"/>
        <w:rPr>
          <w:lang w:eastAsia="en-US"/>
        </w:rPr>
      </w:pPr>
      <w:r>
        <w:rPr>
          <w:lang w:eastAsia="en-US"/>
        </w:rPr>
        <w:t>4、建筑垃圾处置核准制度</w:t>
      </w:r>
    </w:p>
    <w:p w14:paraId="4B875225">
      <w:pPr>
        <w:bidi w:val="0"/>
        <w:rPr>
          <w:lang w:eastAsia="en-US"/>
        </w:rPr>
      </w:pPr>
      <w:r>
        <w:rPr>
          <w:lang w:eastAsia="en-US"/>
        </w:rPr>
        <w:t>从事建筑垃圾处置活动的单位，应当向</w:t>
      </w:r>
      <w:r>
        <w:rPr>
          <w:rFonts w:hint="eastAsia"/>
          <w:u w:val="single"/>
          <w:lang w:val="en-US" w:eastAsia="zh-CN"/>
        </w:rPr>
        <w:t>县</w:t>
      </w:r>
      <w:r>
        <w:rPr>
          <w:u w:val="single"/>
          <w:lang w:eastAsia="en-US"/>
        </w:rPr>
        <w:t>城市管理和综合执法部门</w:t>
      </w:r>
      <w:r>
        <w:rPr>
          <w:lang w:eastAsia="en-US"/>
        </w:rPr>
        <w:t>提出申请，办理建筑垃圾处置，许可包括产生许可、运输许可和处置许可。工程施工单位应编制建筑垃圾处置方案，报</w:t>
      </w:r>
      <w:bookmarkStart w:id="222" w:name="OLE_LINK103"/>
      <w:r>
        <w:rPr>
          <w:rFonts w:hint="eastAsia"/>
          <w:u w:val="single"/>
          <w:lang w:val="en-US" w:eastAsia="zh-CN"/>
        </w:rPr>
        <w:t>县</w:t>
      </w:r>
      <w:bookmarkEnd w:id="222"/>
      <w:r>
        <w:rPr>
          <w:u w:val="single"/>
          <w:lang w:eastAsia="en-US"/>
        </w:rPr>
        <w:t>城市管理和综合执法部门</w:t>
      </w:r>
      <w:r>
        <w:rPr>
          <w:lang w:eastAsia="en-US"/>
        </w:rPr>
        <w:t>备案。</w:t>
      </w:r>
    </w:p>
    <w:p w14:paraId="34086824">
      <w:pPr>
        <w:pStyle w:val="4"/>
        <w:bidi w:val="0"/>
        <w:rPr>
          <w:lang w:eastAsia="en-US"/>
        </w:rPr>
      </w:pPr>
      <w:r>
        <w:rPr>
          <w:lang w:eastAsia="en-US"/>
        </w:rPr>
        <w:t>5、市场准入机制</w:t>
      </w:r>
    </w:p>
    <w:p w14:paraId="1F2796BA">
      <w:pPr>
        <w:bidi w:val="0"/>
        <w:rPr>
          <w:lang w:eastAsia="en-US"/>
        </w:rPr>
      </w:pPr>
      <w:r>
        <w:rPr>
          <w:lang w:eastAsia="en-US"/>
        </w:rPr>
        <w:t>从事建筑垃圾收运、处理的企业，从企业规模、车辆配置要求、环保要求等多方面划定行业准入门槛。通过资质管控，一方面逐步提高处理企业的资源化利用水平，另一方面逐步提高运输企业的规范性，逐步淘汰不符合要求的企业及运输车辆。</w:t>
      </w:r>
    </w:p>
    <w:p w14:paraId="37922094">
      <w:pPr>
        <w:pStyle w:val="4"/>
        <w:bidi w:val="0"/>
        <w:rPr>
          <w:lang w:eastAsia="en-US"/>
        </w:rPr>
      </w:pPr>
      <w:r>
        <w:rPr>
          <w:lang w:eastAsia="en-US"/>
        </w:rPr>
        <w:t>6、运输监督机制</w:t>
      </w:r>
    </w:p>
    <w:p w14:paraId="79CA31A7">
      <w:pPr>
        <w:bidi w:val="0"/>
        <w:rPr>
          <w:lang w:eastAsia="en-US"/>
        </w:rPr>
      </w:pPr>
      <w:r>
        <w:rPr>
          <w:lang w:eastAsia="en-US"/>
        </w:rPr>
        <w:t>逐步完善车辆定位系统和视频监视装置，建筑垃圾运输车的年检由</w:t>
      </w:r>
      <w:r>
        <w:rPr>
          <w:rFonts w:hint="eastAsia"/>
          <w:lang w:val="en-US" w:eastAsia="zh-CN"/>
        </w:rPr>
        <w:t>桃江县</w:t>
      </w:r>
      <w:r>
        <w:rPr>
          <w:lang w:eastAsia="en-US"/>
        </w:rPr>
        <w:t>机动车检验机构结合机动车辆安全技术检验（包括新车上牌检验）、营运车辆综合性能检验中相关检验项目进行。运输单位应按核准的路线和时间行驶，至批准的地点处理处置建筑垃圾，运输过程中不得超重、超载、超速。</w:t>
      </w:r>
    </w:p>
    <w:p w14:paraId="1A7EE010">
      <w:pPr>
        <w:pStyle w:val="4"/>
        <w:bidi w:val="0"/>
        <w:rPr>
          <w:lang w:eastAsia="zh-CN"/>
        </w:rPr>
      </w:pPr>
      <w:r>
        <w:rPr>
          <w:rFonts w:hint="eastAsia"/>
          <w:lang w:val="en-US" w:eastAsia="zh-CN"/>
        </w:rPr>
        <w:t>7、</w:t>
      </w:r>
      <w:r>
        <w:rPr>
          <w:lang w:eastAsia="zh-CN"/>
        </w:rPr>
        <w:t>生态环境补偿制度</w:t>
      </w:r>
    </w:p>
    <w:p w14:paraId="541AEEE6">
      <w:pPr>
        <w:bidi w:val="0"/>
        <w:rPr>
          <w:lang w:eastAsia="zh-CN"/>
        </w:rPr>
      </w:pPr>
      <w:r>
        <w:rPr>
          <w:lang w:eastAsia="zh-CN"/>
        </w:rPr>
        <w:t>按照</w:t>
      </w:r>
      <w:r>
        <w:rPr>
          <w:rFonts w:hint="eastAsia"/>
          <w:lang w:eastAsia="zh-CN"/>
        </w:rPr>
        <w:t>“</w:t>
      </w:r>
      <w:r>
        <w:rPr>
          <w:lang w:eastAsia="zh-CN"/>
        </w:rPr>
        <w:t>谁产生谁治理、谁污染谁付费</w:t>
      </w:r>
      <w:r>
        <w:rPr>
          <w:rFonts w:hint="eastAsia"/>
          <w:lang w:eastAsia="zh-CN"/>
        </w:rPr>
        <w:t>”</w:t>
      </w:r>
      <w:r>
        <w:rPr>
          <w:lang w:eastAsia="zh-CN"/>
        </w:rPr>
        <w:t>的原则探索建立相关制度，引导社会资本参与建筑垃圾专用消纳场地建设和投资，结合市场标准和双方协商确定收费依据，推动建筑垃圾运输和处置市场规范化发展。</w:t>
      </w:r>
    </w:p>
    <w:p w14:paraId="71542BEA">
      <w:pPr>
        <w:pStyle w:val="4"/>
        <w:bidi w:val="0"/>
        <w:rPr>
          <w:lang w:eastAsia="zh-CN"/>
        </w:rPr>
      </w:pPr>
      <w:r>
        <w:rPr>
          <w:rFonts w:hint="eastAsia"/>
          <w:lang w:val="en-US" w:eastAsia="zh-CN"/>
        </w:rPr>
        <w:t>8、</w:t>
      </w:r>
      <w:r>
        <w:rPr>
          <w:lang w:eastAsia="zh-CN"/>
        </w:rPr>
        <w:t>投诉举报制度</w:t>
      </w:r>
    </w:p>
    <w:p w14:paraId="0E4A0F90">
      <w:pPr>
        <w:bidi w:val="0"/>
        <w:rPr>
          <w:lang w:eastAsia="zh-CN"/>
        </w:rPr>
      </w:pPr>
      <w:r>
        <w:rPr>
          <w:rFonts w:hint="eastAsia" w:ascii="仿宋" w:hAnsi="仿宋" w:eastAsia="仿宋" w:cs="仿宋"/>
          <w:u w:val="single"/>
          <w:lang w:val="en-US" w:eastAsia="zh-CN"/>
        </w:rPr>
        <w:t>县</w:t>
      </w:r>
      <w:r>
        <w:rPr>
          <w:u w:val="single"/>
          <w:lang w:eastAsia="en-US"/>
        </w:rPr>
        <w:t>住房和城乡建设局</w:t>
      </w:r>
      <w:r>
        <w:rPr>
          <w:lang w:eastAsia="zh-CN"/>
        </w:rPr>
        <w:t>建立完善投诉举报制度</w:t>
      </w:r>
      <w:bookmarkStart w:id="223" w:name="OLE_LINK104"/>
      <w:r>
        <w:rPr>
          <w:lang w:eastAsia="zh-CN"/>
        </w:rPr>
        <w:t>，接受公众对非法处置建筑垃圾行为的投诉和举报，</w:t>
      </w:r>
      <w:bookmarkEnd w:id="223"/>
      <w:r>
        <w:rPr>
          <w:lang w:eastAsia="zh-CN"/>
        </w:rPr>
        <w:t>并为投诉人或者举报人保密。对群众举报、媒体曝光、上级部门转办或其他部门移交查处的施工车辆撒漏、乱倒案件等及时调查处理，对责任单位书面责成其限时清理，并及时消除影响和隐患。</w:t>
      </w:r>
    </w:p>
    <w:p w14:paraId="58FF28C1">
      <w:pPr>
        <w:pStyle w:val="3"/>
        <w:bidi w:val="0"/>
        <w:rPr>
          <w:rFonts w:hint="eastAsia" w:ascii="楷体" w:hAnsi="楷体" w:eastAsia="楷体" w:cs="楷体"/>
          <w:sz w:val="28"/>
          <w:szCs w:val="28"/>
          <w:lang w:eastAsia="en-US"/>
        </w:rPr>
      </w:pPr>
      <w:bookmarkStart w:id="224" w:name="bookmark109"/>
      <w:bookmarkEnd w:id="224"/>
      <w:bookmarkStart w:id="225" w:name="bookmark110"/>
      <w:bookmarkEnd w:id="225"/>
      <w:bookmarkStart w:id="226" w:name="_Toc5779"/>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二</w:t>
      </w:r>
      <w:r>
        <w:rPr>
          <w:rFonts w:hint="eastAsia" w:ascii="楷体" w:hAnsi="楷体" w:eastAsia="楷体" w:cs="楷体"/>
          <w:sz w:val="28"/>
          <w:szCs w:val="28"/>
          <w:lang w:eastAsia="zh-CN"/>
        </w:rPr>
        <w:t>）</w:t>
      </w:r>
      <w:r>
        <w:rPr>
          <w:rFonts w:hint="eastAsia" w:ascii="楷体" w:hAnsi="楷体" w:eastAsia="楷体" w:cs="楷体"/>
          <w:sz w:val="28"/>
          <w:szCs w:val="28"/>
          <w:lang w:eastAsia="en-US"/>
        </w:rPr>
        <w:t>部门协同监管规划</w:t>
      </w:r>
      <w:bookmarkEnd w:id="226"/>
    </w:p>
    <w:p w14:paraId="33993AA3">
      <w:pPr>
        <w:pStyle w:val="4"/>
        <w:bidi w:val="0"/>
        <w:rPr>
          <w:lang w:eastAsia="en-US"/>
        </w:rPr>
      </w:pPr>
      <w:r>
        <w:rPr>
          <w:rFonts w:hint="eastAsia"/>
          <w:lang w:val="en-US" w:eastAsia="zh-CN"/>
        </w:rPr>
        <w:t>1</w:t>
      </w:r>
      <w:r>
        <w:rPr>
          <w:lang w:eastAsia="en-US"/>
        </w:rPr>
        <w:t>、</w:t>
      </w:r>
      <w:r>
        <w:rPr>
          <w:rFonts w:hint="eastAsia"/>
          <w:lang w:val="en-US" w:eastAsia="zh-CN"/>
        </w:rPr>
        <w:t>县</w:t>
      </w:r>
      <w:r>
        <w:rPr>
          <w:lang w:eastAsia="en-US"/>
        </w:rPr>
        <w:t>住房城乡建设部门</w:t>
      </w:r>
    </w:p>
    <w:p w14:paraId="353A94F6">
      <w:pPr>
        <w:bidi w:val="0"/>
        <w:rPr>
          <w:lang w:eastAsia="en-US"/>
        </w:rPr>
      </w:pPr>
      <w:r>
        <w:rPr>
          <w:lang w:eastAsia="en-US"/>
        </w:rPr>
        <w:t>（1）指导、协调、监督全</w:t>
      </w:r>
      <w:bookmarkStart w:id="227" w:name="OLE_LINK106"/>
      <w:r>
        <w:rPr>
          <w:rFonts w:hint="eastAsia"/>
          <w:lang w:val="en-US" w:eastAsia="zh-CN"/>
        </w:rPr>
        <w:t>县</w:t>
      </w:r>
      <w:bookmarkEnd w:id="227"/>
      <w:r>
        <w:rPr>
          <w:lang w:eastAsia="en-US"/>
        </w:rPr>
        <w:t>城市建筑垃圾管理和资源化利用工作，建立健全协同监管工作机制。</w:t>
      </w:r>
    </w:p>
    <w:p w14:paraId="5BA2A65F">
      <w:pPr>
        <w:bidi w:val="0"/>
        <w:rPr>
          <w:lang w:eastAsia="en-US"/>
        </w:rPr>
      </w:pPr>
      <w:r>
        <w:rPr>
          <w:lang w:eastAsia="en-US"/>
        </w:rPr>
        <w:t>（</w:t>
      </w:r>
      <w:r>
        <w:rPr>
          <w:rFonts w:hint="eastAsia"/>
          <w:lang w:val="en-US" w:eastAsia="zh-CN"/>
        </w:rPr>
        <w:t>2</w:t>
      </w:r>
      <w:r>
        <w:rPr>
          <w:lang w:eastAsia="en-US"/>
        </w:rPr>
        <w:t>）加强全</w:t>
      </w:r>
      <w:bookmarkStart w:id="228" w:name="OLE_LINK107"/>
      <w:r>
        <w:rPr>
          <w:rFonts w:hint="eastAsia" w:ascii="仿宋" w:hAnsi="仿宋" w:eastAsia="仿宋" w:cs="仿宋"/>
          <w:lang w:val="en-US" w:eastAsia="zh-CN"/>
        </w:rPr>
        <w:t>县</w:t>
      </w:r>
      <w:bookmarkEnd w:id="228"/>
      <w:r>
        <w:rPr>
          <w:lang w:eastAsia="en-US"/>
        </w:rPr>
        <w:t>房屋市政工程建筑垃圾源头管控，督促建设单位将建筑垃圾减量化目标和要求纳入工程设计、施工招标文件和相关合同文本，将建筑垃圾减量化措施费纳入工程概算。</w:t>
      </w:r>
    </w:p>
    <w:p w14:paraId="44653BAB">
      <w:pPr>
        <w:bidi w:val="0"/>
        <w:rPr>
          <w:lang w:eastAsia="en-US"/>
        </w:rPr>
      </w:pPr>
      <w:r>
        <w:rPr>
          <w:lang w:eastAsia="en-US"/>
        </w:rPr>
        <w:t>（</w:t>
      </w:r>
      <w:r>
        <w:rPr>
          <w:rFonts w:hint="eastAsia"/>
          <w:lang w:val="en-US" w:eastAsia="zh-CN"/>
        </w:rPr>
        <w:t>3</w:t>
      </w:r>
      <w:r>
        <w:rPr>
          <w:lang w:eastAsia="en-US"/>
        </w:rPr>
        <w:t>）组织施工图审查机构对施工图设计文件涉及建筑垃圾源头减量内容及相关技术措施进行审查。</w:t>
      </w:r>
    </w:p>
    <w:p w14:paraId="0680BD08">
      <w:pPr>
        <w:bidi w:val="0"/>
        <w:rPr>
          <w:lang w:eastAsia="en-US"/>
        </w:rPr>
      </w:pPr>
      <w:r>
        <w:rPr>
          <w:lang w:eastAsia="en-US"/>
        </w:rPr>
        <w:t>（</w:t>
      </w:r>
      <w:r>
        <w:rPr>
          <w:rFonts w:hint="eastAsia"/>
          <w:lang w:val="en-US" w:eastAsia="zh-CN"/>
        </w:rPr>
        <w:t>4</w:t>
      </w:r>
      <w:r>
        <w:rPr>
          <w:lang w:eastAsia="en-US"/>
        </w:rPr>
        <w:t>）</w:t>
      </w:r>
      <w:bookmarkStart w:id="229" w:name="OLE_LINK108"/>
      <w:r>
        <w:rPr>
          <w:lang w:eastAsia="en-US"/>
        </w:rPr>
        <w:t>将建筑垃圾源头管理落实情况纳入属地项目施工日常监督等内容，对不按图纸进行施工、未落实源头减量措施等行为视情形依法责令限期整改、信用惩戒，及时向</w:t>
      </w:r>
      <w:bookmarkEnd w:id="229"/>
      <w:bookmarkStart w:id="230" w:name="OLE_LINK109"/>
      <w:r>
        <w:rPr>
          <w:rFonts w:hint="eastAsia"/>
          <w:lang w:val="en-US" w:eastAsia="zh-CN"/>
        </w:rPr>
        <w:t>县</w:t>
      </w:r>
      <w:bookmarkEnd w:id="230"/>
      <w:r>
        <w:rPr>
          <w:lang w:eastAsia="en-US"/>
        </w:rPr>
        <w:t>城市管理和综合执法部门移送违法违规线索。</w:t>
      </w:r>
    </w:p>
    <w:p w14:paraId="1F782196">
      <w:pPr>
        <w:bidi w:val="0"/>
        <w:rPr>
          <w:lang w:eastAsia="en-US"/>
        </w:rPr>
      </w:pPr>
      <w:r>
        <w:rPr>
          <w:lang w:eastAsia="en-US"/>
        </w:rPr>
        <w:t>（</w:t>
      </w:r>
      <w:r>
        <w:rPr>
          <w:rFonts w:hint="eastAsia"/>
          <w:lang w:val="en-US" w:eastAsia="zh-CN"/>
        </w:rPr>
        <w:t>5</w:t>
      </w:r>
      <w:r>
        <w:rPr>
          <w:lang w:eastAsia="en-US"/>
        </w:rPr>
        <w:t>）督促施工单位编制建筑垃圾处理方案，并报市城市管理和综合执法部门备案。督促施工单位建立建筑垃圾排放公示制度，在施工现场显著位置公示建筑垃圾处置核准（产生）证明及建筑垃圾种类、排放量、运输及处置方案等。督促施工单位执行建筑垃圾源头减量限额排放标准，施工现场落实分类收集、分类堆放。督促施工单位配备建筑垃圾计量设备，建立完整规范的建筑垃圾信息化管理台账。</w:t>
      </w:r>
    </w:p>
    <w:p w14:paraId="06FCB58B">
      <w:pPr>
        <w:bidi w:val="0"/>
        <w:rPr>
          <w:lang w:eastAsia="en-US"/>
        </w:rPr>
      </w:pPr>
      <w:r>
        <w:rPr>
          <w:lang w:eastAsia="en-US"/>
        </w:rPr>
        <w:t>（</w:t>
      </w:r>
      <w:r>
        <w:rPr>
          <w:rFonts w:hint="eastAsia"/>
          <w:lang w:val="en-US" w:eastAsia="zh-CN"/>
        </w:rPr>
        <w:t>6</w:t>
      </w:r>
      <w:r>
        <w:rPr>
          <w:lang w:eastAsia="en-US"/>
        </w:rPr>
        <w:t>）及时采集和定期发布建筑垃圾再生产品价格信息；将建筑垃圾管理和资源化利用工作落实情况作为文明施工内容纳入建筑施工安全质量标准化考评；将建筑垃圾再生产品使用情况纳入绿色建筑星级评定、绿色施工工地确定、绿色建造项目评定等内容。</w:t>
      </w:r>
    </w:p>
    <w:p w14:paraId="68B05929">
      <w:pPr>
        <w:bidi w:val="0"/>
        <w:rPr>
          <w:lang w:eastAsia="en-US"/>
        </w:rPr>
      </w:pPr>
      <w:r>
        <w:rPr>
          <w:lang w:eastAsia="en-US"/>
        </w:rPr>
        <w:t>（</w:t>
      </w:r>
      <w:r>
        <w:rPr>
          <w:rFonts w:hint="eastAsia"/>
          <w:lang w:val="en-US" w:eastAsia="zh-CN"/>
        </w:rPr>
        <w:t>7</w:t>
      </w:r>
      <w:r>
        <w:rPr>
          <w:lang w:eastAsia="en-US"/>
        </w:rPr>
        <w:t>）制定出台再生产品强制应用、建筑垃圾再生产品重点推广应用项目清单等配套政策，并会同相关部门监督落实。</w:t>
      </w:r>
    </w:p>
    <w:p w14:paraId="698EDA1A">
      <w:pPr>
        <w:bidi w:val="0"/>
        <w:rPr>
          <w:lang w:eastAsia="en-US"/>
        </w:rPr>
      </w:pPr>
      <w:r>
        <w:rPr>
          <w:lang w:eastAsia="en-US"/>
        </w:rPr>
        <w:t>（</w:t>
      </w:r>
      <w:r>
        <w:rPr>
          <w:rFonts w:hint="eastAsia"/>
          <w:lang w:val="en-US" w:eastAsia="zh-CN"/>
        </w:rPr>
        <w:t>8</w:t>
      </w:r>
      <w:r>
        <w:rPr>
          <w:lang w:eastAsia="en-US"/>
        </w:rPr>
        <w:t>）指导建筑垃圾再生产品在房屋市政工程建设领域的应用推广，在国有投资的房屋市政建设项目中优先使用符合技术指标、设计要求的建筑垃圾再生产品。</w:t>
      </w:r>
    </w:p>
    <w:p w14:paraId="6161619C">
      <w:pPr>
        <w:bidi w:val="0"/>
        <w:rPr>
          <w:lang w:eastAsia="en-US"/>
        </w:rPr>
      </w:pPr>
      <w:r>
        <w:rPr>
          <w:lang w:eastAsia="en-US"/>
        </w:rPr>
        <w:t>（</w:t>
      </w:r>
      <w:r>
        <w:rPr>
          <w:rFonts w:hint="eastAsia"/>
          <w:lang w:val="en-US" w:eastAsia="zh-CN"/>
        </w:rPr>
        <w:t>9</w:t>
      </w:r>
      <w:r>
        <w:rPr>
          <w:lang w:eastAsia="en-US"/>
        </w:rPr>
        <w:t>）加强工程投资额在30万元以上或者装饰装修面积在300平方米以上装饰装修工程的日常监管，并指导申请人完善报建手续，做好装饰装修工程中产生的建筑垃圾的资源化利用。</w:t>
      </w:r>
    </w:p>
    <w:p w14:paraId="28FB4991">
      <w:pPr>
        <w:bidi w:val="0"/>
        <w:rPr>
          <w:lang w:eastAsia="en-US"/>
        </w:rPr>
      </w:pPr>
      <w:r>
        <w:rPr>
          <w:lang w:eastAsia="en-US"/>
        </w:rPr>
        <w:t>（</w:t>
      </w:r>
      <w:r>
        <w:rPr>
          <w:rFonts w:hint="eastAsia"/>
          <w:lang w:val="en-US" w:eastAsia="zh-CN"/>
        </w:rPr>
        <w:t>10</w:t>
      </w:r>
      <w:r>
        <w:rPr>
          <w:lang w:eastAsia="en-US"/>
        </w:rPr>
        <w:t>）指导和督促物业服务企业做好物业小区建筑垃圾分类管理和处置工作，及时向城市管理和综合执法部门移送违法违规线索。</w:t>
      </w:r>
    </w:p>
    <w:p w14:paraId="78252239">
      <w:pPr>
        <w:bidi w:val="0"/>
        <w:rPr>
          <w:lang w:eastAsia="en-US"/>
        </w:rPr>
      </w:pPr>
      <w:r>
        <w:rPr>
          <w:lang w:eastAsia="en-US"/>
        </w:rPr>
        <w:t>（</w:t>
      </w:r>
      <w:r>
        <w:rPr>
          <w:rFonts w:hint="eastAsia"/>
          <w:lang w:val="en-US" w:eastAsia="zh-CN"/>
        </w:rPr>
        <w:t>11</w:t>
      </w:r>
      <w:r>
        <w:rPr>
          <w:lang w:eastAsia="en-US"/>
        </w:rPr>
        <w:t>）及时提供建筑垃圾管理相关信息，实现信息互通共享。</w:t>
      </w:r>
    </w:p>
    <w:p w14:paraId="3076A262">
      <w:pPr>
        <w:pStyle w:val="4"/>
        <w:bidi w:val="0"/>
        <w:rPr>
          <w:lang w:eastAsia="en-US"/>
        </w:rPr>
      </w:pPr>
      <w:r>
        <w:rPr>
          <w:rFonts w:hint="eastAsia"/>
          <w:lang w:val="en-US" w:eastAsia="zh-CN"/>
        </w:rPr>
        <w:t>2</w:t>
      </w:r>
      <w:r>
        <w:rPr>
          <w:lang w:eastAsia="en-US"/>
        </w:rPr>
        <w:t>、</w:t>
      </w:r>
      <w:r>
        <w:rPr>
          <w:rFonts w:hint="eastAsia"/>
          <w:lang w:val="en-US" w:eastAsia="zh-CN"/>
        </w:rPr>
        <w:t>县</w:t>
      </w:r>
      <w:r>
        <w:rPr>
          <w:lang w:eastAsia="en-US"/>
        </w:rPr>
        <w:t>城市管理和综合执法部门</w:t>
      </w:r>
    </w:p>
    <w:p w14:paraId="53037EC6">
      <w:pPr>
        <w:bidi w:val="0"/>
        <w:rPr>
          <w:rFonts w:hint="eastAsia" w:ascii="仿宋" w:hAnsi="仿宋" w:eastAsia="仿宋" w:cs="仿宋"/>
          <w:lang w:eastAsia="en-US"/>
        </w:rPr>
      </w:pPr>
      <w:r>
        <w:rPr>
          <w:lang w:eastAsia="en-US"/>
        </w:rPr>
        <w:t>（</w:t>
      </w:r>
      <w:r>
        <w:rPr>
          <w:rFonts w:hint="eastAsia"/>
          <w:lang w:val="en-US" w:eastAsia="zh-CN"/>
        </w:rPr>
        <w:t>1</w:t>
      </w:r>
      <w:r>
        <w:rPr>
          <w:lang w:eastAsia="en-US"/>
        </w:rPr>
        <w:t>）</w:t>
      </w:r>
      <w:r>
        <w:rPr>
          <w:rFonts w:hint="eastAsia" w:ascii="仿宋" w:hAnsi="仿宋" w:eastAsia="仿宋" w:cs="仿宋"/>
          <w:lang w:eastAsia="en-US"/>
        </w:rPr>
        <w:t>对</w:t>
      </w:r>
      <w:r>
        <w:rPr>
          <w:rFonts w:hint="eastAsia" w:ascii="仿宋" w:hAnsi="仿宋" w:eastAsia="仿宋" w:cs="仿宋"/>
          <w:lang w:val="en-US" w:eastAsia="zh-CN"/>
        </w:rPr>
        <w:t>县</w:t>
      </w:r>
      <w:r>
        <w:rPr>
          <w:rFonts w:hint="eastAsia" w:ascii="仿宋" w:hAnsi="仿宋" w:eastAsia="仿宋" w:cs="仿宋"/>
          <w:lang w:eastAsia="en-US"/>
        </w:rPr>
        <w:t>中心城区建筑垃圾产生、运输、处置等活动进行全过程监管，负责辖区范围内建筑垃圾处置核准许可和行政执法工作，依法查处辖区范围内擅</w:t>
      </w:r>
      <w:bookmarkStart w:id="231" w:name="bookmark168"/>
      <w:bookmarkEnd w:id="231"/>
      <w:r>
        <w:rPr>
          <w:rFonts w:hint="eastAsia" w:ascii="仿宋" w:hAnsi="仿宋" w:eastAsia="仿宋" w:cs="仿宋"/>
          <w:lang w:eastAsia="en-US"/>
        </w:rPr>
        <w:t>自倾倒抛撒、堆放建筑垃圾和违反建筑垃圾处置规定的违法行为。</w:t>
      </w:r>
    </w:p>
    <w:p w14:paraId="2434A08F">
      <w:pPr>
        <w:bidi w:val="0"/>
        <w:rPr>
          <w:lang w:eastAsia="en-US"/>
        </w:rPr>
      </w:pPr>
      <w:r>
        <w:rPr>
          <w:lang w:eastAsia="en-US"/>
        </w:rPr>
        <w:t>（</w:t>
      </w:r>
      <w:r>
        <w:rPr>
          <w:rFonts w:hint="eastAsia"/>
          <w:lang w:val="en-US" w:eastAsia="zh-CN"/>
        </w:rPr>
        <w:t>2</w:t>
      </w:r>
      <w:r>
        <w:rPr>
          <w:lang w:eastAsia="en-US"/>
        </w:rPr>
        <w:t>）会同</w:t>
      </w:r>
      <w:r>
        <w:rPr>
          <w:rFonts w:hint="eastAsia" w:ascii="仿宋" w:hAnsi="仿宋" w:eastAsia="仿宋" w:cs="仿宋"/>
          <w:lang w:val="en-US" w:eastAsia="zh-CN"/>
        </w:rPr>
        <w:t>县</w:t>
      </w:r>
      <w:r>
        <w:rPr>
          <w:lang w:eastAsia="en-US"/>
        </w:rPr>
        <w:t>发展改革、财政、自然资源和规划、生态环境、</w:t>
      </w:r>
      <w:bookmarkStart w:id="232" w:name="OLE_LINK110"/>
      <w:r>
        <w:rPr>
          <w:lang w:eastAsia="en-US"/>
        </w:rPr>
        <w:t>住房城乡建设等部门及相关区人民政府，将建筑垃圾堆填场、综合利用等设施的设置纳入城市市容环境卫生专项规划</w:t>
      </w:r>
      <w:r>
        <w:rPr>
          <w:rFonts w:hint="eastAsia"/>
          <w:lang w:eastAsia="zh-CN"/>
        </w:rPr>
        <w:t>；</w:t>
      </w:r>
      <w:r>
        <w:rPr>
          <w:lang w:eastAsia="en-US"/>
        </w:rPr>
        <w:t>制定建筑垃圾处置设</w:t>
      </w:r>
      <w:bookmarkEnd w:id="232"/>
      <w:r>
        <w:rPr>
          <w:lang w:eastAsia="en-US"/>
        </w:rPr>
        <w:t>施建设运营指南，监督指导建筑垃圾处置单位规范建设运营。</w:t>
      </w:r>
    </w:p>
    <w:p w14:paraId="09155F42">
      <w:pPr>
        <w:bidi w:val="0"/>
        <w:rPr>
          <w:lang w:eastAsia="en-US"/>
        </w:rPr>
      </w:pPr>
      <w:r>
        <w:rPr>
          <w:lang w:eastAsia="en-US"/>
        </w:rPr>
        <w:t>（</w:t>
      </w:r>
      <w:r>
        <w:rPr>
          <w:rFonts w:hint="eastAsia"/>
          <w:lang w:val="en-US" w:eastAsia="zh-CN"/>
        </w:rPr>
        <w:t>3</w:t>
      </w:r>
      <w:r>
        <w:rPr>
          <w:lang w:eastAsia="en-US"/>
        </w:rPr>
        <w:t>）及时汇总并公布建筑垃圾堆填场以及建筑垃圾综合利用需求等信息，并根据</w:t>
      </w:r>
      <w:r>
        <w:rPr>
          <w:rFonts w:hint="eastAsia"/>
          <w:lang w:val="en-US" w:eastAsia="zh-CN"/>
        </w:rPr>
        <w:t>县</w:t>
      </w:r>
      <w:r>
        <w:rPr>
          <w:lang w:eastAsia="en-US"/>
        </w:rPr>
        <w:t>中心城区建筑垃圾的处置情况，合理安排建设单位、施工单位和建筑垃圾综合利用企业交换利用建筑垃圾。</w:t>
      </w:r>
    </w:p>
    <w:p w14:paraId="467B8273">
      <w:pPr>
        <w:bidi w:val="0"/>
        <w:rPr>
          <w:lang w:eastAsia="en-US"/>
        </w:rPr>
      </w:pPr>
      <w:r>
        <w:rPr>
          <w:lang w:eastAsia="en-US"/>
        </w:rPr>
        <w:t>（</w:t>
      </w:r>
      <w:r>
        <w:rPr>
          <w:rFonts w:hint="eastAsia"/>
          <w:lang w:val="en-US" w:eastAsia="zh-CN"/>
        </w:rPr>
        <w:t>4</w:t>
      </w:r>
      <w:r>
        <w:rPr>
          <w:lang w:eastAsia="en-US"/>
        </w:rPr>
        <w:t>）建立建筑垃圾信息监督管理平台，将建筑垃圾监督管理工作纳入数字化城市管理系统。</w:t>
      </w:r>
    </w:p>
    <w:p w14:paraId="437F340A">
      <w:pPr>
        <w:bidi w:val="0"/>
        <w:rPr>
          <w:lang w:eastAsia="en-US"/>
        </w:rPr>
      </w:pPr>
      <w:r>
        <w:rPr>
          <w:lang w:eastAsia="en-US"/>
        </w:rPr>
        <w:t>（</w:t>
      </w:r>
      <w:r>
        <w:rPr>
          <w:rFonts w:hint="eastAsia"/>
          <w:lang w:val="en-US" w:eastAsia="zh-CN"/>
        </w:rPr>
        <w:t>5</w:t>
      </w:r>
      <w:r>
        <w:rPr>
          <w:lang w:eastAsia="en-US"/>
        </w:rPr>
        <w:t>）推行建筑垃圾产生、运输、处置全过程联单管理制度。</w:t>
      </w:r>
    </w:p>
    <w:p w14:paraId="6601E800">
      <w:pPr>
        <w:bidi w:val="0"/>
        <w:rPr>
          <w:lang w:eastAsia="en-US"/>
        </w:rPr>
      </w:pPr>
      <w:r>
        <w:rPr>
          <w:lang w:eastAsia="en-US"/>
        </w:rPr>
        <w:t>（</w:t>
      </w:r>
      <w:r>
        <w:rPr>
          <w:rFonts w:hint="eastAsia"/>
          <w:lang w:val="en-US" w:eastAsia="zh-CN"/>
        </w:rPr>
        <w:t>6</w:t>
      </w:r>
      <w:r>
        <w:rPr>
          <w:lang w:eastAsia="en-US"/>
        </w:rPr>
        <w:t>）</w:t>
      </w:r>
      <w:r>
        <w:rPr>
          <w:u w:val="single"/>
          <w:lang w:eastAsia="en-US"/>
        </w:rPr>
        <w:t>与公安、住房城乡建设、生态环境、应急、交通运输等部门</w:t>
      </w:r>
      <w:r>
        <w:rPr>
          <w:lang w:eastAsia="en-US"/>
        </w:rPr>
        <w:t>建立执法联动工作机制，开展建筑垃圾管理联合执法。</w:t>
      </w:r>
    </w:p>
    <w:p w14:paraId="0318884A">
      <w:pPr>
        <w:pStyle w:val="4"/>
        <w:bidi w:val="0"/>
        <w:rPr>
          <w:lang w:eastAsia="en-US"/>
        </w:rPr>
      </w:pPr>
      <w:r>
        <w:rPr>
          <w:lang w:eastAsia="en-US"/>
        </w:rPr>
        <w:t>3、</w:t>
      </w:r>
      <w:r>
        <w:rPr>
          <w:rFonts w:hint="eastAsia"/>
          <w:lang w:val="en-US" w:eastAsia="zh-CN"/>
        </w:rPr>
        <w:t>县</w:t>
      </w:r>
      <w:r>
        <w:rPr>
          <w:lang w:eastAsia="en-US"/>
        </w:rPr>
        <w:t>发展改革部门</w:t>
      </w:r>
    </w:p>
    <w:p w14:paraId="2836C1F3">
      <w:pPr>
        <w:bidi w:val="0"/>
        <w:rPr>
          <w:lang w:eastAsia="en-US"/>
        </w:rPr>
      </w:pPr>
      <w:r>
        <w:rPr>
          <w:lang w:eastAsia="en-US"/>
        </w:rPr>
        <w:t>规范建筑垃圾资源化利用项目立项审批，组织符合条件的建筑垃圾资源化利用项目申报国省预算内资金。</w:t>
      </w:r>
    </w:p>
    <w:p w14:paraId="0E5582AE">
      <w:pPr>
        <w:pStyle w:val="4"/>
        <w:bidi w:val="0"/>
        <w:rPr>
          <w:lang w:eastAsia="en-US"/>
        </w:rPr>
      </w:pPr>
      <w:r>
        <w:rPr>
          <w:lang w:eastAsia="en-US"/>
        </w:rPr>
        <w:t>4、</w:t>
      </w:r>
      <w:r>
        <w:rPr>
          <w:rFonts w:hint="eastAsia"/>
          <w:lang w:val="en-US" w:eastAsia="zh-CN"/>
        </w:rPr>
        <w:t>县</w:t>
      </w:r>
      <w:r>
        <w:rPr>
          <w:lang w:eastAsia="en-US"/>
        </w:rPr>
        <w:t>科学和技术部门</w:t>
      </w:r>
    </w:p>
    <w:p w14:paraId="146A33F6">
      <w:pPr>
        <w:bidi w:val="0"/>
        <w:rPr>
          <w:lang w:eastAsia="en-US"/>
        </w:rPr>
      </w:pPr>
      <w:r>
        <w:rPr>
          <w:lang w:eastAsia="en-US"/>
        </w:rPr>
        <w:t>支持建筑垃圾资源化利用技术及装备研发。</w:t>
      </w:r>
    </w:p>
    <w:p w14:paraId="2858C31D">
      <w:pPr>
        <w:pStyle w:val="4"/>
        <w:bidi w:val="0"/>
        <w:rPr>
          <w:lang w:eastAsia="en-US"/>
        </w:rPr>
      </w:pPr>
      <w:r>
        <w:rPr>
          <w:lang w:eastAsia="en-US"/>
        </w:rPr>
        <w:t>5、</w:t>
      </w:r>
      <w:r>
        <w:rPr>
          <w:rFonts w:hint="eastAsia"/>
          <w:lang w:val="en-US" w:eastAsia="zh-CN"/>
        </w:rPr>
        <w:t>县</w:t>
      </w:r>
      <w:r>
        <w:rPr>
          <w:lang w:eastAsia="en-US"/>
        </w:rPr>
        <w:t>工业和信息化部门</w:t>
      </w:r>
    </w:p>
    <w:p w14:paraId="4BEDCCA9">
      <w:pPr>
        <w:bidi w:val="0"/>
        <w:rPr>
          <w:lang w:eastAsia="en-US"/>
        </w:rPr>
      </w:pPr>
      <w:r>
        <w:rPr>
          <w:lang w:eastAsia="en-US"/>
        </w:rPr>
        <w:t>组织符合条件的企业申报工业和信息化部《建筑垃圾资源化利用行业规范条件》企业名单，培育行业骨干企业。</w:t>
      </w:r>
    </w:p>
    <w:p w14:paraId="16870F85">
      <w:pPr>
        <w:pStyle w:val="4"/>
        <w:bidi w:val="0"/>
        <w:rPr>
          <w:lang w:eastAsia="en-US"/>
        </w:rPr>
      </w:pPr>
      <w:r>
        <w:rPr>
          <w:lang w:eastAsia="en-US"/>
        </w:rPr>
        <w:t>6、</w:t>
      </w:r>
      <w:r>
        <w:rPr>
          <w:rFonts w:hint="eastAsia"/>
          <w:lang w:val="en-US" w:eastAsia="zh-CN"/>
        </w:rPr>
        <w:t>县</w:t>
      </w:r>
      <w:r>
        <w:rPr>
          <w:lang w:eastAsia="en-US"/>
        </w:rPr>
        <w:t>公安部门</w:t>
      </w:r>
    </w:p>
    <w:p w14:paraId="05184F28">
      <w:pPr>
        <w:bidi w:val="0"/>
        <w:rPr>
          <w:lang w:eastAsia="en-US"/>
        </w:rPr>
      </w:pPr>
      <w:r>
        <w:rPr>
          <w:lang w:eastAsia="en-US"/>
        </w:rPr>
        <w:t>加强建筑垃圾运输车辆道路通行管理，依法打击建筑垃圾违法犯罪和黑恶势力；及时提供建筑垃圾管理相关信息，实现信息互通共享。</w:t>
      </w:r>
    </w:p>
    <w:p w14:paraId="67753E59">
      <w:pPr>
        <w:pStyle w:val="4"/>
        <w:bidi w:val="0"/>
        <w:rPr>
          <w:lang w:eastAsia="en-US"/>
        </w:rPr>
      </w:pPr>
      <w:r>
        <w:rPr>
          <w:lang w:eastAsia="en-US"/>
        </w:rPr>
        <w:t>7、</w:t>
      </w:r>
      <w:r>
        <w:rPr>
          <w:rFonts w:hint="eastAsia"/>
          <w:lang w:val="en-US" w:eastAsia="zh-CN"/>
        </w:rPr>
        <w:t>县</w:t>
      </w:r>
      <w:r>
        <w:rPr>
          <w:lang w:eastAsia="en-US"/>
        </w:rPr>
        <w:t>财政部门</w:t>
      </w:r>
    </w:p>
    <w:p w14:paraId="2BD9E3E4">
      <w:pPr>
        <w:bidi w:val="0"/>
        <w:rPr>
          <w:lang w:val="en-US" w:eastAsia="en-US"/>
        </w:rPr>
      </w:pPr>
      <w:r>
        <w:rPr>
          <w:lang w:eastAsia="en-US"/>
        </w:rPr>
        <w:t>落实财政优惠政策，支持资源化利用企业发展。</w:t>
      </w:r>
    </w:p>
    <w:p w14:paraId="7D5B0CED">
      <w:pPr>
        <w:pStyle w:val="4"/>
        <w:bidi w:val="0"/>
        <w:rPr>
          <w:lang w:eastAsia="en-US"/>
        </w:rPr>
      </w:pPr>
      <w:r>
        <w:rPr>
          <w:lang w:eastAsia="en-US"/>
        </w:rPr>
        <w:t>8、</w:t>
      </w:r>
      <w:r>
        <w:rPr>
          <w:rFonts w:hint="eastAsia"/>
          <w:lang w:val="en-US" w:eastAsia="zh-CN"/>
        </w:rPr>
        <w:t>县自然资源</w:t>
      </w:r>
      <w:r>
        <w:rPr>
          <w:lang w:eastAsia="en-US"/>
        </w:rPr>
        <w:t>部门</w:t>
      </w:r>
    </w:p>
    <w:p w14:paraId="2DB3C97A">
      <w:pPr>
        <w:bidi w:val="0"/>
        <w:rPr>
          <w:lang w:eastAsia="en-US"/>
        </w:rPr>
      </w:pPr>
      <w:r>
        <w:rPr>
          <w:lang w:eastAsia="en-US"/>
        </w:rPr>
        <w:t>规范建筑垃圾资源化利用项目的规划、用地手续审批，将建筑垃圾资源化利用场地逐步纳入国土空间规划“一张图 ”监督管理。</w:t>
      </w:r>
    </w:p>
    <w:p w14:paraId="5F88A40D">
      <w:pPr>
        <w:pStyle w:val="4"/>
        <w:bidi w:val="0"/>
        <w:rPr>
          <w:lang w:eastAsia="en-US"/>
        </w:rPr>
      </w:pPr>
      <w:r>
        <w:rPr>
          <w:lang w:eastAsia="en-US"/>
        </w:rPr>
        <w:t>9、</w:t>
      </w:r>
      <w:r>
        <w:rPr>
          <w:rFonts w:hint="eastAsia"/>
          <w:lang w:val="en-US" w:eastAsia="zh-CN"/>
        </w:rPr>
        <w:t>县</w:t>
      </w:r>
      <w:r>
        <w:rPr>
          <w:lang w:eastAsia="en-US"/>
        </w:rPr>
        <w:t>生态环境部门</w:t>
      </w:r>
    </w:p>
    <w:p w14:paraId="5D16677A">
      <w:pPr>
        <w:bidi w:val="0"/>
        <w:rPr>
          <w:lang w:eastAsia="en-US"/>
        </w:rPr>
      </w:pPr>
      <w:r>
        <w:rPr>
          <w:lang w:eastAsia="en-US"/>
        </w:rPr>
        <w:t>加强建筑垃圾处置场所环境污染防治的监督管理和行政执法。</w:t>
      </w:r>
    </w:p>
    <w:p w14:paraId="56D1A6A4">
      <w:pPr>
        <w:pStyle w:val="4"/>
        <w:bidi w:val="0"/>
        <w:rPr>
          <w:lang w:eastAsia="en-US"/>
        </w:rPr>
      </w:pPr>
      <w:r>
        <w:rPr>
          <w:lang w:eastAsia="en-US"/>
        </w:rPr>
        <w:t>10、</w:t>
      </w:r>
      <w:r>
        <w:rPr>
          <w:rFonts w:hint="eastAsia"/>
          <w:lang w:val="en-US" w:eastAsia="zh-CN"/>
        </w:rPr>
        <w:t>县</w:t>
      </w:r>
      <w:r>
        <w:rPr>
          <w:lang w:eastAsia="en-US"/>
        </w:rPr>
        <w:t>交通运输部门</w:t>
      </w:r>
    </w:p>
    <w:p w14:paraId="153F66F5">
      <w:pPr>
        <w:bidi w:val="0"/>
        <w:rPr>
          <w:lang w:eastAsia="en-US"/>
        </w:rPr>
      </w:pPr>
      <w:r>
        <w:rPr>
          <w:lang w:eastAsia="en-US"/>
        </w:rPr>
        <w:t>加强建筑垃圾运输车辆道路通行管理，协助</w:t>
      </w:r>
      <w:r>
        <w:rPr>
          <w:u w:val="single"/>
          <w:lang w:eastAsia="en-US"/>
        </w:rPr>
        <w:t>公安、城管部门依法打击建筑垃圾违法违规运输行为</w:t>
      </w:r>
      <w:r>
        <w:rPr>
          <w:lang w:eastAsia="en-US"/>
        </w:rPr>
        <w:t>，在国有投资的交通建设项目中优先使用符合技术指标、设计要求的建筑垃圾再生产品，及时提供建筑垃圾管理相关信息，实现信息互通共享。</w:t>
      </w:r>
    </w:p>
    <w:p w14:paraId="1108C8EF">
      <w:pPr>
        <w:pStyle w:val="4"/>
        <w:bidi w:val="0"/>
        <w:rPr>
          <w:lang w:eastAsia="en-US"/>
        </w:rPr>
      </w:pPr>
      <w:r>
        <w:rPr>
          <w:lang w:eastAsia="en-US"/>
        </w:rPr>
        <w:t>11、</w:t>
      </w:r>
      <w:r>
        <w:rPr>
          <w:rFonts w:hint="eastAsia"/>
          <w:lang w:val="en-US" w:eastAsia="zh-CN"/>
        </w:rPr>
        <w:t>县</w:t>
      </w:r>
      <w:r>
        <w:rPr>
          <w:lang w:eastAsia="en-US"/>
        </w:rPr>
        <w:t>市场监管部门</w:t>
      </w:r>
    </w:p>
    <w:p w14:paraId="1933D9ED">
      <w:pPr>
        <w:bidi w:val="0"/>
        <w:rPr>
          <w:lang w:eastAsia="en-US"/>
        </w:rPr>
      </w:pPr>
      <w:r>
        <w:rPr>
          <w:lang w:eastAsia="en-US"/>
        </w:rPr>
        <w:t>加强建筑垃圾再生产品质量监督管理。</w:t>
      </w:r>
    </w:p>
    <w:p w14:paraId="145DF0D2">
      <w:pPr>
        <w:pStyle w:val="4"/>
        <w:bidi w:val="0"/>
        <w:rPr>
          <w:lang w:eastAsia="en-US"/>
        </w:rPr>
      </w:pPr>
      <w:r>
        <w:rPr>
          <w:lang w:eastAsia="en-US"/>
        </w:rPr>
        <w:t>12、</w:t>
      </w:r>
      <w:r>
        <w:rPr>
          <w:rFonts w:hint="eastAsia"/>
          <w:lang w:val="en-US" w:eastAsia="zh-CN"/>
        </w:rPr>
        <w:t>县</w:t>
      </w:r>
      <w:r>
        <w:rPr>
          <w:lang w:eastAsia="en-US"/>
        </w:rPr>
        <w:t>税务部门</w:t>
      </w:r>
    </w:p>
    <w:p w14:paraId="198146B4">
      <w:pPr>
        <w:bidi w:val="0"/>
        <w:rPr>
          <w:lang w:eastAsia="en-US"/>
        </w:rPr>
      </w:pPr>
      <w:r>
        <w:rPr>
          <w:lang w:eastAsia="en-US"/>
        </w:rPr>
        <w:t>对符合现行税收政策规定的利用建筑垃圾生产销售建设用再生骨料、建筑垃圾制作烧结制品、道路材料、建设用回填材料的纳税人落实增值税即征即退政策；对从事再生资源回收并销售的增值税一般纳税人，可选择适用简易计税方法依照3%征收率计算缴纳增值税。</w:t>
      </w:r>
    </w:p>
    <w:p w14:paraId="73BCE80E">
      <w:pPr>
        <w:pStyle w:val="4"/>
        <w:bidi w:val="0"/>
        <w:rPr>
          <w:lang w:eastAsia="en-US"/>
        </w:rPr>
      </w:pPr>
      <w:r>
        <w:rPr>
          <w:lang w:eastAsia="en-US"/>
        </w:rPr>
        <w:t>13、</w:t>
      </w:r>
      <w:r>
        <w:rPr>
          <w:rFonts w:hint="eastAsia"/>
          <w:lang w:val="en-US" w:eastAsia="zh-CN"/>
        </w:rPr>
        <w:t>县</w:t>
      </w:r>
      <w:r>
        <w:rPr>
          <w:lang w:eastAsia="en-US"/>
        </w:rPr>
        <w:t>农业农村部门</w:t>
      </w:r>
    </w:p>
    <w:p w14:paraId="7F9C94D7">
      <w:pPr>
        <w:bidi w:val="0"/>
        <w:rPr>
          <w:lang w:eastAsia="en-US"/>
        </w:rPr>
      </w:pPr>
      <w:r>
        <w:rPr>
          <w:lang w:eastAsia="en-US"/>
        </w:rPr>
        <w:t>负责村民建房建筑垃圾源头管理机制建设并做好指导；负责加强农村基础设施和乡村治理工程项目建筑垃圾处置监管工作；负责指导农村非正规垃圾堆放点的排查和整治工作。</w:t>
      </w:r>
    </w:p>
    <w:p w14:paraId="782AAD51">
      <w:pPr>
        <w:pStyle w:val="4"/>
        <w:bidi w:val="0"/>
        <w:rPr>
          <w:lang w:eastAsia="en-US"/>
        </w:rPr>
      </w:pPr>
      <w:r>
        <w:rPr>
          <w:lang w:eastAsia="en-US"/>
        </w:rPr>
        <w:t>14、各乡镇人民政府</w:t>
      </w:r>
    </w:p>
    <w:p w14:paraId="43F68947">
      <w:pPr>
        <w:bidi w:val="0"/>
        <w:rPr>
          <w:rFonts w:hint="eastAsia"/>
          <w:lang w:eastAsia="zh-CN"/>
        </w:rPr>
      </w:pPr>
      <w:r>
        <w:rPr>
          <w:rFonts w:hint="eastAsia"/>
          <w:lang w:eastAsia="zh-CN"/>
        </w:rPr>
        <w:t>除中心城区外，各乡镇人民政府</w:t>
      </w:r>
      <w:r>
        <w:rPr>
          <w:rFonts w:hint="eastAsia"/>
          <w:lang w:val="en-US" w:eastAsia="zh-CN"/>
        </w:rPr>
        <w:t>主要负责本辖区建筑垃圾处置日常监管和重大案件线索巡查，协助县级行政执法部门查处重大违法案件和跨乡镇违法案件。</w:t>
      </w:r>
    </w:p>
    <w:p w14:paraId="344939D5">
      <w:pPr>
        <w:pStyle w:val="4"/>
        <w:bidi w:val="0"/>
        <w:rPr>
          <w:lang w:eastAsia="en-US"/>
        </w:rPr>
      </w:pPr>
      <w:r>
        <w:rPr>
          <w:lang w:eastAsia="en-US"/>
        </w:rPr>
        <w:t>1</w:t>
      </w:r>
      <w:r>
        <w:rPr>
          <w:rFonts w:hint="eastAsia"/>
          <w:lang w:val="en-US" w:eastAsia="zh-CN"/>
        </w:rPr>
        <w:t>5</w:t>
      </w:r>
      <w:r>
        <w:rPr>
          <w:lang w:eastAsia="en-US"/>
        </w:rPr>
        <w:t>、建筑垃圾资源化利用企业</w:t>
      </w:r>
    </w:p>
    <w:p w14:paraId="05483C7A">
      <w:pPr>
        <w:bidi w:val="0"/>
        <w:rPr>
          <w:lang w:eastAsia="en-US"/>
        </w:rPr>
      </w:pPr>
      <w:r>
        <w:rPr>
          <w:lang w:eastAsia="en-US"/>
        </w:rPr>
        <w:t>建筑垃圾资源化利用企业安全生产日常监管按照《中华人民共和国安全生产法》</w:t>
      </w:r>
      <w:r>
        <w:rPr>
          <w:rFonts w:hint="eastAsia"/>
          <w:lang w:eastAsia="zh-CN"/>
        </w:rPr>
        <w:t>、</w:t>
      </w:r>
      <w:r>
        <w:rPr>
          <w:lang w:eastAsia="en-US"/>
        </w:rPr>
        <w:t>《湖南省安全生产条例》等法律法规执行。</w:t>
      </w:r>
    </w:p>
    <w:p w14:paraId="654EC00E">
      <w:pPr>
        <w:pStyle w:val="3"/>
        <w:bidi w:val="0"/>
        <w:rPr>
          <w:rFonts w:hint="eastAsia" w:ascii="楷体" w:hAnsi="楷体" w:eastAsia="楷体" w:cs="楷体"/>
          <w:sz w:val="28"/>
          <w:szCs w:val="28"/>
          <w:lang w:eastAsia="en-US"/>
        </w:rPr>
      </w:pPr>
      <w:bookmarkStart w:id="233" w:name="bookmark112"/>
      <w:bookmarkEnd w:id="233"/>
      <w:bookmarkStart w:id="234" w:name="bookmark111"/>
      <w:bookmarkEnd w:id="234"/>
      <w:bookmarkStart w:id="235" w:name="_Toc15344"/>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三</w:t>
      </w:r>
      <w:r>
        <w:rPr>
          <w:rFonts w:hint="eastAsia" w:ascii="楷体" w:hAnsi="楷体" w:eastAsia="楷体" w:cs="楷体"/>
          <w:sz w:val="28"/>
          <w:szCs w:val="28"/>
          <w:lang w:eastAsia="zh-CN"/>
        </w:rPr>
        <w:t>）</w:t>
      </w:r>
      <w:r>
        <w:rPr>
          <w:rFonts w:hint="eastAsia" w:ascii="楷体" w:hAnsi="楷体" w:eastAsia="楷体" w:cs="楷体"/>
          <w:sz w:val="28"/>
          <w:szCs w:val="28"/>
          <w:lang w:eastAsia="en-US"/>
        </w:rPr>
        <w:t>信息化管理规划</w:t>
      </w:r>
      <w:bookmarkEnd w:id="235"/>
    </w:p>
    <w:p w14:paraId="3DEE2463">
      <w:pPr>
        <w:pStyle w:val="4"/>
        <w:bidi w:val="0"/>
        <w:rPr>
          <w:lang w:eastAsia="en-US"/>
        </w:rPr>
      </w:pPr>
      <w:r>
        <w:rPr>
          <w:lang w:eastAsia="en-US"/>
        </w:rPr>
        <w:t>1、建设目标</w:t>
      </w:r>
    </w:p>
    <w:p w14:paraId="79C08B4B">
      <w:pPr>
        <w:bidi w:val="0"/>
        <w:rPr>
          <w:lang w:eastAsia="en-US"/>
        </w:rPr>
      </w:pPr>
      <w:r>
        <w:rPr>
          <w:lang w:eastAsia="en-US"/>
        </w:rPr>
        <w:t>为满足建筑垃圾从源头管控到减量调配、运输管理、分类处置、资源化利用、产品交易、终端处置、监控监管等全过程的信息化管理，本次规划提出利用信息化技术，结合电子联单制度，构建建筑垃圾综合管理及循环利用信息共享平台，建立统一的建筑垃圾市级监管平台，实现建筑工地、运输线路、消纳处置场所，“两点一线 ”建筑垃圾全生命周期、全过程监管，实行排放、运输、资源化和消纳处置行为的核准，企业网上申报资料，</w:t>
      </w:r>
      <w:r>
        <w:rPr>
          <w:strike w:val="0"/>
          <w:dstrike w:val="0"/>
          <w:u w:val="single"/>
          <w:lang w:eastAsia="en-US"/>
        </w:rPr>
        <w:t>城市管理和综合执法、住建、生态环境、自然资源等部门在线办公、联审联批</w:t>
      </w:r>
      <w:r>
        <w:rPr>
          <w:lang w:eastAsia="en-US"/>
        </w:rPr>
        <w:t>，提高建筑垃圾精细化管理水平。</w:t>
      </w:r>
    </w:p>
    <w:p w14:paraId="0F3BF0E2">
      <w:pPr>
        <w:pStyle w:val="4"/>
        <w:bidi w:val="0"/>
        <w:rPr>
          <w:lang w:eastAsia="en-US"/>
        </w:rPr>
      </w:pPr>
      <w:r>
        <w:rPr>
          <w:lang w:eastAsia="en-US"/>
        </w:rPr>
        <w:t>2、信息化管理系统规划</w:t>
      </w:r>
    </w:p>
    <w:p w14:paraId="475E184C">
      <w:pPr>
        <w:bidi w:val="0"/>
        <w:rPr>
          <w:lang w:eastAsia="en-US"/>
        </w:rPr>
      </w:pPr>
      <w:bookmarkStart w:id="236" w:name="OLE_LINK56"/>
      <w:r>
        <w:rPr>
          <w:lang w:eastAsia="en-US"/>
        </w:rPr>
        <w:t>建筑垃圾全过程信息化管理系统需要建立综合管理与循环利用信息共享平台，平台内包含多个不同功能的信息管理子系统，同时平台具有信息收集、信息管理、信息共享等功能，使相关部门、从业企业、相关人员和车辆等能够根据不同的访问权限、等级了解到不同的信息，从而及时且准确地做出相应的行动，这些信息管理子系统包括：建筑垃圾源头信息管理系统、建筑垃圾减量调配信息系统、建筑垃圾分类处置信息管理系统、建筑垃圾运输信息管理系统、建筑垃圾资源化利用信息管理系统和建筑垃圾消纳处置场所信息管理系统。</w:t>
      </w:r>
    </w:p>
    <w:p w14:paraId="53CBED82">
      <w:pPr>
        <w:bidi w:val="0"/>
        <w:rPr>
          <w:lang w:eastAsia="en-US"/>
        </w:rPr>
      </w:pPr>
      <w:r>
        <w:rPr>
          <w:b/>
          <w:bCs/>
          <w:lang w:eastAsia="en-US"/>
        </w:rPr>
        <w:t>（1）建筑垃圾源头信息管理系统。</w:t>
      </w:r>
      <w:r>
        <w:rPr>
          <w:lang w:eastAsia="en-US"/>
        </w:rPr>
        <w:t>从相关部门获取已取得建设工程规划许可证的工地信息，为建筑垃圾消纳许可的办理提供有效依据。主要建设功能包括：实现建筑垃圾分类目录登记、发布、查询、更新、删除等功能，使得各相关部门及相关企业能够进行垃圾分类信息的查询与管理。建设建筑垃圾预测量信息平台，实现建筑垃圾预测量信息的登记、审核、发布、查询、统计等功能，为</w:t>
      </w:r>
      <w:bookmarkEnd w:id="236"/>
      <w:r>
        <w:rPr>
          <w:lang w:eastAsia="en-US"/>
        </w:rPr>
        <w:t>建筑垃圾的运输、消纳管理提供信息支撑。</w:t>
      </w:r>
    </w:p>
    <w:p w14:paraId="51E3B0DC">
      <w:pPr>
        <w:bidi w:val="0"/>
        <w:rPr>
          <w:lang w:eastAsia="en-US"/>
        </w:rPr>
      </w:pPr>
      <w:r>
        <w:rPr>
          <w:b/>
          <w:bCs/>
          <w:lang w:eastAsia="en-US"/>
        </w:rPr>
        <w:t>（2）建筑垃圾减量调配信息系统。</w:t>
      </w:r>
      <w:r>
        <w:rPr>
          <w:lang w:eastAsia="en-US"/>
        </w:rPr>
        <w:t>施工工地是建筑垃圾产生的源头，同时也可能作为建筑垃圾消纳的场所。通过从相关部门获取已取得建设工程规划许可证的工地信息，可服务于相关企业为其提供工地信息并提出工地对建筑垃圾的需求。主要建设功能包括各个施工工地的基础信息、对不同建筑垃圾需求及建筑垃圾最佳运输线路的登记、查询、更新、删除等功能。</w:t>
      </w:r>
    </w:p>
    <w:p w14:paraId="7BC1BABD">
      <w:pPr>
        <w:bidi w:val="0"/>
        <w:rPr>
          <w:lang w:eastAsia="en-US"/>
        </w:rPr>
      </w:pPr>
      <w:r>
        <w:rPr>
          <w:b/>
          <w:bCs/>
          <w:lang w:eastAsia="en-US"/>
        </w:rPr>
        <w:t>（3）建筑垃圾分类处置信息管理系统。</w:t>
      </w:r>
      <w:r>
        <w:rPr>
          <w:lang w:eastAsia="en-US"/>
        </w:rPr>
        <w:t>通过记录</w:t>
      </w:r>
      <w:r>
        <w:rPr>
          <w:rFonts w:hint="eastAsia"/>
          <w:lang w:val="en-US" w:eastAsia="zh-CN"/>
        </w:rPr>
        <w:t>县域</w:t>
      </w:r>
      <w:r>
        <w:rPr>
          <w:lang w:eastAsia="en-US"/>
        </w:rPr>
        <w:t>不同种类建筑垃圾总量、各处置场所不同种类建筑垃圾处置量及各工地不同种类建筑垃圾产生量，实现不同种类建筑垃圾处置信息的管理，为相关部门进行中心城区建筑垃圾处置设施规划布局以及进行资源化处置设施建设提供信息支撑，同时对建筑垃圾产生方与运输方、处置方的收费结算等实现有效监管。</w:t>
      </w:r>
    </w:p>
    <w:p w14:paraId="68F8C098">
      <w:pPr>
        <w:bidi w:val="0"/>
        <w:rPr>
          <w:lang w:eastAsia="en-US"/>
        </w:rPr>
      </w:pPr>
      <w:r>
        <w:rPr>
          <w:b/>
          <w:bCs/>
          <w:lang w:eastAsia="en-US"/>
        </w:rPr>
        <w:t>（4）建筑垃圾运输信息管理系统。</w:t>
      </w:r>
      <w:r>
        <w:rPr>
          <w:lang w:eastAsia="en-US"/>
        </w:rPr>
        <w:t>建设建筑垃圾运输企业信息的登记、发布、查询、更新、删除等功能，及时更新录入审批通过的运输单位和运输车辆，使相关部门能够进行合法运输企业信息的管理。在运输建筑垃圾的车辆上安装</w:t>
      </w:r>
      <w:bookmarkStart w:id="237" w:name="bookmark170"/>
      <w:bookmarkEnd w:id="237"/>
      <w:r>
        <w:rPr>
          <w:lang w:eastAsia="en-US"/>
        </w:rPr>
        <w:t>车载智能终端，使车辆信息能及时的被采集、处理、储存，通过监管系统对车辆进行实时监控。推广使用密闭性能好、信息化程度高的运输车辆，并对运输车辆的运输轨迹、密闭运输、处置流向、行驶速度等情况实时监控。</w:t>
      </w:r>
    </w:p>
    <w:p w14:paraId="21466943">
      <w:pPr>
        <w:bidi w:val="0"/>
        <w:rPr>
          <w:lang w:eastAsia="en-US"/>
        </w:rPr>
      </w:pPr>
      <w:r>
        <w:rPr>
          <w:b/>
          <w:bCs/>
          <w:lang w:eastAsia="en-US"/>
        </w:rPr>
        <w:t>（5）建筑垃圾资源化利用信息管理系统。</w:t>
      </w:r>
      <w:r>
        <w:rPr>
          <w:lang w:eastAsia="en-US"/>
        </w:rPr>
        <w:t>提供建筑垃圾和再生产品的网上供需交易服务，通过市场调节建筑垃圾排放种类和再生产品种类，促进建筑垃圾资源化利用供需平衡，减少多次搬运造成的环境污染。同时，不断完善建筑垃圾资源化利用各个阶段的标准、规范，通过产生量预测、体量估算等，为规划、设计、施工阶段和建筑垃圾分类处理进行源头减量化提供数字依据，为企业提升生产工艺和装备改造，逐步实现智能化、自动化提供服务。</w:t>
      </w:r>
    </w:p>
    <w:p w14:paraId="4D8281B3">
      <w:pPr>
        <w:bidi w:val="0"/>
        <w:rPr>
          <w:lang w:eastAsia="en-US"/>
        </w:rPr>
      </w:pPr>
      <w:r>
        <w:rPr>
          <w:lang w:eastAsia="en-US"/>
        </w:rPr>
        <w:t>（6）建筑垃圾消纳处置场所信息管理系统。公布建筑垃圾消纳处置场所的信息，包括消纳处置类型、位置、处理能力、运输路线等信息，使得各个建筑垃圾运输企业和相关建筑垃圾管理部门可以获取堆填场的所有信息。同时，在建筑垃圾收运处置场所安装视频监控和进出信息记录，实现对建筑垃圾堆填场的动态监控。</w:t>
      </w:r>
    </w:p>
    <w:p w14:paraId="4BF89A22">
      <w:pPr>
        <w:pStyle w:val="4"/>
        <w:bidi w:val="0"/>
        <w:rPr>
          <w:lang w:eastAsia="en-US"/>
        </w:rPr>
      </w:pPr>
      <w:r>
        <w:rPr>
          <w:lang w:eastAsia="en-US"/>
        </w:rPr>
        <w:t>3、建筑垃圾全过程信息化管理空间规划</w:t>
      </w:r>
    </w:p>
    <w:p w14:paraId="6D249C64">
      <w:pPr>
        <w:bidi w:val="0"/>
        <w:rPr>
          <w:lang w:eastAsia="en-US"/>
        </w:rPr>
      </w:pPr>
      <w:r>
        <w:rPr>
          <w:lang w:eastAsia="en-US"/>
        </w:rPr>
        <w:t>结合资源化利用场和堆填场的规划布置，建设不同等级和不同功能的信息化管理系统，主要包括：</w:t>
      </w:r>
    </w:p>
    <w:p w14:paraId="31ECB7BA">
      <w:pPr>
        <w:bidi w:val="0"/>
        <w:rPr>
          <w:lang w:eastAsia="en-US"/>
        </w:rPr>
      </w:pPr>
      <w:r>
        <w:rPr>
          <w:b/>
          <w:bCs/>
          <w:lang w:eastAsia="en-US"/>
        </w:rPr>
        <w:t>（1）</w:t>
      </w:r>
      <w:r>
        <w:rPr>
          <w:rFonts w:hint="eastAsia"/>
          <w:b/>
          <w:bCs/>
          <w:lang w:val="en-US" w:eastAsia="zh-CN"/>
        </w:rPr>
        <w:t>桃江县</w:t>
      </w:r>
      <w:r>
        <w:rPr>
          <w:b/>
          <w:bCs/>
          <w:lang w:eastAsia="en-US"/>
        </w:rPr>
        <w:t>建筑垃圾综合管理信息中心。</w:t>
      </w:r>
      <w:r>
        <w:rPr>
          <w:lang w:eastAsia="en-US"/>
        </w:rPr>
        <w:t>位于桃江县住</w:t>
      </w:r>
      <w:r>
        <w:rPr>
          <w:rFonts w:hint="default"/>
          <w:lang w:eastAsia="en-US"/>
        </w:rPr>
        <w:t>房和城乡建设局</w:t>
      </w:r>
      <w:r>
        <w:rPr>
          <w:lang w:eastAsia="en-US"/>
        </w:rPr>
        <w:t>，负责对中心城区建筑垃圾治理的相关数据进行统计和管理，并上报上一级管理系统，并提供相关信息服务。</w:t>
      </w:r>
    </w:p>
    <w:p w14:paraId="37EEB783">
      <w:pPr>
        <w:bidi w:val="0"/>
        <w:rPr>
          <w:rFonts w:hint="eastAsia" w:ascii="仿宋" w:hAnsi="仿宋" w:eastAsia="仿宋" w:cs="仿宋"/>
          <w:lang w:eastAsia="en-US"/>
        </w:rPr>
      </w:pPr>
      <w:r>
        <w:rPr>
          <w:b/>
          <w:bCs/>
          <w:lang w:eastAsia="en-US"/>
        </w:rPr>
        <w:t>（2）建筑垃圾处置场所监控管理终端：</w:t>
      </w:r>
      <w:r>
        <w:rPr>
          <w:rFonts w:hint="eastAsia" w:ascii="仿宋" w:hAnsi="仿宋" w:eastAsia="仿宋" w:cs="仿宋"/>
        </w:rPr>
        <w:t>益阳方成建筑新材料有限公司</w:t>
      </w:r>
      <w:r>
        <w:rPr>
          <w:rFonts w:hint="eastAsia" w:ascii="仿宋" w:hAnsi="仿宋" w:eastAsia="仿宋" w:cs="仿宋"/>
          <w:lang w:eastAsia="zh-CN"/>
        </w:rPr>
        <w:t>、</w:t>
      </w:r>
      <w:r>
        <w:rPr>
          <w:rFonts w:hint="eastAsia" w:ascii="仿宋" w:hAnsi="仿宋" w:eastAsia="仿宋" w:cs="仿宋"/>
          <w:lang w:val="en-US" w:eastAsia="zh-CN"/>
        </w:rPr>
        <w:t>桃江县晓亿建材有限责任公司、</w:t>
      </w:r>
      <w:r>
        <w:rPr>
          <w:rFonts w:hint="eastAsia" w:ascii="仿宋" w:hAnsi="仿宋" w:eastAsia="仿宋" w:cs="仿宋"/>
        </w:rPr>
        <w:t>桃江惠强环保建材有限公司</w:t>
      </w:r>
      <w:r>
        <w:rPr>
          <w:rFonts w:hint="eastAsia" w:ascii="仿宋" w:hAnsi="仿宋" w:eastAsia="仿宋" w:cs="仿宋"/>
          <w:lang w:val="en-US" w:eastAsia="zh-CN"/>
        </w:rPr>
        <w:t>和新建的填埋场、转运调配场</w:t>
      </w:r>
      <w:r>
        <w:rPr>
          <w:rFonts w:hint="eastAsia" w:ascii="仿宋" w:hAnsi="仿宋" w:eastAsia="仿宋" w:cs="仿宋"/>
          <w:lang w:eastAsia="en-US"/>
        </w:rPr>
        <w:t>设置监控管理终端，对</w:t>
      </w:r>
      <w:r>
        <w:rPr>
          <w:rFonts w:hint="eastAsia" w:ascii="仿宋" w:hAnsi="仿宋" w:cs="仿宋"/>
          <w:lang w:val="en-US" w:eastAsia="zh-CN"/>
        </w:rPr>
        <w:t>场内</w:t>
      </w:r>
      <w:r>
        <w:rPr>
          <w:rFonts w:hint="eastAsia" w:ascii="仿宋" w:hAnsi="仿宋" w:eastAsia="仿宋" w:cs="仿宋"/>
          <w:lang w:eastAsia="en-US"/>
        </w:rPr>
        <w:t>建筑垃圾处置利用情况的相关数据进行统计和管理，并上报上一级管理系统。</w:t>
      </w:r>
    </w:p>
    <w:p w14:paraId="4FDEC8B1">
      <w:pPr>
        <w:bidi w:val="0"/>
        <w:rPr>
          <w:lang w:eastAsia="en-US"/>
        </w:rPr>
      </w:pPr>
      <w:r>
        <w:rPr>
          <w:b/>
          <w:bCs/>
          <w:lang w:eastAsia="en-US"/>
        </w:rPr>
        <w:t>（3）重点监控区域：</w:t>
      </w:r>
      <w:r>
        <w:rPr>
          <w:lang w:eastAsia="en-US"/>
        </w:rPr>
        <w:t>建筑垃圾</w:t>
      </w:r>
      <w:r>
        <w:rPr>
          <w:rFonts w:hint="eastAsia"/>
          <w:lang w:val="en-US" w:eastAsia="zh-CN"/>
        </w:rPr>
        <w:t>填埋</w:t>
      </w:r>
      <w:r>
        <w:rPr>
          <w:lang w:eastAsia="en-US"/>
        </w:rPr>
        <w:t>场、</w:t>
      </w:r>
      <w:r>
        <w:rPr>
          <w:rFonts w:hint="eastAsia"/>
          <w:lang w:val="en-US" w:eastAsia="zh-CN"/>
        </w:rPr>
        <w:t>转运调配场、</w:t>
      </w:r>
      <w:r>
        <w:rPr>
          <w:lang w:eastAsia="en-US"/>
        </w:rPr>
        <w:t>建筑垃圾资源化利用场周边，防止污染或其他事故出现。重点监控路线为中心城区货运车辆禁限行控制区域、建筑垃圾处置严管区等。</w:t>
      </w:r>
    </w:p>
    <w:p w14:paraId="4104B35D">
      <w:pPr>
        <w:pStyle w:val="2"/>
        <w:bidi w:val="0"/>
        <w:rPr>
          <w:lang w:eastAsia="en-US"/>
        </w:rPr>
      </w:pPr>
      <w:bookmarkStart w:id="238" w:name="bookmark116"/>
      <w:bookmarkEnd w:id="238"/>
      <w:bookmarkStart w:id="239" w:name="bookmark114"/>
      <w:bookmarkEnd w:id="239"/>
      <w:bookmarkStart w:id="240" w:name="bookmark115"/>
      <w:bookmarkEnd w:id="240"/>
      <w:bookmarkStart w:id="241" w:name="bookmark113"/>
      <w:bookmarkEnd w:id="241"/>
      <w:bookmarkStart w:id="242" w:name="_Toc20459"/>
      <w:r>
        <w:rPr>
          <w:rFonts w:hint="eastAsia"/>
          <w:lang w:val="en-US" w:eastAsia="zh-CN"/>
        </w:rPr>
        <w:t>十、</w:t>
      </w:r>
      <w:r>
        <w:rPr>
          <w:lang w:eastAsia="en-US"/>
        </w:rPr>
        <w:t>环境保护与安全卫生规划</w:t>
      </w:r>
      <w:bookmarkEnd w:id="242"/>
    </w:p>
    <w:p w14:paraId="71FDF70E">
      <w:pPr>
        <w:pStyle w:val="3"/>
        <w:bidi w:val="0"/>
        <w:rPr>
          <w:rFonts w:hint="eastAsia" w:ascii="楷体" w:hAnsi="楷体" w:eastAsia="楷体" w:cs="楷体"/>
          <w:sz w:val="28"/>
          <w:szCs w:val="28"/>
          <w:lang w:eastAsia="en-US"/>
        </w:rPr>
      </w:pPr>
      <w:bookmarkStart w:id="243" w:name="bookmark171"/>
      <w:bookmarkEnd w:id="243"/>
      <w:bookmarkStart w:id="244" w:name="_Toc9016"/>
      <w:r>
        <w:rPr>
          <w:rFonts w:hint="eastAsia" w:ascii="楷体" w:hAnsi="楷体" w:eastAsia="楷体" w:cs="楷体"/>
          <w:sz w:val="28"/>
          <w:szCs w:val="28"/>
          <w:lang w:val="en-US" w:eastAsia="zh-CN"/>
        </w:rPr>
        <w:t>（一）</w:t>
      </w:r>
      <w:r>
        <w:rPr>
          <w:rFonts w:hint="eastAsia" w:ascii="楷体" w:hAnsi="楷体" w:eastAsia="楷体" w:cs="楷体"/>
          <w:sz w:val="28"/>
          <w:szCs w:val="28"/>
          <w:lang w:eastAsia="en-US"/>
        </w:rPr>
        <w:t>建筑垃圾污染环境防控措施</w:t>
      </w:r>
      <w:bookmarkEnd w:id="244"/>
    </w:p>
    <w:p w14:paraId="079007EF">
      <w:pPr>
        <w:bidi w:val="0"/>
        <w:rPr>
          <w:lang w:eastAsia="en-US"/>
        </w:rPr>
      </w:pPr>
      <w:r>
        <w:rPr>
          <w:lang w:eastAsia="en-US"/>
        </w:rPr>
        <w:t>本次规划编制过程中始终坚持可持续发展的思想，以建筑垃圾“减量化、资源化、无害化 ”为目标，构建建筑垃圾从产生、收运、处理全过程的监管体系，以减少建筑垃圾对环境的影响。</w:t>
      </w:r>
    </w:p>
    <w:p w14:paraId="3B648377">
      <w:pPr>
        <w:bidi w:val="0"/>
        <w:rPr>
          <w:lang w:eastAsia="en-US"/>
        </w:rPr>
      </w:pPr>
      <w:r>
        <w:rPr>
          <w:lang w:eastAsia="en-US"/>
        </w:rPr>
        <w:t>强化源头管控。在产生阶段，应提早介入各建筑工地及住宅小区，将规范处置建筑垃圾相关政策及重要性宣传到各施工单位，并要求施工工地提前报备建筑垃圾产生及处置情况，确保建筑垃圾去向清晰，有迹可循。</w:t>
      </w:r>
    </w:p>
    <w:p w14:paraId="63CA4265">
      <w:pPr>
        <w:bidi w:val="0"/>
        <w:rPr>
          <w:lang w:eastAsia="en-US"/>
        </w:rPr>
      </w:pPr>
      <w:r>
        <w:rPr>
          <w:lang w:eastAsia="en-US"/>
        </w:rPr>
        <w:t>完善运输监管。要求运输车辆必须严格按照规定路线、密闭等要求行驶，不得丢弃、遗撒、将建筑垃圾运输至未经核准的处置场所擅自处置。在中心城区重要运输路段对过往运输车辆采取不定时、不定点检查，加大对运输车辆“滴洒漏 ”和乱倒建筑垃圾的检查力度和处罚力度。</w:t>
      </w:r>
    </w:p>
    <w:p w14:paraId="15A61605">
      <w:pPr>
        <w:bidi w:val="0"/>
        <w:rPr>
          <w:lang w:eastAsia="en-US"/>
        </w:rPr>
      </w:pPr>
      <w:r>
        <w:rPr>
          <w:lang w:eastAsia="en-US"/>
        </w:rPr>
        <w:t>加强终端处置监管。加强对城乡结合部、中心城区偏远位置等重点路段乱倒垃圾检查及整治工作，严厉打击私自排放、违规运输、随意倾倒建筑垃圾等违法违规行为，减少偷倒乱倒建筑垃圾的行为发生。加强对建筑垃圾处置场所检查，严禁将生活垃圾或者其他废弃物混入建筑垃圾。</w:t>
      </w:r>
    </w:p>
    <w:p w14:paraId="3DF0B4A3">
      <w:pPr>
        <w:bidi w:val="0"/>
        <w:rPr>
          <w:rFonts w:hint="eastAsia"/>
          <w:lang w:eastAsia="en-US"/>
        </w:rPr>
      </w:pPr>
      <w:r>
        <w:rPr>
          <w:rFonts w:hint="eastAsia"/>
          <w:lang w:eastAsia="en-US"/>
        </w:rPr>
        <w:t>在进行可行性研究的同时，应对建设项目的环境影响作出评价</w:t>
      </w:r>
      <w:r>
        <w:rPr>
          <w:rFonts w:hint="eastAsia"/>
          <w:lang w:eastAsia="zh-CN"/>
        </w:rPr>
        <w:t>；</w:t>
      </w:r>
      <w:r>
        <w:rPr>
          <w:rFonts w:hint="eastAsia"/>
          <w:lang w:eastAsia="en-US"/>
        </w:rPr>
        <w:t>建设项目的环境污染防治设施，应与主体工程同时设计、同时施工、同时投产使用</w:t>
      </w:r>
      <w:r>
        <w:rPr>
          <w:rFonts w:hint="eastAsia"/>
          <w:lang w:eastAsia="zh-CN"/>
        </w:rPr>
        <w:t>；</w:t>
      </w:r>
      <w:r>
        <w:rPr>
          <w:rFonts w:hint="eastAsia"/>
          <w:lang w:eastAsia="en-US"/>
        </w:rPr>
        <w:t>建筑垃圾处理作业过程中产生的各种污染物的防治与排放，应贯彻执行国家现行的环境保护法规和有关标准的规定。建筑垃圾填埋场应进行水、气、土壤及噪声的本底监测和作业监测填埋库区封场后应进行跟踪监测直至填埋体稳定。监测井和采样点的布设、监测项目、频率及分析方法应按现行国家相关标准执行。</w:t>
      </w:r>
    </w:p>
    <w:p w14:paraId="2E21B6BD">
      <w:pPr>
        <w:pStyle w:val="4"/>
        <w:bidi w:val="0"/>
        <w:rPr>
          <w:rFonts w:hint="eastAsia"/>
          <w:lang w:eastAsia="en-US"/>
        </w:rPr>
      </w:pPr>
      <w:r>
        <w:rPr>
          <w:rFonts w:hint="eastAsia"/>
          <w:lang w:val="en-US" w:eastAsia="zh-CN"/>
        </w:rPr>
        <w:t>1、</w:t>
      </w:r>
      <w:r>
        <w:rPr>
          <w:rFonts w:hint="eastAsia"/>
          <w:lang w:eastAsia="en-US"/>
        </w:rPr>
        <w:t>工程渣土污染防控</w:t>
      </w:r>
    </w:p>
    <w:p w14:paraId="5C09B3D5">
      <w:pPr>
        <w:bidi w:val="0"/>
        <w:rPr>
          <w:rFonts w:hint="eastAsia"/>
          <w:lang w:eastAsia="en-US"/>
        </w:rPr>
      </w:pPr>
      <w:r>
        <w:rPr>
          <w:rFonts w:hint="eastAsia"/>
          <w:lang w:eastAsia="en-US"/>
        </w:rPr>
        <w:t>工程渣土收集运输污染防控措施施工单位应当在建设工程开工前，将建筑垃圾处理方案报项目所在地的环境卫生主管部门备案。工程渣土消纳设施和场所污染防控，设施和场所投入使用前应编制环境质量监测方案，监测项目应包括环境噪声、大气扬尘污染、地下水水质。</w:t>
      </w:r>
    </w:p>
    <w:p w14:paraId="29531530">
      <w:pPr>
        <w:pStyle w:val="4"/>
        <w:bidi w:val="0"/>
        <w:rPr>
          <w:rFonts w:hint="eastAsia"/>
          <w:lang w:eastAsia="en-US"/>
        </w:rPr>
      </w:pPr>
      <w:r>
        <w:rPr>
          <w:rFonts w:hint="eastAsia"/>
          <w:lang w:val="en-US" w:eastAsia="zh-CN"/>
        </w:rPr>
        <w:t>2、</w:t>
      </w:r>
      <w:r>
        <w:rPr>
          <w:rFonts w:hint="eastAsia"/>
          <w:lang w:eastAsia="en-US"/>
        </w:rPr>
        <w:t>工程泥浆污染防控</w:t>
      </w:r>
    </w:p>
    <w:p w14:paraId="317BD3F9">
      <w:pPr>
        <w:bidi w:val="0"/>
        <w:rPr>
          <w:rFonts w:hint="eastAsia"/>
          <w:lang w:eastAsia="en-US"/>
        </w:rPr>
      </w:pPr>
      <w:r>
        <w:rPr>
          <w:rFonts w:hint="eastAsia"/>
          <w:lang w:eastAsia="en-US"/>
        </w:rPr>
        <w:t>工程泥浆应通过工程现场设施的泥浆池或密闭容器收集、存放，未经处理的工程泥浆不应就地或随意排放。</w:t>
      </w:r>
    </w:p>
    <w:p w14:paraId="64C710D4">
      <w:pPr>
        <w:pStyle w:val="4"/>
        <w:bidi w:val="0"/>
        <w:rPr>
          <w:rFonts w:hint="eastAsia"/>
          <w:lang w:eastAsia="en-US"/>
        </w:rPr>
      </w:pPr>
      <w:r>
        <w:rPr>
          <w:rFonts w:hint="eastAsia"/>
          <w:lang w:val="en-US" w:eastAsia="zh-CN"/>
        </w:rPr>
        <w:t>3、</w:t>
      </w:r>
      <w:r>
        <w:rPr>
          <w:rFonts w:hint="eastAsia"/>
          <w:lang w:eastAsia="en-US"/>
        </w:rPr>
        <w:t>工程垃圾污染防控措施</w:t>
      </w:r>
    </w:p>
    <w:p w14:paraId="78D0F29E">
      <w:pPr>
        <w:bidi w:val="0"/>
        <w:rPr>
          <w:rFonts w:hint="eastAsia"/>
          <w:lang w:eastAsia="en-US"/>
        </w:rPr>
      </w:pPr>
      <w:r>
        <w:rPr>
          <w:rFonts w:hint="eastAsia"/>
          <w:lang w:eastAsia="en-US"/>
        </w:rPr>
        <w:t>施工现场应设置工程垃圾存放点，并应设置分类存放标识牌，应制作围挡设施或封闭建造，并采取防泄漏、防飞扬、消防应急安全等措施。</w:t>
      </w:r>
    </w:p>
    <w:p w14:paraId="3C37314A">
      <w:pPr>
        <w:pStyle w:val="4"/>
        <w:bidi w:val="0"/>
        <w:rPr>
          <w:rFonts w:hint="eastAsia"/>
          <w:lang w:eastAsia="en-US"/>
        </w:rPr>
      </w:pPr>
      <w:r>
        <w:rPr>
          <w:rFonts w:hint="eastAsia"/>
          <w:lang w:val="en-US" w:eastAsia="zh-CN"/>
        </w:rPr>
        <w:t>4、</w:t>
      </w:r>
      <w:r>
        <w:rPr>
          <w:rFonts w:hint="eastAsia"/>
          <w:lang w:eastAsia="en-US"/>
        </w:rPr>
        <w:t>拆除垃圾、装修垃圾污染防控</w:t>
      </w:r>
    </w:p>
    <w:p w14:paraId="307BD72A">
      <w:pPr>
        <w:bidi w:val="0"/>
        <w:rPr>
          <w:lang w:eastAsia="en-US"/>
        </w:rPr>
      </w:pPr>
      <w:r>
        <w:rPr>
          <w:rFonts w:hint="eastAsia"/>
          <w:lang w:eastAsia="en-US"/>
        </w:rPr>
        <w:t>产生装修垃圾的单位和个人应当按照规定将装修垃圾分类袋装或者捆装后投放至指定的装修垃圾集置点，不得与生活垃圾混合投放。拆除垃圾、装修垃圾运输单位应取得建筑垃圾运输核准文件，保持车辆车况良好。接纳处置核准文件确定的建筑垃圾种类，不得接纳非建筑垃圾的其他固体废物。</w:t>
      </w:r>
    </w:p>
    <w:p w14:paraId="2006E2F7">
      <w:pPr>
        <w:pStyle w:val="3"/>
        <w:bidi w:val="0"/>
        <w:rPr>
          <w:rFonts w:hint="eastAsia" w:ascii="楷体" w:hAnsi="楷体" w:eastAsia="楷体" w:cs="楷体"/>
          <w:sz w:val="28"/>
          <w:szCs w:val="28"/>
          <w:lang w:eastAsia="en-US"/>
        </w:rPr>
      </w:pPr>
      <w:bookmarkStart w:id="245" w:name="bookmark118"/>
      <w:bookmarkEnd w:id="245"/>
      <w:bookmarkStart w:id="246" w:name="bookmark117"/>
      <w:bookmarkEnd w:id="246"/>
      <w:bookmarkStart w:id="247" w:name="_Toc26946"/>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二</w:t>
      </w:r>
      <w:r>
        <w:rPr>
          <w:rFonts w:hint="eastAsia" w:ascii="楷体" w:hAnsi="楷体" w:eastAsia="楷体" w:cs="楷体"/>
          <w:sz w:val="28"/>
          <w:szCs w:val="28"/>
          <w:lang w:eastAsia="zh-CN"/>
        </w:rPr>
        <w:t>）</w:t>
      </w:r>
      <w:r>
        <w:rPr>
          <w:rFonts w:hint="eastAsia" w:ascii="楷体" w:hAnsi="楷体" w:eastAsia="楷体" w:cs="楷体"/>
          <w:sz w:val="28"/>
          <w:szCs w:val="28"/>
          <w:lang w:eastAsia="en-US"/>
        </w:rPr>
        <w:t>环境保护措施</w:t>
      </w:r>
      <w:bookmarkEnd w:id="247"/>
    </w:p>
    <w:p w14:paraId="1DB1D7F2">
      <w:pPr>
        <w:pStyle w:val="4"/>
        <w:bidi w:val="0"/>
        <w:rPr>
          <w:lang w:eastAsia="en-US"/>
        </w:rPr>
      </w:pPr>
      <w:r>
        <w:rPr>
          <w:lang w:eastAsia="en-US"/>
        </w:rPr>
        <w:t>1、大气环境保护措施</w:t>
      </w:r>
    </w:p>
    <w:p w14:paraId="21E3E6DB">
      <w:pPr>
        <w:bidi w:val="0"/>
        <w:rPr>
          <w:lang w:eastAsia="en-US"/>
        </w:rPr>
      </w:pPr>
      <w:r>
        <w:rPr>
          <w:lang w:eastAsia="en-US"/>
        </w:rPr>
        <w:t>目前</w:t>
      </w:r>
      <w:r>
        <w:rPr>
          <w:rFonts w:hint="eastAsia"/>
          <w:lang w:val="en-US" w:eastAsia="zh-CN"/>
        </w:rPr>
        <w:t>桃江县</w:t>
      </w:r>
      <w:r>
        <w:rPr>
          <w:lang w:eastAsia="en-US"/>
        </w:rPr>
        <w:t>建筑垃圾在产生、运输、处置三个阶段均容易产生扬尘，对区域内的大气环境造成不同程度污染。大气环境保护主要采取以下防治措施：</w:t>
      </w:r>
    </w:p>
    <w:p w14:paraId="085E65C7">
      <w:pPr>
        <w:bidi w:val="0"/>
        <w:rPr>
          <w:lang w:eastAsia="en-US"/>
        </w:rPr>
      </w:pPr>
      <w:r>
        <w:rPr>
          <w:lang w:eastAsia="en-US"/>
        </w:rPr>
        <w:t>（1）建设单位在工程开工前，需要向建筑垃圾主管部门进行建筑垃圾产生的申报核准。建设单位有责任按照核准的要求，组织施工单位对建筑垃圾进行分类堆放。对于施工过程中产生的建筑垃圾要进行妥善的临时堆放管理，避免随意丢弃影响周边环境。</w:t>
      </w:r>
    </w:p>
    <w:p w14:paraId="349EC9EF">
      <w:pPr>
        <w:bidi w:val="0"/>
        <w:rPr>
          <w:lang w:eastAsia="en-US"/>
        </w:rPr>
      </w:pPr>
      <w:r>
        <w:rPr>
          <w:lang w:eastAsia="en-US"/>
        </w:rPr>
        <w:t>（2）施工现场土方作业应采取防止扬尘措施，施工现场应严格落实</w:t>
      </w:r>
      <w:r>
        <w:rPr>
          <w:rFonts w:hint="eastAsia"/>
          <w:lang w:eastAsia="zh-CN"/>
        </w:rPr>
        <w:t>“</w:t>
      </w:r>
      <w:r>
        <w:rPr>
          <w:lang w:eastAsia="en-US"/>
        </w:rPr>
        <w:t>六个百分百</w:t>
      </w:r>
      <w:r>
        <w:rPr>
          <w:rFonts w:hint="eastAsia"/>
          <w:lang w:eastAsia="zh-CN"/>
        </w:rPr>
        <w:t>”</w:t>
      </w:r>
      <w:r>
        <w:rPr>
          <w:lang w:eastAsia="en-US"/>
        </w:rPr>
        <w:t>加</w:t>
      </w:r>
      <w:r>
        <w:rPr>
          <w:rFonts w:hint="eastAsia"/>
          <w:lang w:eastAsia="zh-CN"/>
        </w:rPr>
        <w:t>“</w:t>
      </w:r>
      <w:r>
        <w:rPr>
          <w:lang w:eastAsia="en-US"/>
        </w:rPr>
        <w:t>两个全覆盖</w:t>
      </w:r>
      <w:r>
        <w:rPr>
          <w:rFonts w:hint="eastAsia"/>
          <w:lang w:eastAsia="zh-CN"/>
        </w:rPr>
        <w:t>”</w:t>
      </w:r>
      <w:r>
        <w:rPr>
          <w:lang w:eastAsia="en-US"/>
        </w:rPr>
        <w:t>。土方和建筑垃圾的运输必须采用封闭式运输车辆</w:t>
      </w:r>
      <w:bookmarkStart w:id="248" w:name="bookmark172"/>
      <w:bookmarkEnd w:id="248"/>
      <w:r>
        <w:rPr>
          <w:lang w:eastAsia="en-US"/>
        </w:rPr>
        <w:t>或采取覆盖措施。施工现场出口处应设置车辆冲洗设施，并应对驶出的车辆进行清洗。</w:t>
      </w:r>
    </w:p>
    <w:p w14:paraId="4A37EDBE">
      <w:pPr>
        <w:bidi w:val="0"/>
        <w:rPr>
          <w:lang w:eastAsia="en-US"/>
        </w:rPr>
      </w:pPr>
      <w:r>
        <w:rPr>
          <w:lang w:eastAsia="en-US"/>
        </w:rPr>
        <w:t>（3）积极应用全封闭智能运输车辆，推进渣土运输车辆改造或更新，</w:t>
      </w:r>
      <w:r>
        <w:rPr>
          <w:rFonts w:hint="eastAsia"/>
          <w:lang w:val="en-US" w:eastAsia="zh-CN"/>
        </w:rPr>
        <w:t>桃江县域内</w:t>
      </w:r>
      <w:r>
        <w:rPr>
          <w:lang w:eastAsia="en-US"/>
        </w:rPr>
        <w:t>所有渣土运输</w:t>
      </w:r>
      <w:bookmarkStart w:id="249" w:name="OLE_LINK112"/>
      <w:r>
        <w:rPr>
          <w:lang w:eastAsia="en-US"/>
        </w:rPr>
        <w:t>车辆应使用全密闭式运输。渣土运输车辆车厢后厢板与厢体间有相应的密封措施，且密封性能良好，当车辆前行、转弯、行经颠簸路面或紧急制动时，不应发生撒漏、扬尘。</w:t>
      </w:r>
    </w:p>
    <w:bookmarkEnd w:id="249"/>
    <w:p w14:paraId="1E44FDC3">
      <w:pPr>
        <w:bidi w:val="0"/>
        <w:rPr>
          <w:lang w:eastAsia="en-US"/>
        </w:rPr>
      </w:pPr>
      <w:r>
        <w:rPr>
          <w:lang w:eastAsia="en-US"/>
        </w:rPr>
        <w:t>（4）建筑垃圾堆填场在主要出入口宜设置洗车台，外出车辆宜冲洗干净后进入市政道路。 同时，作业场所应采取严格的抑尘措施。易产生扬尘的重点工序可采用雾化洒水降尘措施减少扬尘。</w:t>
      </w:r>
    </w:p>
    <w:p w14:paraId="55919C2E">
      <w:pPr>
        <w:bidi w:val="0"/>
        <w:rPr>
          <w:lang w:eastAsia="en-US"/>
        </w:rPr>
      </w:pPr>
      <w:r>
        <w:rPr>
          <w:lang w:eastAsia="en-US"/>
        </w:rPr>
        <w:t>（5）建筑垃圾资源化利用场厂区中的建筑垃圾原料贮存堆场应保证堆体的安全稳定性，并应采取防尘措施，可根据后续工艺进行预湿；建筑垃圾卸料、上料及处理过程中易产生扬尘的环节应采取抑尘、降尘及除尘措施。车间内应设计集中除尘设施，可采用布袋式除尘加静电除尘组合方式，除尘能力应与粉尘产生量相适应。</w:t>
      </w:r>
    </w:p>
    <w:p w14:paraId="2AA44D74">
      <w:pPr>
        <w:pStyle w:val="4"/>
        <w:bidi w:val="0"/>
        <w:rPr>
          <w:lang w:eastAsia="en-US"/>
        </w:rPr>
      </w:pPr>
      <w:r>
        <w:rPr>
          <w:lang w:eastAsia="en-US"/>
        </w:rPr>
        <w:t>2、水环境保护措施</w:t>
      </w:r>
    </w:p>
    <w:p w14:paraId="5DC4DCB4">
      <w:pPr>
        <w:bidi w:val="0"/>
        <w:rPr>
          <w:lang w:eastAsia="en-US"/>
        </w:rPr>
      </w:pPr>
      <w:r>
        <w:rPr>
          <w:lang w:eastAsia="en-US"/>
        </w:rPr>
        <w:t>建筑垃圾堆填场、资源化利用场等在运行过程中，堆填区由于雨水的淋溶、冲刷，以及地表水和地下水的浸泡而渗滤出污水，可能造成场地周边地表水、地下水的污染。水环境保护主要采取以下防治措施：</w:t>
      </w:r>
    </w:p>
    <w:p w14:paraId="2BFFEF40">
      <w:pPr>
        <w:bidi w:val="0"/>
        <w:rPr>
          <w:lang w:eastAsia="en-US"/>
        </w:rPr>
      </w:pPr>
      <w:r>
        <w:rPr>
          <w:lang w:eastAsia="en-US"/>
        </w:rPr>
        <w:t>（1）做好建筑垃圾堆填场入场垃圾管控，禁止所有工业固废、有毒有害废弃物、生活垃圾等入场或直接填埋。施工污水必须采取有效措施，严禁将污水直接排放，应经适当处置后再排放，避免对附近的水体造成污染。</w:t>
      </w:r>
    </w:p>
    <w:p w14:paraId="32CCAECB">
      <w:pPr>
        <w:bidi w:val="0"/>
        <w:rPr>
          <w:lang w:eastAsia="en-US"/>
        </w:rPr>
      </w:pPr>
      <w:r>
        <w:rPr>
          <w:lang w:eastAsia="en-US"/>
        </w:rPr>
        <w:t>（2）建筑垃圾堆填场和资源化利用场选址不应设在地下水集中供水水源地及补给区、洪泛区和泄洪道。</w:t>
      </w:r>
    </w:p>
    <w:p w14:paraId="7DEAB34E">
      <w:pPr>
        <w:bidi w:val="0"/>
        <w:rPr>
          <w:lang w:eastAsia="en-US"/>
        </w:rPr>
      </w:pPr>
      <w:r>
        <w:rPr>
          <w:lang w:eastAsia="en-US"/>
        </w:rPr>
        <w:t>（3）建筑垃圾堆填场既要防止污水污染地下水，又要防止地下水侵入、浸泡垃圾体而增加污水量，应采取有效措施做好防渗处理，防止污水渗漏对地下水质造成严重污染影响。</w:t>
      </w:r>
    </w:p>
    <w:p w14:paraId="545A0D9E">
      <w:pPr>
        <w:bidi w:val="0"/>
        <w:rPr>
          <w:lang w:val="en-US" w:eastAsia="en-US"/>
        </w:rPr>
      </w:pPr>
      <w:r>
        <w:rPr>
          <w:lang w:eastAsia="en-US"/>
        </w:rPr>
        <w:t>（4）建筑垃圾收集点、堆填场、资源化利用场所应设置雨、污分流设施，防止污染周边环境。同时，应建设渗滤液导排系统，确保堆填场、资源化利用场运行期间防渗衬层以上的渗滤液深度不大于30  厘米。</w:t>
      </w:r>
    </w:p>
    <w:p w14:paraId="4C919FEC">
      <w:pPr>
        <w:bidi w:val="0"/>
        <w:rPr>
          <w:lang w:eastAsia="en-US"/>
        </w:rPr>
      </w:pPr>
      <w:r>
        <w:rPr>
          <w:lang w:eastAsia="en-US"/>
        </w:rPr>
        <w:t>（5）建筑垃圾堆填场、资源化利用场运行过程中产生的运输车辆清洗废水可经沉淀池、隔油池处理后回用于填埋区、道路洒水抑尘。</w:t>
      </w:r>
    </w:p>
    <w:p w14:paraId="1753C8E9">
      <w:pPr>
        <w:pStyle w:val="4"/>
        <w:bidi w:val="0"/>
        <w:rPr>
          <w:lang w:eastAsia="en-US"/>
        </w:rPr>
      </w:pPr>
      <w:bookmarkStart w:id="250" w:name="bookmark173"/>
      <w:bookmarkEnd w:id="250"/>
      <w:r>
        <w:rPr>
          <w:lang w:eastAsia="en-US"/>
        </w:rPr>
        <w:t>3、土壤环境保护措施</w:t>
      </w:r>
    </w:p>
    <w:p w14:paraId="5A675580">
      <w:pPr>
        <w:bidi w:val="0"/>
        <w:rPr>
          <w:lang w:eastAsia="en-US"/>
        </w:rPr>
      </w:pPr>
      <w:r>
        <w:rPr>
          <w:lang w:eastAsia="en-US"/>
        </w:rPr>
        <w:t>建筑垃圾堆填场、资源化利用场运行过程中，堆填区可能混杂的工业固废、有毒有害废弃物、生活垃圾在雨水下渗后形成的渗滤液可能会对土壤环境产生影响。土壤环境保护主要采取以下防治措施：</w:t>
      </w:r>
    </w:p>
    <w:p w14:paraId="0B3C3E42">
      <w:pPr>
        <w:bidi w:val="0"/>
        <w:rPr>
          <w:lang w:eastAsia="en-US"/>
        </w:rPr>
      </w:pPr>
      <w:r>
        <w:rPr>
          <w:lang w:eastAsia="en-US"/>
        </w:rPr>
        <w:t>（1）针对建筑垃圾对土壤带来的污染种类，应做好源头控制，实行垃圾分类回收，回收可再利用的资源，禁止所有工业固废、有毒有害废弃物、生活垃圾等入场或直接填埋。积极做好污水导排系统和污水处理设施，严格避免污水流出防渗层之类的污染事故发生，做好消纳区植被覆盖，减轻污染。</w:t>
      </w:r>
    </w:p>
    <w:p w14:paraId="4261C5E3">
      <w:pPr>
        <w:bidi w:val="0"/>
        <w:rPr>
          <w:lang w:eastAsia="en-US"/>
        </w:rPr>
      </w:pPr>
      <w:r>
        <w:rPr>
          <w:lang w:eastAsia="en-US"/>
        </w:rPr>
        <w:t>（2）建筑垃圾治理建设项目各类涉及土地利用的规划和可能造成土壤污染的建设项目，应当依法进行环境影响评价。环境影响评价文件应当包括对土壤可能造成的不良影响及应当采取的相应预防措施等内容。</w:t>
      </w:r>
    </w:p>
    <w:p w14:paraId="001ABC89">
      <w:pPr>
        <w:bidi w:val="0"/>
        <w:rPr>
          <w:lang w:eastAsia="en-US"/>
        </w:rPr>
      </w:pPr>
      <w:r>
        <w:rPr>
          <w:lang w:eastAsia="en-US"/>
        </w:rPr>
        <w:t>（3）建立土壤污染隐患排查制度，保证持续有效防止有毒有害物质渗漏、流失、扬散，进行土壤污染状况监测和定期评估，制定、实施自行监测方案，并将监测数据报生态环境主管部门。</w:t>
      </w:r>
    </w:p>
    <w:p w14:paraId="590F9FCF">
      <w:pPr>
        <w:bidi w:val="0"/>
        <w:rPr>
          <w:lang w:eastAsia="en-US"/>
        </w:rPr>
      </w:pPr>
      <w:r>
        <w:rPr>
          <w:lang w:eastAsia="en-US"/>
        </w:rPr>
        <w:t>（4）建筑垃圾产生源头，如拆除设施、设备或者建筑物、构筑物的区域，应当采取相应的土壤污染防治措施。</w:t>
      </w:r>
    </w:p>
    <w:p w14:paraId="3FEBC350">
      <w:pPr>
        <w:pStyle w:val="4"/>
        <w:bidi w:val="0"/>
        <w:rPr>
          <w:lang w:eastAsia="en-US"/>
        </w:rPr>
      </w:pPr>
      <w:r>
        <w:rPr>
          <w:lang w:eastAsia="en-US"/>
        </w:rPr>
        <w:t>4、声环境保护措施</w:t>
      </w:r>
    </w:p>
    <w:p w14:paraId="23029D9A">
      <w:pPr>
        <w:bidi w:val="0"/>
        <w:rPr>
          <w:lang w:eastAsia="en-US"/>
        </w:rPr>
      </w:pPr>
      <w:r>
        <w:rPr>
          <w:lang w:eastAsia="en-US"/>
        </w:rPr>
        <w:t>建筑垃圾在产生、运输、处置三个阶段均会产生一定的噪声，对区域内的环境造成不同程度的影响。声环境保护主要采取以下防治措施：</w:t>
      </w:r>
    </w:p>
    <w:p w14:paraId="1F925CC4">
      <w:pPr>
        <w:bidi w:val="0"/>
        <w:rPr>
          <w:lang w:eastAsia="en-US"/>
        </w:rPr>
      </w:pPr>
      <w:r>
        <w:rPr>
          <w:lang w:eastAsia="en-US"/>
        </w:rPr>
        <w:t>（1）严格控制施工工地在夜间进行产生环境噪声污染的建设施工。因生产工艺要求或者特殊需要必须连续作业，确需进行夜间施工的，必须办理《夜间施工许可证》， 并在工地进出口悬挂，公告附近居民，与居民进行沟通，求得理解和支持。 控制施工场界噪声不超过《建筑施工场界环境噪声排放标准》（GB12523-2011）。</w:t>
      </w:r>
    </w:p>
    <w:p w14:paraId="2C6A8385">
      <w:pPr>
        <w:bidi w:val="0"/>
        <w:rPr>
          <w:lang w:eastAsia="en-US"/>
        </w:rPr>
      </w:pPr>
      <w:r>
        <w:rPr>
          <w:lang w:eastAsia="en-US"/>
        </w:rPr>
        <w:t>（2）建筑垃圾收集、运输、处理系统应选取低噪声运输车辆，车辆在车厢开启、关闭、卸料时产生的噪声应符合《建筑垃圾处理技术标准》（CJJ/T 134）相关要求。</w:t>
      </w:r>
    </w:p>
    <w:p w14:paraId="35D960FB">
      <w:pPr>
        <w:bidi w:val="0"/>
        <w:rPr>
          <w:lang w:eastAsia="en-US"/>
        </w:rPr>
      </w:pPr>
      <w:r>
        <w:rPr>
          <w:lang w:eastAsia="en-US"/>
        </w:rPr>
        <w:t>（3）宜通过建立绿化缓冲带、设置噪声屏障或封闭车间控制堆填场和资源化处理场噪声。</w:t>
      </w:r>
    </w:p>
    <w:p w14:paraId="2836F88F">
      <w:pPr>
        <w:bidi w:val="0"/>
        <w:rPr>
          <w:lang w:eastAsia="en-US"/>
        </w:rPr>
      </w:pPr>
      <w:r>
        <w:rPr>
          <w:lang w:eastAsia="en-US"/>
        </w:rPr>
        <w:t>（4）尽量选用低噪音设备，噪声大的建筑垃圾资源化处理车间，宜采取隔声罩、隔声间 或者在车间建筑内墙附加吸声材料等方式降低噪声。</w:t>
      </w:r>
    </w:p>
    <w:p w14:paraId="5357DBC0">
      <w:pPr>
        <w:pStyle w:val="4"/>
        <w:bidi w:val="0"/>
        <w:rPr>
          <w:lang w:eastAsia="en-US"/>
        </w:rPr>
      </w:pPr>
      <w:bookmarkStart w:id="251" w:name="bookmark119"/>
      <w:bookmarkEnd w:id="251"/>
      <w:bookmarkStart w:id="252" w:name="bookmark120"/>
      <w:bookmarkEnd w:id="252"/>
      <w:r>
        <w:rPr>
          <w:rFonts w:hint="eastAsia"/>
          <w:lang w:eastAsia="zh-CN"/>
        </w:rPr>
        <w:t>（</w:t>
      </w:r>
      <w:r>
        <w:rPr>
          <w:rFonts w:hint="eastAsia"/>
          <w:lang w:val="en-US" w:eastAsia="zh-CN"/>
        </w:rPr>
        <w:t>三</w:t>
      </w:r>
      <w:r>
        <w:rPr>
          <w:rFonts w:hint="eastAsia"/>
          <w:lang w:eastAsia="zh-CN"/>
        </w:rPr>
        <w:t>）</w:t>
      </w:r>
      <w:r>
        <w:rPr>
          <w:lang w:eastAsia="en-US"/>
        </w:rPr>
        <w:t>生态恢复措施</w:t>
      </w:r>
    </w:p>
    <w:p w14:paraId="23BDFCF1">
      <w:pPr>
        <w:bidi w:val="0"/>
        <w:rPr>
          <w:lang w:eastAsia="en-US"/>
        </w:rPr>
      </w:pPr>
      <w:r>
        <w:rPr>
          <w:lang w:eastAsia="en-US"/>
        </w:rPr>
        <w:t>对因建筑垃圾堆填等活动受损的生态环境，制定多样的生态恢复措施，包括植被恢复、土地复垦、土壤改良等。</w:t>
      </w:r>
    </w:p>
    <w:p w14:paraId="69136BF0">
      <w:pPr>
        <w:bidi w:val="0"/>
        <w:rPr>
          <w:lang w:eastAsia="en-US"/>
        </w:rPr>
      </w:pPr>
      <w:r>
        <w:rPr>
          <w:rFonts w:hint="eastAsia"/>
          <w:lang w:eastAsia="en-US"/>
        </w:rPr>
        <w:t>建筑垃圾</w:t>
      </w:r>
      <w:r>
        <w:rPr>
          <w:rFonts w:hint="eastAsia"/>
          <w:lang w:val="en-US" w:eastAsia="zh-CN"/>
        </w:rPr>
        <w:t>填埋</w:t>
      </w:r>
      <w:r>
        <w:rPr>
          <w:rFonts w:hint="eastAsia"/>
          <w:lang w:eastAsia="en-US"/>
        </w:rPr>
        <w:t>场封场后，应进行生态修复，将形成以生物多样性低、功能下降为特征的各式各样的退化生态系统，成为一个个难以痊愈的伤口，影响景观，破坏生态。在发达国家，关于建筑垃圾</w:t>
      </w:r>
      <w:r>
        <w:rPr>
          <w:rFonts w:hint="eastAsia"/>
          <w:lang w:val="en-US" w:eastAsia="zh-CN"/>
        </w:rPr>
        <w:t>填埋</w:t>
      </w:r>
      <w:r>
        <w:rPr>
          <w:rFonts w:hint="eastAsia"/>
          <w:lang w:eastAsia="en-US"/>
        </w:rPr>
        <w:t>场封场用地治理及恢复的法律体系正在逐渐形成，但是在发展中国家，对建筑垃圾</w:t>
      </w:r>
      <w:r>
        <w:rPr>
          <w:rFonts w:hint="eastAsia"/>
          <w:lang w:val="en-US" w:eastAsia="zh-CN"/>
        </w:rPr>
        <w:t>填埋</w:t>
      </w:r>
      <w:r>
        <w:rPr>
          <w:rFonts w:hint="eastAsia"/>
          <w:lang w:eastAsia="en-US"/>
        </w:rPr>
        <w:t>场封场用地的治理和恢复还没有得到重视。</w:t>
      </w:r>
    </w:p>
    <w:p w14:paraId="63B3B878">
      <w:pPr>
        <w:pStyle w:val="4"/>
        <w:bidi w:val="0"/>
        <w:rPr>
          <w:lang w:eastAsia="en-US"/>
        </w:rPr>
      </w:pPr>
      <w:r>
        <w:rPr>
          <w:lang w:eastAsia="en-US"/>
        </w:rPr>
        <w:t>1、植被恢复</w:t>
      </w:r>
    </w:p>
    <w:p w14:paraId="1BD6471F">
      <w:pPr>
        <w:bidi w:val="0"/>
        <w:rPr>
          <w:lang w:eastAsia="en-US"/>
        </w:rPr>
      </w:pPr>
      <w:r>
        <w:rPr>
          <w:lang w:eastAsia="en-US"/>
        </w:rPr>
        <w:t>优先选择适应性强、耐贫瘠、速生的乡土草本和灌木植物如狗牙根、芒草、胡枝子等，快速覆盖地表，防止水土流失，逐步恢复生态系统的生产力和生物多样性。通过不同树种的搭配和空间布局，为鸟类、小型哺乳动物和昆虫提供栖息地。将恢复区与周边现有的绿地、林地、水系通过生态廊道连接起来，形成完整的生态网络。</w:t>
      </w:r>
    </w:p>
    <w:p w14:paraId="10A7984F">
      <w:pPr>
        <w:pStyle w:val="4"/>
        <w:bidi w:val="0"/>
        <w:rPr>
          <w:lang w:eastAsia="en-US"/>
        </w:rPr>
      </w:pPr>
      <w:r>
        <w:rPr>
          <w:lang w:eastAsia="en-US"/>
        </w:rPr>
        <w:t>2、土地复垦</w:t>
      </w:r>
    </w:p>
    <w:p w14:paraId="3ED2E8D2">
      <w:pPr>
        <w:bidi w:val="0"/>
        <w:rPr>
          <w:lang w:eastAsia="en-US"/>
        </w:rPr>
      </w:pPr>
      <w:r>
        <w:rPr>
          <w:lang w:eastAsia="en-US"/>
        </w:rPr>
        <w:t>根据建筑垃圾堆填前土地类型确定复垦的方向，将受损地块恢复为林地、草地或园地。在复垦前，首先清除有害垃圾和大体积障碍物。同时，对不稳定的陡坡进行削坡处理，通过削坡减载、平整等，以消除地质灾害隐患，形成利于复垦的地形。根据复垦方向和立地条件，科学选择乡土树种和草种。在复垦后一段时间内，对土壤质量、水质、植被成活率与长势、边坡稳定性等进行定期监测。</w:t>
      </w:r>
    </w:p>
    <w:p w14:paraId="37044C19">
      <w:pPr>
        <w:pStyle w:val="4"/>
        <w:bidi w:val="0"/>
        <w:rPr>
          <w:lang w:eastAsia="en-US"/>
        </w:rPr>
      </w:pPr>
      <w:r>
        <w:rPr>
          <w:lang w:eastAsia="en-US"/>
        </w:rPr>
        <w:t>3、土壤改良</w:t>
      </w:r>
    </w:p>
    <w:p w14:paraId="4053E615">
      <w:pPr>
        <w:bidi w:val="0"/>
        <w:rPr>
          <w:lang w:eastAsia="en-US"/>
        </w:rPr>
      </w:pPr>
      <w:r>
        <w:rPr>
          <w:lang w:eastAsia="en-US"/>
        </w:rPr>
        <w:t>对板结的土壤进行深翻、掺入碎木屑、回收的砖瓦碎料等，改善透气性和排水性。针对碱性污染（来自混凝土碎块），可添加硫磺粉、腐殖酸等进行中和；对于贫瘠土壤，添加有机肥、堆肥提升肥力。此外，还可通过种植绿肥植物（如紫云英、苜蓿），利用其根系固氮和改良土壤结构。</w:t>
      </w:r>
    </w:p>
    <w:p w14:paraId="523E09EE">
      <w:pPr>
        <w:pStyle w:val="3"/>
        <w:bidi w:val="0"/>
        <w:rPr>
          <w:rFonts w:hint="eastAsia" w:ascii="楷体" w:hAnsi="楷体" w:eastAsia="楷体" w:cs="楷体"/>
          <w:sz w:val="28"/>
          <w:szCs w:val="28"/>
          <w:lang w:eastAsia="en-US"/>
        </w:rPr>
      </w:pPr>
      <w:bookmarkStart w:id="253" w:name="bookmark121"/>
      <w:bookmarkEnd w:id="253"/>
      <w:bookmarkStart w:id="254" w:name="bookmark122"/>
      <w:bookmarkEnd w:id="254"/>
      <w:bookmarkStart w:id="255" w:name="_Toc20033"/>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四</w:t>
      </w:r>
      <w:r>
        <w:rPr>
          <w:rFonts w:hint="eastAsia" w:ascii="楷体" w:hAnsi="楷体" w:eastAsia="楷体" w:cs="楷体"/>
          <w:sz w:val="28"/>
          <w:szCs w:val="28"/>
          <w:lang w:eastAsia="zh-CN"/>
        </w:rPr>
        <w:t>）</w:t>
      </w:r>
      <w:r>
        <w:rPr>
          <w:rFonts w:hint="eastAsia" w:ascii="楷体" w:hAnsi="楷体" w:eastAsia="楷体" w:cs="楷体"/>
          <w:sz w:val="28"/>
          <w:szCs w:val="28"/>
          <w:lang w:eastAsia="en-US"/>
        </w:rPr>
        <w:t>安全卫生措施</w:t>
      </w:r>
      <w:bookmarkEnd w:id="255"/>
    </w:p>
    <w:p w14:paraId="249385E8">
      <w:pPr>
        <w:bidi w:val="0"/>
        <w:rPr>
          <w:lang w:eastAsia="en-US"/>
        </w:rPr>
      </w:pPr>
      <w:r>
        <w:rPr>
          <w:rFonts w:hint="eastAsia"/>
          <w:lang w:eastAsia="en-US"/>
        </w:rPr>
        <w:t>各类建筑垃圾处置设施的安全控制作业过程的安全卫生管理应符合现行国家标准《生产过程安全卫生要求总则》GB/T12801的有关规定。做好火灾预防工作。保证场区雨污分流彻底。做好各类建筑垃圾处置设施的雷电防护。必须贯彻“安全第一，预防为主”和劳动保护条例的落实，确保职工身体健康。</w:t>
      </w:r>
    </w:p>
    <w:p w14:paraId="226760D8">
      <w:pPr>
        <w:bidi w:val="0"/>
        <w:rPr>
          <w:lang w:eastAsia="en-US"/>
        </w:rPr>
      </w:pPr>
      <w:r>
        <w:rPr>
          <w:lang w:eastAsia="en-US"/>
        </w:rPr>
        <w:t>应加强建筑垃圾全流程管理，定期组织开展建筑垃圾安全生产排查整治工作，抽查建筑垃圾排放、运输、消纳和资源化利用设施的安全运营管理情况，制定问题台账，及时整改，并持续跟踪。各类建筑垃圾处置设施的安全生产预防控制应符合以下要求：</w:t>
      </w:r>
    </w:p>
    <w:p w14:paraId="4693C0F1">
      <w:pPr>
        <w:bidi w:val="0"/>
        <w:rPr>
          <w:lang w:eastAsia="en-US"/>
        </w:rPr>
      </w:pPr>
      <w:r>
        <w:rPr>
          <w:lang w:eastAsia="en-US"/>
        </w:rPr>
        <w:t>（1）建筑垃圾处置作业过程的安全卫生管理应符合现行国家标准《生产过程安全卫生要求总则》（GB/T 12801）的有关规定。</w:t>
      </w:r>
    </w:p>
    <w:p w14:paraId="32E35693">
      <w:pPr>
        <w:bidi w:val="0"/>
        <w:rPr>
          <w:lang w:eastAsia="en-US"/>
        </w:rPr>
      </w:pPr>
      <w:r>
        <w:rPr>
          <w:lang w:eastAsia="en-US"/>
        </w:rPr>
        <w:t>（2）从事建筑垃圾收集、运输、处理的企业和单位应对作业人员进行劳动安全卫生保护专业培训。</w:t>
      </w:r>
    </w:p>
    <w:p w14:paraId="30F7BCD9">
      <w:pPr>
        <w:bidi w:val="0"/>
        <w:rPr>
          <w:lang w:eastAsia="en-US"/>
        </w:rPr>
      </w:pPr>
      <w:r>
        <w:rPr>
          <w:lang w:eastAsia="en-US"/>
        </w:rPr>
        <w:t>（3）建筑垃圾处理工程应按规定配置作业机械、劳动工具与职业病防护用品。</w:t>
      </w:r>
    </w:p>
    <w:p w14:paraId="2A136BC8">
      <w:pPr>
        <w:bidi w:val="0"/>
        <w:rPr>
          <w:lang w:eastAsia="en-US"/>
        </w:rPr>
      </w:pPr>
      <w:r>
        <w:rPr>
          <w:lang w:eastAsia="en-US"/>
        </w:rPr>
        <w:t>（4）应在建筑垃圾处理工程现场设置劳动防护用品贮存室，定期进行盘库和补充；应定期对使用过的劳动防护用品进行清洗和消毒；应及时更换有破损的劳动防护用品。</w:t>
      </w:r>
    </w:p>
    <w:p w14:paraId="115CBED0">
      <w:pPr>
        <w:bidi w:val="0"/>
        <w:rPr>
          <w:lang w:eastAsia="en-US"/>
        </w:rPr>
      </w:pPr>
      <w:r>
        <w:rPr>
          <w:lang w:eastAsia="en-US"/>
        </w:rPr>
        <w:t>（5）建筑垃圾处理工程应设道路行车指示、安全标志及环境卫生设施标志。</w:t>
      </w:r>
    </w:p>
    <w:p w14:paraId="3B4D7690">
      <w:pPr>
        <w:bidi w:val="0"/>
        <w:rPr>
          <w:lang w:eastAsia="en-US"/>
        </w:rPr>
      </w:pPr>
      <w:r>
        <w:rPr>
          <w:lang w:eastAsia="en-US"/>
        </w:rPr>
        <w:t>（6）建筑垃圾收集、运输、处理系统的环境保护与安全卫生除满足以上规定外，尚应符合国家现行相关标准的规定。</w:t>
      </w:r>
    </w:p>
    <w:p w14:paraId="123F9194">
      <w:pPr>
        <w:bidi w:val="0"/>
        <w:rPr>
          <w:rFonts w:hint="eastAsia"/>
          <w:lang w:eastAsia="en-US"/>
        </w:rPr>
      </w:pPr>
      <w:r>
        <w:rPr>
          <w:lang w:eastAsia="en-US"/>
        </w:rPr>
        <w:t>（7）建筑垃圾堆放、堆填、填埋处置高度和边坡应符合安全稳定要求。建筑垃圾堆放高度高出地坪不宜超过3m。当超过3m时，应进行堆体和地基稳定性验算，保证堆体和地基的稳定安全。当堆放场地附近有挖方工程时，应进行堆体</w:t>
      </w:r>
      <w:r>
        <w:rPr>
          <w:rFonts w:hint="eastAsia"/>
          <w:lang w:eastAsia="en-US"/>
        </w:rPr>
        <w:t>和挖方边坡稳定性验算，保证挖方工程安全。堆填施工边坡坡度不宜大于1</w:t>
      </w:r>
      <w:r>
        <w:rPr>
          <w:rFonts w:hint="eastAsia"/>
          <w:lang w:eastAsia="zh-CN"/>
        </w:rPr>
        <w:t>：</w:t>
      </w:r>
      <w:r>
        <w:rPr>
          <w:rFonts w:hint="eastAsia"/>
          <w:lang w:eastAsia="en-US"/>
        </w:rPr>
        <w:t>2</w:t>
      </w:r>
      <w:r>
        <w:rPr>
          <w:rFonts w:hint="eastAsia"/>
          <w:lang w:eastAsia="zh-CN"/>
        </w:rPr>
        <w:t>，</w:t>
      </w:r>
      <w:r>
        <w:rPr>
          <w:rFonts w:hint="eastAsia"/>
          <w:lang w:eastAsia="en-US"/>
        </w:rPr>
        <w:t>基础压实程度不应小于93%，边坡压实程度不应小于90%。</w:t>
      </w:r>
    </w:p>
    <w:p w14:paraId="6C2BAF45">
      <w:pPr>
        <w:bidi w:val="0"/>
        <w:rPr>
          <w:rFonts w:hint="eastAsia"/>
          <w:lang w:eastAsia="en-US"/>
        </w:rPr>
      </w:pPr>
      <w:bookmarkStart w:id="256" w:name="OLE_LINK115"/>
      <w:r>
        <w:rPr>
          <w:rFonts w:hint="eastAsia"/>
          <w:lang w:eastAsia="en-US"/>
        </w:rPr>
        <w:t>（8）堆填场应设置排水措施，堆体应进行覆盖，防止雨水及地表水入侵，确保堆体稳定；雨季作业时，应采取措施防止地面水流入堆填点内部，避免边坡塌方。根据场地实际地形地貌情况修筑挡土坝，增加边坡稳定性。</w:t>
      </w:r>
    </w:p>
    <w:p w14:paraId="26DBA194">
      <w:pPr>
        <w:bidi w:val="0"/>
        <w:rPr>
          <w:rFonts w:hint="eastAsia"/>
          <w:lang w:eastAsia="en-US"/>
        </w:rPr>
      </w:pPr>
      <w:r>
        <w:rPr>
          <w:rFonts w:hint="eastAsia"/>
          <w:lang w:eastAsia="en-US"/>
        </w:rPr>
        <w:t>（9）建筑垃圾处理工程现场的劳动卫生应按现行国家标准《工业企业设计卫生标准》（GBZ 1-2010）《生产过程安全卫生要求总则》（GB/T 12801-2008）的有关规定执行，并应结合作业特点采取有利于职业病防治和保护作业人员健康的措施。</w:t>
      </w:r>
    </w:p>
    <w:bookmarkEnd w:id="256"/>
    <w:p w14:paraId="7DA12A0E">
      <w:pPr>
        <w:pStyle w:val="2"/>
        <w:bidi w:val="0"/>
        <w:rPr>
          <w:rFonts w:hint="eastAsia"/>
        </w:rPr>
      </w:pPr>
      <w:bookmarkStart w:id="257" w:name="_Toc21790"/>
      <w:r>
        <w:rPr>
          <w:rFonts w:hint="eastAsia"/>
          <w:lang w:val="en-US" w:eastAsia="zh-CN"/>
        </w:rPr>
        <w:t>十一、</w:t>
      </w:r>
      <w:r>
        <w:rPr>
          <w:rFonts w:hint="eastAsia"/>
        </w:rPr>
        <w:t>近期建设规划</w:t>
      </w:r>
      <w:bookmarkEnd w:id="257"/>
    </w:p>
    <w:p w14:paraId="43C33890">
      <w:pPr>
        <w:pStyle w:val="3"/>
        <w:bidi w:val="0"/>
        <w:rPr>
          <w:rFonts w:hint="eastAsia" w:ascii="楷体" w:hAnsi="楷体" w:eastAsia="楷体" w:cs="楷体"/>
          <w:sz w:val="28"/>
          <w:szCs w:val="28"/>
        </w:rPr>
      </w:pPr>
      <w:bookmarkStart w:id="258" w:name="_Toc19820"/>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一</w:t>
      </w:r>
      <w:r>
        <w:rPr>
          <w:rFonts w:hint="eastAsia" w:ascii="楷体" w:hAnsi="楷体" w:eastAsia="楷体" w:cs="楷体"/>
          <w:sz w:val="28"/>
          <w:szCs w:val="28"/>
          <w:lang w:eastAsia="zh-CN"/>
        </w:rPr>
        <w:t>）</w:t>
      </w:r>
      <w:r>
        <w:rPr>
          <w:rFonts w:hint="eastAsia" w:ascii="楷体" w:hAnsi="楷体" w:eastAsia="楷体" w:cs="楷体"/>
          <w:sz w:val="28"/>
          <w:szCs w:val="28"/>
        </w:rPr>
        <w:t>近期建设任务</w:t>
      </w:r>
      <w:bookmarkEnd w:id="258"/>
    </w:p>
    <w:p w14:paraId="49A328A2">
      <w:pPr>
        <w:bidi w:val="0"/>
        <w:rPr>
          <w:rFonts w:hint="eastAsia"/>
        </w:rPr>
      </w:pPr>
      <w:r>
        <w:rPr>
          <w:rFonts w:hint="eastAsia"/>
        </w:rPr>
        <w:t>近期建设内容主要包括建筑垃圾</w:t>
      </w:r>
      <w:bookmarkStart w:id="259" w:name="OLE_LINK114"/>
      <w:r>
        <w:rPr>
          <w:rFonts w:hint="eastAsia"/>
        </w:rPr>
        <w:t>处理</w:t>
      </w:r>
      <w:bookmarkEnd w:id="259"/>
      <w:r>
        <w:rPr>
          <w:rFonts w:hint="eastAsia"/>
        </w:rPr>
        <w:t>设施建设和建筑垃圾信息化管理平台建设，从硬件和软件两个方面提升</w:t>
      </w:r>
      <w:r>
        <w:rPr>
          <w:rFonts w:hint="eastAsia"/>
          <w:lang w:val="en-US" w:eastAsia="zh-CN"/>
        </w:rPr>
        <w:t>桃江县</w:t>
      </w:r>
      <w:r>
        <w:rPr>
          <w:rFonts w:hint="eastAsia"/>
        </w:rPr>
        <w:t>建筑垃圾综合利用水平和处置消纳能力。</w:t>
      </w:r>
    </w:p>
    <w:p w14:paraId="3304DFB6">
      <w:pPr>
        <w:pStyle w:val="4"/>
        <w:bidi w:val="0"/>
        <w:rPr>
          <w:rFonts w:hint="eastAsia"/>
        </w:rPr>
      </w:pPr>
      <w:r>
        <w:rPr>
          <w:rFonts w:hint="eastAsia"/>
        </w:rPr>
        <w:t>1、建筑垃圾处理设施建设</w:t>
      </w:r>
    </w:p>
    <w:p w14:paraId="4B7A4F83">
      <w:pPr>
        <w:bidi w:val="0"/>
        <w:rPr>
          <w:rFonts w:hint="eastAsia"/>
        </w:rPr>
      </w:pPr>
      <w:r>
        <w:rPr>
          <w:rFonts w:ascii="Times New Roman" w:hAnsi="Times New Roman" w:eastAsia="仿宋" w:cs="Times New Roman"/>
          <w:sz w:val="28"/>
          <w:lang w:eastAsia="en-US"/>
        </w:rPr>
        <w:t>近期规划在</w:t>
      </w:r>
      <w:r>
        <w:rPr>
          <w:rFonts w:hint="eastAsia" w:cs="Times New Roman"/>
          <w:sz w:val="28"/>
          <w:lang w:val="en-US" w:eastAsia="zh-CN"/>
        </w:rPr>
        <w:t>鸬鹚渡镇</w:t>
      </w:r>
      <w:r>
        <w:rPr>
          <w:rFonts w:hint="eastAsia" w:ascii="Times New Roman" w:hAnsi="Times New Roman" w:eastAsia="仿宋" w:cs="Times New Roman"/>
          <w:sz w:val="28"/>
          <w:lang w:val="en-US" w:eastAsia="zh-CN"/>
        </w:rPr>
        <w:t>建设一座处理能力不低于</w:t>
      </w:r>
      <w:r>
        <w:rPr>
          <w:rFonts w:hint="eastAsia" w:cs="Times New Roman"/>
          <w:sz w:val="28"/>
          <w:lang w:val="en-US" w:eastAsia="zh-CN"/>
        </w:rPr>
        <w:t>90</w:t>
      </w:r>
      <w:r>
        <w:rPr>
          <w:rFonts w:hint="eastAsia" w:ascii="Times New Roman" w:hAnsi="Times New Roman" w:eastAsia="仿宋" w:cs="Times New Roman"/>
          <w:sz w:val="28"/>
          <w:lang w:val="en-US" w:eastAsia="zh-CN"/>
        </w:rPr>
        <w:t>万吨的建筑垃圾填埋场</w:t>
      </w:r>
      <w:r>
        <w:rPr>
          <w:rFonts w:ascii="Times New Roman" w:hAnsi="Times New Roman" w:eastAsia="仿宋" w:cs="Times New Roman"/>
          <w:sz w:val="28"/>
          <w:lang w:eastAsia="en-US"/>
        </w:rPr>
        <w:t>，</w:t>
      </w:r>
      <w:r>
        <w:rPr>
          <w:rFonts w:hint="eastAsia" w:ascii="Times New Roman" w:hAnsi="Times New Roman" w:eastAsia="仿宋" w:cs="Times New Roman"/>
          <w:sz w:val="28"/>
          <w:lang w:val="en-US" w:eastAsia="zh-CN"/>
        </w:rPr>
        <w:t>在牛田镇和</w:t>
      </w:r>
      <w:bookmarkStart w:id="260" w:name="OLE_LINK118"/>
      <w:r>
        <w:rPr>
          <w:rFonts w:hint="eastAsia" w:cs="Times New Roman"/>
          <w:sz w:val="28"/>
          <w:lang w:val="en-US" w:eastAsia="zh-CN"/>
        </w:rPr>
        <w:t>大栗港</w:t>
      </w:r>
      <w:r>
        <w:rPr>
          <w:rFonts w:hint="eastAsia" w:ascii="Times New Roman" w:hAnsi="Times New Roman" w:eastAsia="仿宋" w:cs="Times New Roman"/>
          <w:sz w:val="28"/>
          <w:lang w:val="en-US" w:eastAsia="zh-CN"/>
        </w:rPr>
        <w:t>镇</w:t>
      </w:r>
      <w:bookmarkEnd w:id="260"/>
      <w:r>
        <w:rPr>
          <w:rFonts w:hint="eastAsia" w:ascii="Times New Roman" w:hAnsi="Times New Roman" w:eastAsia="仿宋" w:cs="Times New Roman"/>
          <w:sz w:val="28"/>
          <w:lang w:val="en-US" w:eastAsia="zh-CN"/>
        </w:rPr>
        <w:t>分别建设一座年处理能力不低于</w:t>
      </w:r>
      <w:r>
        <w:rPr>
          <w:rFonts w:hint="eastAsia" w:cs="Times New Roman"/>
          <w:sz w:val="28"/>
          <w:lang w:val="en-US" w:eastAsia="zh-CN"/>
        </w:rPr>
        <w:t>25</w:t>
      </w:r>
      <w:r>
        <w:rPr>
          <w:rFonts w:hint="eastAsia" w:ascii="Times New Roman" w:hAnsi="Times New Roman" w:eastAsia="仿宋" w:cs="Times New Roman"/>
          <w:sz w:val="28"/>
          <w:lang w:val="en-US" w:eastAsia="zh-CN"/>
        </w:rPr>
        <w:t>万吨的</w:t>
      </w:r>
      <w:bookmarkStart w:id="261" w:name="OLE_LINK117"/>
      <w:r>
        <w:rPr>
          <w:rFonts w:hint="eastAsia" w:ascii="Times New Roman" w:hAnsi="Times New Roman" w:eastAsia="仿宋" w:cs="Times New Roman"/>
          <w:sz w:val="28"/>
          <w:lang w:val="en-US" w:eastAsia="zh-CN"/>
        </w:rPr>
        <w:t>转运调配场</w:t>
      </w:r>
      <w:bookmarkEnd w:id="261"/>
      <w:r>
        <w:rPr>
          <w:rFonts w:hint="eastAsia" w:ascii="Times New Roman" w:hAnsi="Times New Roman" w:eastAsia="仿宋" w:cs="Times New Roman"/>
          <w:sz w:val="28"/>
          <w:lang w:val="en-US" w:eastAsia="zh-CN"/>
        </w:rPr>
        <w:t>。</w:t>
      </w:r>
    </w:p>
    <w:p w14:paraId="6E04A6C1">
      <w:pPr>
        <w:bidi w:val="0"/>
        <w:rPr>
          <w:rFonts w:hint="eastAsia"/>
        </w:rPr>
      </w:pPr>
      <w:r>
        <w:rPr>
          <w:rFonts w:hint="eastAsia"/>
        </w:rPr>
        <w:t>（1）</w:t>
      </w:r>
      <w:bookmarkStart w:id="262" w:name="OLE_LINK120"/>
      <w:bookmarkStart w:id="263" w:name="OLE_LINK126"/>
      <w:r>
        <w:rPr>
          <w:rFonts w:hint="eastAsia" w:cs="Times New Roman"/>
          <w:sz w:val="28"/>
          <w:lang w:val="en-US" w:eastAsia="zh-CN"/>
        </w:rPr>
        <w:t>鸬鹚渡镇</w:t>
      </w:r>
      <w:r>
        <w:rPr>
          <w:rFonts w:hint="eastAsia"/>
        </w:rPr>
        <w:t>建</w:t>
      </w:r>
      <w:bookmarkEnd w:id="262"/>
      <w:r>
        <w:rPr>
          <w:rFonts w:hint="eastAsia"/>
        </w:rPr>
        <w:t>筑垃圾堆填场</w:t>
      </w:r>
      <w:bookmarkEnd w:id="263"/>
    </w:p>
    <w:p w14:paraId="1B8C988C">
      <w:pPr>
        <w:bidi w:val="0"/>
        <w:rPr>
          <w:rFonts w:hint="eastAsia"/>
        </w:rPr>
      </w:pPr>
      <w:r>
        <w:rPr>
          <w:rFonts w:hint="eastAsia"/>
          <w:lang w:val="en-US" w:eastAsia="zh-CN"/>
        </w:rPr>
        <w:t>桃江县</w:t>
      </w:r>
      <w:r>
        <w:rPr>
          <w:rFonts w:hint="eastAsia" w:cs="Times New Roman"/>
          <w:sz w:val="28"/>
          <w:lang w:val="en-US" w:eastAsia="zh-CN"/>
        </w:rPr>
        <w:t>鸬鹚渡镇</w:t>
      </w:r>
      <w:r>
        <w:rPr>
          <w:rFonts w:hint="eastAsia"/>
        </w:rPr>
        <w:t>建筑垃圾堆填场规划用地面积约</w:t>
      </w:r>
      <w:r>
        <w:rPr>
          <w:rFonts w:hint="eastAsia"/>
          <w:lang w:val="en-US" w:eastAsia="zh-CN"/>
        </w:rPr>
        <w:t>50</w:t>
      </w:r>
      <w:r>
        <w:rPr>
          <w:rFonts w:hint="eastAsia"/>
        </w:rPr>
        <w:t>亩。规划可处理建筑垃圾量约</w:t>
      </w:r>
      <w:r>
        <w:rPr>
          <w:rFonts w:hint="eastAsia"/>
          <w:lang w:val="en-US" w:eastAsia="zh-CN"/>
        </w:rPr>
        <w:t>90</w:t>
      </w:r>
      <w:r>
        <w:rPr>
          <w:rFonts w:hint="eastAsia"/>
        </w:rPr>
        <w:t>万吨。主要建设内容包括建筑垃圾堆填处置场地、分拣设施、道路硬化、洗车槽和喷淋设备等配套基础设施等，项目总投资约</w:t>
      </w:r>
      <w:r>
        <w:rPr>
          <w:rFonts w:hint="eastAsia"/>
          <w:lang w:val="en-US" w:eastAsia="zh-CN"/>
        </w:rPr>
        <w:t>2000</w:t>
      </w:r>
      <w:r>
        <w:rPr>
          <w:rFonts w:hint="eastAsia"/>
        </w:rPr>
        <w:t>万元。</w:t>
      </w:r>
    </w:p>
    <w:p w14:paraId="71FAF4E8">
      <w:pPr>
        <w:bidi w:val="0"/>
        <w:rPr>
          <w:rFonts w:hint="eastAsia" w:ascii="仿宋" w:hAnsi="仿宋" w:eastAsia="仿宋" w:cs="仿宋"/>
          <w:lang w:val="en-US" w:eastAsia="zh-CN"/>
        </w:rPr>
      </w:pPr>
      <w:r>
        <w:rPr>
          <w:rFonts w:hint="eastAsia" w:ascii="仿宋" w:hAnsi="仿宋" w:eastAsia="仿宋" w:cs="仿宋"/>
        </w:rPr>
        <w:t>（2）</w:t>
      </w:r>
      <w:bookmarkStart w:id="264" w:name="OLE_LINK122"/>
      <w:bookmarkStart w:id="265" w:name="OLE_LINK127"/>
      <w:r>
        <w:rPr>
          <w:rFonts w:hint="eastAsia" w:ascii="仿宋" w:hAnsi="仿宋" w:eastAsia="仿宋" w:cs="仿宋"/>
          <w:sz w:val="28"/>
          <w:lang w:val="en-US" w:eastAsia="zh-CN"/>
        </w:rPr>
        <w:t>牛田镇</w:t>
      </w:r>
      <w:r>
        <w:rPr>
          <w:rFonts w:hint="eastAsia" w:ascii="仿宋" w:hAnsi="仿宋" w:eastAsia="仿宋" w:cs="仿宋"/>
        </w:rPr>
        <w:t>建筑垃圾</w:t>
      </w:r>
      <w:bookmarkEnd w:id="264"/>
      <w:bookmarkStart w:id="266" w:name="OLE_LINK119"/>
      <w:bookmarkStart w:id="267" w:name="OLE_LINK123"/>
      <w:r>
        <w:rPr>
          <w:rFonts w:hint="eastAsia" w:ascii="仿宋" w:hAnsi="仿宋" w:eastAsia="仿宋" w:cs="仿宋"/>
          <w:lang w:val="en-US" w:eastAsia="zh-CN"/>
        </w:rPr>
        <w:t>转运调配</w:t>
      </w:r>
      <w:bookmarkEnd w:id="266"/>
      <w:r>
        <w:rPr>
          <w:rFonts w:hint="eastAsia" w:ascii="仿宋" w:hAnsi="仿宋" w:eastAsia="仿宋" w:cs="仿宋"/>
          <w:lang w:val="en-US" w:eastAsia="zh-CN"/>
        </w:rPr>
        <w:t>场</w:t>
      </w:r>
      <w:bookmarkEnd w:id="265"/>
      <w:bookmarkEnd w:id="267"/>
    </w:p>
    <w:p w14:paraId="2A19E137">
      <w:pPr>
        <w:bidi w:val="0"/>
        <w:rPr>
          <w:rFonts w:hint="eastAsia"/>
        </w:rPr>
      </w:pPr>
      <w:r>
        <w:rPr>
          <w:rFonts w:hint="eastAsia" w:ascii="仿宋" w:hAnsi="仿宋" w:eastAsia="仿宋" w:cs="仿宋"/>
          <w:lang w:val="en-US" w:eastAsia="zh-CN"/>
        </w:rPr>
        <w:t>桃江县</w:t>
      </w:r>
      <w:r>
        <w:rPr>
          <w:rFonts w:hint="eastAsia" w:ascii="仿宋" w:hAnsi="仿宋" w:eastAsia="仿宋" w:cs="仿宋"/>
          <w:sz w:val="28"/>
          <w:lang w:val="en-US" w:eastAsia="zh-CN"/>
        </w:rPr>
        <w:t>牛田镇</w:t>
      </w:r>
      <w:r>
        <w:rPr>
          <w:rFonts w:hint="eastAsia" w:ascii="仿宋" w:hAnsi="仿宋" w:eastAsia="仿宋" w:cs="仿宋"/>
        </w:rPr>
        <w:t>建筑垃圾</w:t>
      </w:r>
      <w:r>
        <w:rPr>
          <w:rFonts w:hint="eastAsia" w:ascii="仿宋" w:hAnsi="仿宋" w:eastAsia="仿宋" w:cs="仿宋"/>
          <w:lang w:val="en-US" w:eastAsia="zh-CN"/>
        </w:rPr>
        <w:t>转运调配</w:t>
      </w:r>
      <w:r>
        <w:rPr>
          <w:rFonts w:hint="eastAsia" w:ascii="仿宋" w:hAnsi="仿宋" w:cs="仿宋"/>
          <w:lang w:val="en-US" w:eastAsia="zh-CN"/>
        </w:rPr>
        <w:t>场</w:t>
      </w:r>
      <w:r>
        <w:rPr>
          <w:rFonts w:hint="eastAsia" w:ascii="仿宋" w:hAnsi="仿宋" w:eastAsia="仿宋" w:cs="仿宋"/>
        </w:rPr>
        <w:t>规划用地面积约</w:t>
      </w:r>
      <w:r>
        <w:rPr>
          <w:rFonts w:hint="eastAsia" w:ascii="仿宋" w:hAnsi="仿宋" w:cs="仿宋"/>
          <w:lang w:val="en-US" w:eastAsia="zh-CN"/>
        </w:rPr>
        <w:t>25</w:t>
      </w:r>
      <w:r>
        <w:rPr>
          <w:rFonts w:hint="eastAsia" w:ascii="仿宋" w:hAnsi="仿宋" w:eastAsia="仿宋" w:cs="仿宋"/>
        </w:rPr>
        <w:t>亩。</w:t>
      </w:r>
      <w:bookmarkStart w:id="268" w:name="OLE_LINK125"/>
      <w:r>
        <w:rPr>
          <w:rFonts w:hint="eastAsia" w:ascii="仿宋" w:hAnsi="仿宋" w:eastAsia="仿宋" w:cs="仿宋"/>
        </w:rPr>
        <w:t>规划可处理建筑垃</w:t>
      </w:r>
      <w:r>
        <w:rPr>
          <w:rFonts w:hint="eastAsia"/>
        </w:rPr>
        <w:t>圾量约</w:t>
      </w:r>
      <w:r>
        <w:rPr>
          <w:rFonts w:hint="eastAsia"/>
          <w:lang w:val="en-US" w:eastAsia="zh-CN"/>
        </w:rPr>
        <w:t>30</w:t>
      </w:r>
      <w:r>
        <w:rPr>
          <w:rFonts w:hint="eastAsia"/>
        </w:rPr>
        <w:t>万吨</w:t>
      </w:r>
      <w:r>
        <w:rPr>
          <w:rFonts w:hint="eastAsia"/>
          <w:lang w:val="en-US" w:eastAsia="zh-CN"/>
        </w:rPr>
        <w:t>/年</w:t>
      </w:r>
      <w:r>
        <w:rPr>
          <w:rFonts w:hint="eastAsia"/>
        </w:rPr>
        <w:t>。项目需要在完善环评、地勘、用地报批等手续的基础上，建设垃圾堆填处置场地、分拣设施、道路硬化等配套基础设施等，项目总投资约</w:t>
      </w:r>
      <w:r>
        <w:rPr>
          <w:rFonts w:hint="eastAsia"/>
          <w:lang w:val="en-US" w:eastAsia="zh-CN"/>
        </w:rPr>
        <w:t>1200</w:t>
      </w:r>
      <w:r>
        <w:rPr>
          <w:rFonts w:hint="eastAsia"/>
        </w:rPr>
        <w:t>万元。</w:t>
      </w:r>
    </w:p>
    <w:bookmarkEnd w:id="268"/>
    <w:p w14:paraId="094F0CB6">
      <w:pPr>
        <w:bidi w:val="0"/>
        <w:rPr>
          <w:rFonts w:hint="eastAsia"/>
        </w:rPr>
      </w:pPr>
      <w:r>
        <w:rPr>
          <w:rFonts w:hint="eastAsia"/>
        </w:rPr>
        <w:t>（3）</w:t>
      </w:r>
      <w:bookmarkStart w:id="269" w:name="OLE_LINK124"/>
      <w:bookmarkStart w:id="270" w:name="OLE_LINK128"/>
      <w:r>
        <w:rPr>
          <w:rFonts w:hint="eastAsia" w:cs="Times New Roman"/>
          <w:sz w:val="28"/>
          <w:lang w:val="en-US" w:eastAsia="zh-CN"/>
        </w:rPr>
        <w:t>大栗港</w:t>
      </w:r>
      <w:r>
        <w:rPr>
          <w:rFonts w:hint="eastAsia" w:ascii="Times New Roman" w:hAnsi="Times New Roman" w:eastAsia="仿宋" w:cs="Times New Roman"/>
          <w:sz w:val="28"/>
          <w:lang w:val="en-US" w:eastAsia="zh-CN"/>
        </w:rPr>
        <w:t>镇</w:t>
      </w:r>
      <w:r>
        <w:rPr>
          <w:rFonts w:hint="eastAsia"/>
        </w:rPr>
        <w:t>建筑垃圾</w:t>
      </w:r>
      <w:bookmarkEnd w:id="269"/>
      <w:r>
        <w:rPr>
          <w:rFonts w:hint="eastAsia" w:ascii="仿宋" w:hAnsi="仿宋" w:eastAsia="仿宋" w:cs="仿宋"/>
          <w:lang w:val="en-US" w:eastAsia="zh-CN"/>
        </w:rPr>
        <w:t>转运调配场</w:t>
      </w:r>
      <w:bookmarkEnd w:id="270"/>
    </w:p>
    <w:p w14:paraId="76A1FD28">
      <w:pPr>
        <w:bidi w:val="0"/>
        <w:rPr>
          <w:rFonts w:hint="eastAsia"/>
        </w:rPr>
      </w:pPr>
      <w:r>
        <w:rPr>
          <w:rFonts w:hint="eastAsia" w:ascii="Times New Roman" w:hAnsi="Times New Roman" w:eastAsia="仿宋" w:cs="Times New Roman"/>
          <w:sz w:val="28"/>
          <w:lang w:val="en-US" w:eastAsia="zh-CN"/>
        </w:rPr>
        <w:t>沾溪镇</w:t>
      </w:r>
      <w:r>
        <w:rPr>
          <w:rFonts w:hint="eastAsia"/>
        </w:rPr>
        <w:t>建筑垃圾</w:t>
      </w:r>
      <w:r>
        <w:rPr>
          <w:rFonts w:hint="eastAsia" w:ascii="仿宋" w:hAnsi="仿宋" w:eastAsia="仿宋" w:cs="仿宋"/>
          <w:lang w:val="en-US" w:eastAsia="zh-CN"/>
        </w:rPr>
        <w:t>转运调配场</w:t>
      </w:r>
      <w:r>
        <w:rPr>
          <w:rFonts w:hint="eastAsia"/>
        </w:rPr>
        <w:t>规划面积约</w:t>
      </w:r>
      <w:r>
        <w:rPr>
          <w:rFonts w:hint="eastAsia"/>
          <w:lang w:val="en-US" w:eastAsia="zh-CN"/>
        </w:rPr>
        <w:t>25</w:t>
      </w:r>
      <w:r>
        <w:rPr>
          <w:rFonts w:hint="eastAsia"/>
        </w:rPr>
        <w:t>亩</w:t>
      </w:r>
      <w:r>
        <w:rPr>
          <w:rFonts w:hint="eastAsia"/>
          <w:lang w:eastAsia="zh-CN"/>
        </w:rPr>
        <w:t>。</w:t>
      </w:r>
      <w:r>
        <w:rPr>
          <w:rFonts w:hint="eastAsia" w:ascii="仿宋" w:hAnsi="仿宋" w:eastAsia="仿宋" w:cs="仿宋"/>
        </w:rPr>
        <w:t>规划可处理建筑垃</w:t>
      </w:r>
      <w:r>
        <w:rPr>
          <w:rFonts w:hint="eastAsia"/>
        </w:rPr>
        <w:t>圾量约</w:t>
      </w:r>
      <w:r>
        <w:rPr>
          <w:rFonts w:hint="eastAsia"/>
          <w:lang w:val="en-US" w:eastAsia="zh-CN"/>
        </w:rPr>
        <w:t>30</w:t>
      </w:r>
      <w:r>
        <w:rPr>
          <w:rFonts w:hint="eastAsia"/>
        </w:rPr>
        <w:t>万吨</w:t>
      </w:r>
      <w:r>
        <w:rPr>
          <w:rFonts w:hint="eastAsia" w:ascii="Times New Roman" w:eastAsia="仿宋"/>
          <w:lang w:val="en-US" w:eastAsia="zh-CN"/>
        </w:rPr>
        <w:t>/年</w:t>
      </w:r>
      <w:r>
        <w:rPr>
          <w:rFonts w:hint="eastAsia"/>
        </w:rPr>
        <w:t>。项目需要在完善环评、地勘、用地报批等手续的基础上，建设垃圾堆填处置场地、分拣设施、道路硬化等配套基础设施等，项目总投资约</w:t>
      </w:r>
      <w:r>
        <w:rPr>
          <w:rFonts w:hint="eastAsia"/>
          <w:lang w:val="en-US" w:eastAsia="zh-CN"/>
        </w:rPr>
        <w:t>1200</w:t>
      </w:r>
      <w:r>
        <w:rPr>
          <w:rFonts w:hint="eastAsia"/>
        </w:rPr>
        <w:t>万元。</w:t>
      </w:r>
    </w:p>
    <w:p w14:paraId="6499A4CA">
      <w:pPr>
        <w:pStyle w:val="4"/>
        <w:bidi w:val="0"/>
        <w:rPr>
          <w:rFonts w:hint="eastAsia"/>
        </w:rPr>
      </w:pPr>
      <w:r>
        <w:rPr>
          <w:rFonts w:hint="eastAsia"/>
        </w:rPr>
        <w:t>2、建筑垃圾信息化平台建设</w:t>
      </w:r>
    </w:p>
    <w:p w14:paraId="231B9DDB">
      <w:pPr>
        <w:bidi w:val="0"/>
        <w:rPr>
          <w:rFonts w:hint="eastAsia"/>
        </w:rPr>
      </w:pPr>
      <w:r>
        <w:rPr>
          <w:rFonts w:hint="eastAsia"/>
        </w:rPr>
        <w:t>构建</w:t>
      </w:r>
      <w:r>
        <w:rPr>
          <w:rFonts w:hint="eastAsia"/>
          <w:lang w:val="en-US" w:eastAsia="zh-CN"/>
        </w:rPr>
        <w:t>桃江县</w:t>
      </w:r>
      <w:r>
        <w:rPr>
          <w:rFonts w:hint="eastAsia"/>
        </w:rPr>
        <w:t>智慧环卫平台，其中包含中心城区建筑垃圾监管综合服务子平台，并与湖南省建筑垃圾综合服务平台互联对接。落实部门责任，协调好平台运行工作机制。</w:t>
      </w:r>
    </w:p>
    <w:p w14:paraId="07BB56B8">
      <w:pPr>
        <w:bidi w:val="0"/>
        <w:rPr>
          <w:rFonts w:hint="eastAsia"/>
        </w:rPr>
      </w:pPr>
      <w:r>
        <w:rPr>
          <w:rFonts w:hint="eastAsia"/>
        </w:rPr>
        <w:t>完成对审批通过的运输单位和运输车辆的信息录入，通过监管系统对运输车辆的运输轨迹、密闭运输、处置流向、行驶速度等情况实时监控。实现渣土运输车定位信息与管理信息的有效结合。完成施工工地、建筑垃圾收运处置场所视频监控和进出信息记录，实现对建筑垃圾处置场所的动态监控。形成建筑垃圾运输车辆从施工工地到建筑垃圾处置场所的全过程监管闭环。主要建设内容包括建筑垃圾综合信息平台建设、运输车辆和建筑垃圾处置场所监控系统建设、环境保护与安全卫生监控系统建设等。</w:t>
      </w:r>
    </w:p>
    <w:p w14:paraId="467FDF02">
      <w:pPr>
        <w:pStyle w:val="3"/>
        <w:bidi w:val="0"/>
        <w:rPr>
          <w:rFonts w:hint="eastAsia" w:ascii="楷体" w:hAnsi="楷体" w:eastAsia="楷体" w:cs="楷体"/>
          <w:sz w:val="28"/>
          <w:szCs w:val="28"/>
        </w:rPr>
      </w:pPr>
      <w:bookmarkStart w:id="271" w:name="_Toc29315"/>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二</w:t>
      </w:r>
      <w:r>
        <w:rPr>
          <w:rFonts w:hint="eastAsia" w:ascii="楷体" w:hAnsi="楷体" w:eastAsia="楷体" w:cs="楷体"/>
          <w:sz w:val="28"/>
          <w:szCs w:val="28"/>
          <w:lang w:eastAsia="zh-CN"/>
        </w:rPr>
        <w:t>）</w:t>
      </w:r>
      <w:r>
        <w:rPr>
          <w:rFonts w:hint="eastAsia" w:ascii="楷体" w:hAnsi="楷体" w:eastAsia="楷体" w:cs="楷体"/>
          <w:sz w:val="28"/>
          <w:szCs w:val="28"/>
        </w:rPr>
        <w:t>投资估算</w:t>
      </w:r>
      <w:bookmarkEnd w:id="271"/>
    </w:p>
    <w:p w14:paraId="5387471E">
      <w:pPr>
        <w:bidi w:val="0"/>
        <w:rPr>
          <w:rFonts w:hint="eastAsia"/>
        </w:rPr>
      </w:pPr>
      <w:r>
        <w:rPr>
          <w:rFonts w:hint="eastAsia"/>
        </w:rPr>
        <w:t>近期建设内容及投资</w:t>
      </w:r>
      <w:r>
        <w:rPr>
          <w:rFonts w:hint="eastAsia"/>
          <w:lang w:val="en-US" w:eastAsia="zh-CN"/>
        </w:rPr>
        <w:t>估</w:t>
      </w:r>
      <w:r>
        <w:rPr>
          <w:rFonts w:hint="eastAsia"/>
        </w:rPr>
        <w:t>算统计表如表1</w:t>
      </w:r>
      <w:r>
        <w:rPr>
          <w:rFonts w:hint="eastAsia"/>
          <w:lang w:val="en-US" w:eastAsia="zh-CN"/>
        </w:rPr>
        <w:t>1</w:t>
      </w:r>
      <w:r>
        <w:rPr>
          <w:rFonts w:hint="eastAsia"/>
        </w:rPr>
        <w:t>-1所示。</w:t>
      </w:r>
    </w:p>
    <w:p w14:paraId="01468782">
      <w:pPr>
        <w:bidi w:val="0"/>
        <w:ind w:left="0" w:leftChars="0" w:firstLine="0" w:firstLineChars="0"/>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表11-1  </w:t>
      </w:r>
      <w:r>
        <w:rPr>
          <w:rFonts w:hint="eastAsia" w:ascii="仿宋" w:hAnsi="仿宋" w:eastAsia="仿宋" w:cs="仿宋"/>
          <w:b/>
          <w:bCs/>
          <w:spacing w:val="8"/>
          <w:sz w:val="28"/>
          <w:szCs w:val="28"/>
        </w:rPr>
        <w:t>近期建设内容及投资估算统计表</w:t>
      </w:r>
    </w:p>
    <w:tbl>
      <w:tblPr>
        <w:tblStyle w:val="25"/>
        <w:tblW w:w="9069" w:type="dxa"/>
        <w:tblInd w:w="-2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9"/>
        <w:gridCol w:w="1991"/>
        <w:gridCol w:w="1827"/>
        <w:gridCol w:w="1391"/>
        <w:gridCol w:w="1063"/>
        <w:gridCol w:w="1228"/>
      </w:tblGrid>
      <w:tr w14:paraId="5CEE8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569" w:type="dxa"/>
            <w:vAlign w:val="top"/>
          </w:tcPr>
          <w:p w14:paraId="1E19793A">
            <w:pPr>
              <w:kinsoku w:val="0"/>
              <w:autoSpaceDE w:val="0"/>
              <w:autoSpaceDN w:val="0"/>
              <w:adjustRightInd w:val="0"/>
              <w:snapToGrid w:val="0"/>
              <w:spacing w:before="236" w:line="228"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5"/>
                <w:kern w:val="0"/>
                <w:sz w:val="24"/>
                <w:szCs w:val="24"/>
                <w:lang w:val="en-US" w:eastAsia="en-US" w:bidi="ar-SA"/>
              </w:rPr>
              <w:t>建设类型</w:t>
            </w:r>
          </w:p>
        </w:tc>
        <w:tc>
          <w:tcPr>
            <w:tcW w:w="1991" w:type="dxa"/>
            <w:vAlign w:val="top"/>
          </w:tcPr>
          <w:p w14:paraId="57E1D4D1">
            <w:pPr>
              <w:kinsoku w:val="0"/>
              <w:autoSpaceDE w:val="0"/>
              <w:autoSpaceDN w:val="0"/>
              <w:adjustRightInd w:val="0"/>
              <w:snapToGrid w:val="0"/>
              <w:spacing w:before="237" w:line="228"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5"/>
                <w:kern w:val="0"/>
                <w:sz w:val="24"/>
                <w:szCs w:val="24"/>
                <w:lang w:val="en-US" w:eastAsia="en-US" w:bidi="ar-SA"/>
              </w:rPr>
              <w:t>项目名称</w:t>
            </w:r>
          </w:p>
        </w:tc>
        <w:tc>
          <w:tcPr>
            <w:tcW w:w="1827" w:type="dxa"/>
            <w:vAlign w:val="center"/>
          </w:tcPr>
          <w:p w14:paraId="73F44558">
            <w:pPr>
              <w:kinsoku w:val="0"/>
              <w:autoSpaceDE w:val="0"/>
              <w:autoSpaceDN w:val="0"/>
              <w:adjustRightInd w:val="0"/>
              <w:snapToGrid w:val="0"/>
              <w:spacing w:before="82" w:line="274" w:lineRule="auto"/>
              <w:ind w:left="0" w:leftChars="0" w:right="116"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6"/>
                <w:kern w:val="0"/>
                <w:sz w:val="24"/>
                <w:szCs w:val="24"/>
                <w:lang w:val="en-US" w:eastAsia="en-US" w:bidi="ar-SA"/>
              </w:rPr>
              <w:t>用地规模</w:t>
            </w:r>
            <w:r>
              <w:rPr>
                <w:rFonts w:hint="eastAsia" w:ascii="仿宋" w:hAnsi="仿宋" w:eastAsia="仿宋" w:cs="仿宋"/>
                <w:b/>
                <w:bCs/>
                <w:snapToGrid w:val="0"/>
                <w:color w:val="000000"/>
                <w:spacing w:val="-2"/>
                <w:kern w:val="0"/>
                <w:sz w:val="24"/>
                <w:szCs w:val="24"/>
                <w:lang w:val="en-US" w:eastAsia="en-US" w:bidi="ar-SA"/>
              </w:rPr>
              <w:t>（亩）</w:t>
            </w:r>
          </w:p>
        </w:tc>
        <w:tc>
          <w:tcPr>
            <w:tcW w:w="1391" w:type="dxa"/>
            <w:vAlign w:val="center"/>
          </w:tcPr>
          <w:p w14:paraId="2A99889E">
            <w:pPr>
              <w:kinsoku w:val="0"/>
              <w:autoSpaceDE w:val="0"/>
              <w:autoSpaceDN w:val="0"/>
              <w:adjustRightInd w:val="0"/>
              <w:snapToGrid w:val="0"/>
              <w:spacing w:before="81" w:line="229"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2"/>
                <w:kern w:val="0"/>
                <w:sz w:val="24"/>
                <w:szCs w:val="24"/>
                <w:lang w:val="en-US" w:eastAsia="en-US" w:bidi="ar-SA"/>
              </w:rPr>
              <w:t>建设性质</w:t>
            </w:r>
          </w:p>
        </w:tc>
        <w:tc>
          <w:tcPr>
            <w:tcW w:w="1063" w:type="dxa"/>
            <w:vAlign w:val="center"/>
          </w:tcPr>
          <w:p w14:paraId="76ED3253">
            <w:pPr>
              <w:kinsoku w:val="0"/>
              <w:autoSpaceDE w:val="0"/>
              <w:autoSpaceDN w:val="0"/>
              <w:adjustRightInd w:val="0"/>
              <w:snapToGrid w:val="0"/>
              <w:spacing w:before="80" w:line="228"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5"/>
                <w:kern w:val="0"/>
                <w:sz w:val="24"/>
                <w:szCs w:val="24"/>
                <w:lang w:val="en-US" w:eastAsia="en-US" w:bidi="ar-SA"/>
              </w:rPr>
              <w:t>投资规模</w:t>
            </w:r>
          </w:p>
          <w:p w14:paraId="49271D5C">
            <w:pPr>
              <w:kinsoku w:val="0"/>
              <w:autoSpaceDE w:val="0"/>
              <w:autoSpaceDN w:val="0"/>
              <w:adjustRightInd w:val="0"/>
              <w:snapToGrid w:val="0"/>
              <w:spacing w:before="65" w:line="228"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1"/>
                <w:kern w:val="0"/>
                <w:sz w:val="24"/>
                <w:szCs w:val="24"/>
                <w:lang w:val="en-US" w:eastAsia="en-US" w:bidi="ar-SA"/>
              </w:rPr>
              <w:t>（万元）</w:t>
            </w:r>
          </w:p>
        </w:tc>
        <w:tc>
          <w:tcPr>
            <w:tcW w:w="1228" w:type="dxa"/>
            <w:vAlign w:val="center"/>
          </w:tcPr>
          <w:p w14:paraId="4FDFB728">
            <w:pPr>
              <w:kinsoku w:val="0"/>
              <w:autoSpaceDE w:val="0"/>
              <w:autoSpaceDN w:val="0"/>
              <w:adjustRightInd w:val="0"/>
              <w:snapToGrid w:val="0"/>
              <w:spacing w:before="81" w:line="229"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b/>
                <w:bCs/>
                <w:snapToGrid w:val="0"/>
                <w:color w:val="000000"/>
                <w:spacing w:val="-1"/>
                <w:kern w:val="0"/>
                <w:sz w:val="24"/>
                <w:szCs w:val="24"/>
                <w:lang w:val="en-US" w:eastAsia="en-US" w:bidi="ar-SA"/>
              </w:rPr>
              <w:t>资金</w:t>
            </w:r>
            <w:r>
              <w:rPr>
                <w:rFonts w:hint="eastAsia" w:ascii="仿宋" w:hAnsi="仿宋" w:eastAsia="仿宋" w:cs="仿宋"/>
                <w:b/>
                <w:bCs/>
                <w:snapToGrid w:val="0"/>
                <w:color w:val="000000"/>
                <w:spacing w:val="3"/>
                <w:kern w:val="0"/>
                <w:sz w:val="24"/>
                <w:szCs w:val="24"/>
                <w:lang w:val="en-US" w:eastAsia="en-US" w:bidi="ar-SA"/>
              </w:rPr>
              <w:t>来源</w:t>
            </w:r>
          </w:p>
        </w:tc>
      </w:tr>
      <w:tr w14:paraId="2C748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569" w:type="dxa"/>
            <w:vMerge w:val="restart"/>
            <w:vAlign w:val="center"/>
          </w:tcPr>
          <w:p w14:paraId="634A5FC0">
            <w:pPr>
              <w:kinsoku w:val="0"/>
              <w:autoSpaceDE w:val="0"/>
              <w:autoSpaceDN w:val="0"/>
              <w:adjustRightInd w:val="0"/>
              <w:snapToGrid w:val="0"/>
              <w:spacing w:before="65" w:line="290" w:lineRule="auto"/>
              <w:ind w:left="0" w:leftChars="0" w:right="155"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7"/>
                <w:kern w:val="0"/>
                <w:sz w:val="24"/>
                <w:szCs w:val="24"/>
                <w:lang w:val="en-US" w:eastAsia="en-US" w:bidi="ar-SA"/>
              </w:rPr>
              <w:t>建筑垃圾处理设施建设</w:t>
            </w:r>
          </w:p>
        </w:tc>
        <w:tc>
          <w:tcPr>
            <w:tcW w:w="1991" w:type="dxa"/>
            <w:vAlign w:val="center"/>
          </w:tcPr>
          <w:p w14:paraId="5423CFD5">
            <w:pPr>
              <w:kinsoku w:val="0"/>
              <w:autoSpaceDE w:val="0"/>
              <w:autoSpaceDN w:val="0"/>
              <w:adjustRightInd w:val="0"/>
              <w:snapToGrid w:val="0"/>
              <w:spacing w:before="150" w:line="290" w:lineRule="auto"/>
              <w:ind w:left="0" w:leftChars="0" w:right="121"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cs="Times New Roman"/>
                <w:sz w:val="24"/>
                <w:szCs w:val="24"/>
                <w:lang w:val="en-US" w:eastAsia="zh-CN"/>
              </w:rPr>
              <w:t>鸬鹚渡镇</w:t>
            </w:r>
            <w:r>
              <w:rPr>
                <w:rFonts w:hint="eastAsia"/>
                <w:sz w:val="24"/>
                <w:szCs w:val="24"/>
              </w:rPr>
              <w:t>建筑垃圾堆填场</w:t>
            </w:r>
          </w:p>
        </w:tc>
        <w:tc>
          <w:tcPr>
            <w:tcW w:w="1827" w:type="dxa"/>
            <w:vAlign w:val="center"/>
          </w:tcPr>
          <w:p w14:paraId="27A043E8">
            <w:pPr>
              <w:widowControl/>
              <w:kinsoku w:val="0"/>
              <w:autoSpaceDE w:val="0"/>
              <w:autoSpaceDN w:val="0"/>
              <w:adjustRightInd w:val="0"/>
              <w:snapToGrid w:val="0"/>
              <w:spacing w:line="240"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59E2707B">
            <w:pPr>
              <w:kinsoku w:val="0"/>
              <w:autoSpaceDE w:val="0"/>
              <w:autoSpaceDN w:val="0"/>
              <w:adjustRightInd w:val="0"/>
              <w:snapToGrid w:val="0"/>
              <w:spacing w:before="65" w:line="268"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2"/>
                <w:kern w:val="0"/>
                <w:position w:val="1"/>
                <w:sz w:val="24"/>
                <w:szCs w:val="24"/>
                <w:lang w:val="en-US" w:eastAsia="zh-CN" w:bidi="ar-SA"/>
              </w:rPr>
              <w:t>90</w:t>
            </w:r>
          </w:p>
        </w:tc>
        <w:tc>
          <w:tcPr>
            <w:tcW w:w="1391" w:type="dxa"/>
            <w:vAlign w:val="center"/>
          </w:tcPr>
          <w:p w14:paraId="2EAC3512">
            <w:pPr>
              <w:kinsoku w:val="0"/>
              <w:autoSpaceDE w:val="0"/>
              <w:autoSpaceDN w:val="0"/>
              <w:adjustRightInd w:val="0"/>
              <w:snapToGrid w:val="0"/>
              <w:spacing w:before="95" w:line="230" w:lineRule="auto"/>
              <w:ind w:left="0" w:leftChars="0" w:firstLine="0" w:firstLineChars="0"/>
              <w:jc w:val="center"/>
              <w:textAlignment w:val="baseline"/>
              <w:rPr>
                <w:rFonts w:hint="eastAsia" w:ascii="仿宋" w:hAnsi="仿宋" w:eastAsia="仿宋" w:cs="仿宋"/>
                <w:snapToGrid w:val="0"/>
                <w:color w:val="000000"/>
                <w:spacing w:val="4"/>
                <w:kern w:val="0"/>
                <w:sz w:val="24"/>
                <w:szCs w:val="24"/>
                <w:lang w:val="en-US" w:eastAsia="en-US" w:bidi="ar-SA"/>
              </w:rPr>
            </w:pPr>
            <w:bookmarkStart w:id="272" w:name="OLE_LINK129"/>
            <w:r>
              <w:rPr>
                <w:rFonts w:hint="eastAsia" w:ascii="仿宋" w:hAnsi="仿宋" w:eastAsia="仿宋" w:cs="仿宋"/>
                <w:snapToGrid w:val="0"/>
                <w:color w:val="000000"/>
                <w:spacing w:val="4"/>
                <w:kern w:val="0"/>
                <w:sz w:val="24"/>
                <w:szCs w:val="24"/>
                <w:lang w:val="en-US" w:eastAsia="en-US" w:bidi="ar-SA"/>
              </w:rPr>
              <w:t>规划新建</w:t>
            </w:r>
            <w:bookmarkEnd w:id="272"/>
          </w:p>
        </w:tc>
        <w:tc>
          <w:tcPr>
            <w:tcW w:w="1063" w:type="dxa"/>
            <w:vAlign w:val="center"/>
          </w:tcPr>
          <w:p w14:paraId="16BDC3D2">
            <w:pPr>
              <w:widowControl/>
              <w:kinsoku w:val="0"/>
              <w:autoSpaceDE w:val="0"/>
              <w:autoSpaceDN w:val="0"/>
              <w:adjustRightInd w:val="0"/>
              <w:snapToGrid w:val="0"/>
              <w:spacing w:line="240"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3824CFDC">
            <w:pPr>
              <w:kinsoku w:val="0"/>
              <w:autoSpaceDE w:val="0"/>
              <w:autoSpaceDN w:val="0"/>
              <w:adjustRightInd w:val="0"/>
              <w:snapToGrid w:val="0"/>
              <w:spacing w:before="65" w:line="269"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1"/>
                <w:kern w:val="0"/>
                <w:position w:val="1"/>
                <w:sz w:val="24"/>
                <w:szCs w:val="24"/>
                <w:lang w:val="en-US" w:eastAsia="zh-CN" w:bidi="ar-SA"/>
              </w:rPr>
              <w:t>2000</w:t>
            </w:r>
          </w:p>
        </w:tc>
        <w:tc>
          <w:tcPr>
            <w:tcW w:w="1228" w:type="dxa"/>
            <w:vMerge w:val="restart"/>
            <w:vAlign w:val="center"/>
          </w:tcPr>
          <w:p w14:paraId="14F07F24">
            <w:pPr>
              <w:kinsoku w:val="0"/>
              <w:autoSpaceDE w:val="0"/>
              <w:autoSpaceDN w:val="0"/>
              <w:adjustRightInd w:val="0"/>
              <w:snapToGrid w:val="0"/>
              <w:spacing w:before="65" w:line="228" w:lineRule="auto"/>
              <w:ind w:left="0" w:leftChars="0" w:firstLine="0" w:firstLineChars="0"/>
              <w:jc w:val="both"/>
              <w:textAlignment w:val="baseline"/>
              <w:rPr>
                <w:rFonts w:hint="eastAsia" w:ascii="仿宋" w:hAnsi="仿宋" w:cs="仿宋"/>
                <w:snapToGrid w:val="0"/>
                <w:color w:val="000000"/>
                <w:spacing w:val="6"/>
                <w:kern w:val="0"/>
                <w:sz w:val="24"/>
                <w:szCs w:val="24"/>
                <w:lang w:val="en-US" w:eastAsia="zh-CN" w:bidi="ar-SA"/>
              </w:rPr>
            </w:pPr>
            <w:bookmarkStart w:id="273" w:name="OLE_LINK130"/>
            <w:r>
              <w:rPr>
                <w:rFonts w:hint="eastAsia" w:ascii="仿宋" w:hAnsi="仿宋" w:cs="仿宋"/>
                <w:snapToGrid w:val="0"/>
                <w:color w:val="000000"/>
                <w:spacing w:val="6"/>
                <w:kern w:val="0"/>
                <w:sz w:val="24"/>
                <w:szCs w:val="24"/>
                <w:lang w:val="en-US" w:eastAsia="zh-CN" w:bidi="ar-SA"/>
              </w:rPr>
              <w:t>向上争资</w:t>
            </w:r>
          </w:p>
          <w:p w14:paraId="3E91936F">
            <w:pPr>
              <w:kinsoku w:val="0"/>
              <w:autoSpaceDE w:val="0"/>
              <w:autoSpaceDN w:val="0"/>
              <w:adjustRightInd w:val="0"/>
              <w:snapToGrid w:val="0"/>
              <w:spacing w:before="65" w:line="228" w:lineRule="auto"/>
              <w:ind w:left="0" w:leftChars="0" w:firstLine="0" w:firstLineChars="0"/>
              <w:jc w:val="both"/>
              <w:textAlignment w:val="baseline"/>
              <w:rPr>
                <w:rFonts w:hint="eastAsia" w:ascii="仿宋" w:hAnsi="仿宋" w:cs="仿宋"/>
                <w:snapToGrid w:val="0"/>
                <w:color w:val="000000"/>
                <w:spacing w:val="6"/>
                <w:kern w:val="0"/>
                <w:sz w:val="24"/>
                <w:szCs w:val="24"/>
                <w:lang w:val="en-US" w:eastAsia="zh-CN" w:bidi="ar-SA"/>
              </w:rPr>
            </w:pPr>
            <w:r>
              <w:rPr>
                <w:rFonts w:hint="eastAsia" w:ascii="仿宋" w:hAnsi="仿宋" w:cs="仿宋"/>
                <w:snapToGrid w:val="0"/>
                <w:color w:val="000000"/>
                <w:spacing w:val="6"/>
                <w:kern w:val="0"/>
                <w:sz w:val="24"/>
                <w:szCs w:val="24"/>
                <w:lang w:val="en-US" w:eastAsia="zh-CN" w:bidi="ar-SA"/>
              </w:rPr>
              <w:t>政府投资</w:t>
            </w:r>
            <w:bookmarkEnd w:id="273"/>
          </w:p>
          <w:p w14:paraId="4D3A72C2">
            <w:pPr>
              <w:kinsoku w:val="0"/>
              <w:autoSpaceDE w:val="0"/>
              <w:autoSpaceDN w:val="0"/>
              <w:adjustRightInd w:val="0"/>
              <w:snapToGrid w:val="0"/>
              <w:spacing w:before="65" w:line="228" w:lineRule="auto"/>
              <w:ind w:left="0" w:leftChars="0" w:firstLine="0" w:firstLineChars="0"/>
              <w:jc w:val="both"/>
              <w:textAlignment w:val="baseline"/>
              <w:rPr>
                <w:rFonts w:hint="eastAsia" w:ascii="仿宋" w:hAnsi="仿宋" w:cs="仿宋"/>
                <w:snapToGrid w:val="0"/>
                <w:color w:val="000000"/>
                <w:spacing w:val="6"/>
                <w:kern w:val="0"/>
                <w:sz w:val="24"/>
                <w:szCs w:val="24"/>
                <w:lang w:val="en-US" w:eastAsia="zh-CN" w:bidi="ar-SA"/>
              </w:rPr>
            </w:pPr>
            <w:r>
              <w:rPr>
                <w:rFonts w:hint="eastAsia" w:ascii="仿宋" w:hAnsi="仿宋" w:cs="仿宋"/>
                <w:snapToGrid w:val="0"/>
                <w:color w:val="000000"/>
                <w:spacing w:val="6"/>
                <w:kern w:val="0"/>
                <w:sz w:val="24"/>
                <w:szCs w:val="24"/>
                <w:lang w:val="en-US" w:eastAsia="zh-CN" w:bidi="ar-SA"/>
              </w:rPr>
              <w:t>社会资本</w:t>
            </w:r>
          </w:p>
          <w:p w14:paraId="34F4F8B6">
            <w:pPr>
              <w:kinsoku w:val="0"/>
              <w:autoSpaceDE w:val="0"/>
              <w:autoSpaceDN w:val="0"/>
              <w:adjustRightInd w:val="0"/>
              <w:snapToGrid w:val="0"/>
              <w:spacing w:before="65" w:line="228" w:lineRule="auto"/>
              <w:ind w:left="0" w:leftChars="0" w:firstLine="0" w:firstLineChars="0"/>
              <w:jc w:val="both"/>
              <w:textAlignment w:val="baseline"/>
              <w:rPr>
                <w:rFonts w:hint="default" w:ascii="仿宋" w:hAnsi="仿宋" w:cs="仿宋"/>
                <w:snapToGrid w:val="0"/>
                <w:color w:val="000000"/>
                <w:spacing w:val="6"/>
                <w:kern w:val="0"/>
                <w:sz w:val="24"/>
                <w:szCs w:val="24"/>
                <w:lang w:val="en-US" w:eastAsia="zh-CN" w:bidi="ar-SA"/>
              </w:rPr>
            </w:pPr>
          </w:p>
        </w:tc>
      </w:tr>
      <w:tr w14:paraId="67AF4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1569" w:type="dxa"/>
            <w:vMerge w:val="continue"/>
            <w:vAlign w:val="center"/>
          </w:tcPr>
          <w:p w14:paraId="7F01A072">
            <w:pPr>
              <w:widowControl/>
              <w:kinsoku w:val="0"/>
              <w:autoSpaceDE w:val="0"/>
              <w:autoSpaceDN w:val="0"/>
              <w:adjustRightInd w:val="0"/>
              <w:snapToGrid w:val="0"/>
              <w:spacing w:line="240" w:lineRule="auto"/>
              <w:ind w:firstLine="0" w:firstLineChars="0"/>
              <w:jc w:val="center"/>
              <w:textAlignment w:val="baseline"/>
              <w:rPr>
                <w:rFonts w:hint="eastAsia" w:ascii="仿宋" w:hAnsi="仿宋" w:eastAsia="仿宋" w:cs="仿宋"/>
                <w:snapToGrid w:val="0"/>
                <w:color w:val="000000"/>
                <w:kern w:val="0"/>
                <w:sz w:val="24"/>
                <w:szCs w:val="24"/>
                <w:lang w:eastAsia="en-US"/>
              </w:rPr>
            </w:pPr>
          </w:p>
        </w:tc>
        <w:tc>
          <w:tcPr>
            <w:tcW w:w="1991" w:type="dxa"/>
            <w:vAlign w:val="center"/>
          </w:tcPr>
          <w:p w14:paraId="4B0CEDD3">
            <w:pPr>
              <w:kinsoku w:val="0"/>
              <w:autoSpaceDE w:val="0"/>
              <w:autoSpaceDN w:val="0"/>
              <w:adjustRightInd w:val="0"/>
              <w:snapToGrid w:val="0"/>
              <w:spacing w:before="95" w:line="280" w:lineRule="auto"/>
              <w:ind w:left="0" w:leftChars="0" w:right="333"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lang w:val="en-US" w:eastAsia="zh-CN"/>
              </w:rPr>
              <w:t>牛田镇</w:t>
            </w:r>
            <w:r>
              <w:rPr>
                <w:rFonts w:hint="eastAsia" w:ascii="仿宋" w:hAnsi="仿宋" w:eastAsia="仿宋" w:cs="仿宋"/>
                <w:sz w:val="24"/>
                <w:szCs w:val="24"/>
              </w:rPr>
              <w:t>建筑垃圾</w:t>
            </w:r>
            <w:r>
              <w:rPr>
                <w:rFonts w:hint="eastAsia" w:ascii="仿宋" w:hAnsi="仿宋" w:eastAsia="仿宋" w:cs="仿宋"/>
                <w:sz w:val="24"/>
                <w:szCs w:val="24"/>
                <w:lang w:val="en-US" w:eastAsia="zh-CN"/>
              </w:rPr>
              <w:t>转运调配场</w:t>
            </w:r>
          </w:p>
        </w:tc>
        <w:tc>
          <w:tcPr>
            <w:tcW w:w="1827" w:type="dxa"/>
            <w:vAlign w:val="center"/>
          </w:tcPr>
          <w:p w14:paraId="4DD215DA">
            <w:pPr>
              <w:kinsoku w:val="0"/>
              <w:autoSpaceDE w:val="0"/>
              <w:autoSpaceDN w:val="0"/>
              <w:adjustRightInd w:val="0"/>
              <w:snapToGrid w:val="0"/>
              <w:spacing w:before="251" w:line="267"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2"/>
                <w:kern w:val="0"/>
                <w:position w:val="1"/>
                <w:sz w:val="24"/>
                <w:szCs w:val="24"/>
                <w:lang w:val="en-US" w:eastAsia="zh-CN" w:bidi="ar-SA"/>
              </w:rPr>
              <w:t>25</w:t>
            </w:r>
          </w:p>
        </w:tc>
        <w:tc>
          <w:tcPr>
            <w:tcW w:w="1391" w:type="dxa"/>
            <w:vAlign w:val="center"/>
          </w:tcPr>
          <w:p w14:paraId="63BF6CB0">
            <w:pPr>
              <w:kinsoku w:val="0"/>
              <w:autoSpaceDE w:val="0"/>
              <w:autoSpaceDN w:val="0"/>
              <w:adjustRightInd w:val="0"/>
              <w:snapToGrid w:val="0"/>
              <w:spacing w:before="95" w:line="230" w:lineRule="auto"/>
              <w:ind w:left="0" w:leftChars="0" w:firstLine="0" w:firstLineChars="0"/>
              <w:jc w:val="center"/>
              <w:textAlignment w:val="baseline"/>
              <w:rPr>
                <w:rFonts w:hint="eastAsia" w:ascii="仿宋" w:hAnsi="仿宋" w:eastAsia="仿宋" w:cs="仿宋"/>
                <w:snapToGrid w:val="0"/>
                <w:color w:val="000000"/>
                <w:spacing w:val="4"/>
                <w:kern w:val="0"/>
                <w:sz w:val="24"/>
                <w:szCs w:val="24"/>
                <w:lang w:val="en-US" w:eastAsia="en-US" w:bidi="ar-SA"/>
              </w:rPr>
            </w:pPr>
            <w:r>
              <w:rPr>
                <w:rFonts w:hint="eastAsia" w:ascii="仿宋" w:hAnsi="仿宋" w:eastAsia="仿宋" w:cs="仿宋"/>
                <w:snapToGrid w:val="0"/>
                <w:color w:val="000000"/>
                <w:spacing w:val="4"/>
                <w:kern w:val="0"/>
                <w:sz w:val="24"/>
                <w:szCs w:val="24"/>
                <w:lang w:val="en-US" w:eastAsia="en-US" w:bidi="ar-SA"/>
              </w:rPr>
              <w:t>规划新建</w:t>
            </w:r>
          </w:p>
        </w:tc>
        <w:tc>
          <w:tcPr>
            <w:tcW w:w="1063" w:type="dxa"/>
            <w:vAlign w:val="center"/>
          </w:tcPr>
          <w:p w14:paraId="2BD85B21">
            <w:pPr>
              <w:kinsoku w:val="0"/>
              <w:autoSpaceDE w:val="0"/>
              <w:autoSpaceDN w:val="0"/>
              <w:adjustRightInd w:val="0"/>
              <w:snapToGrid w:val="0"/>
              <w:spacing w:before="251" w:line="268"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1"/>
                <w:kern w:val="0"/>
                <w:position w:val="1"/>
                <w:sz w:val="24"/>
                <w:szCs w:val="24"/>
                <w:lang w:val="en-US" w:eastAsia="zh-CN" w:bidi="ar-SA"/>
              </w:rPr>
              <w:t>1200</w:t>
            </w:r>
          </w:p>
        </w:tc>
        <w:tc>
          <w:tcPr>
            <w:tcW w:w="1228" w:type="dxa"/>
            <w:vMerge w:val="continue"/>
            <w:vAlign w:val="center"/>
          </w:tcPr>
          <w:p w14:paraId="0E50C26A">
            <w:pPr>
              <w:kinsoku w:val="0"/>
              <w:autoSpaceDE w:val="0"/>
              <w:autoSpaceDN w:val="0"/>
              <w:adjustRightInd w:val="0"/>
              <w:snapToGrid w:val="0"/>
              <w:spacing w:before="65" w:line="228" w:lineRule="auto"/>
              <w:ind w:left="0" w:leftChars="0" w:firstLine="0" w:firstLineChars="0"/>
              <w:jc w:val="both"/>
              <w:textAlignment w:val="baseline"/>
              <w:rPr>
                <w:rFonts w:hint="eastAsia" w:ascii="仿宋" w:hAnsi="仿宋" w:eastAsia="仿宋" w:cs="仿宋"/>
                <w:snapToGrid w:val="0"/>
                <w:color w:val="000000"/>
                <w:kern w:val="0"/>
                <w:sz w:val="24"/>
                <w:szCs w:val="24"/>
                <w:lang w:val="en-US" w:eastAsia="en-US" w:bidi="ar-SA"/>
              </w:rPr>
            </w:pPr>
          </w:p>
        </w:tc>
      </w:tr>
      <w:tr w14:paraId="3AA03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1569" w:type="dxa"/>
            <w:vMerge w:val="continue"/>
            <w:tcBorders>
              <w:bottom w:val="single" w:color="auto" w:sz="4" w:space="0"/>
            </w:tcBorders>
            <w:vAlign w:val="center"/>
          </w:tcPr>
          <w:p w14:paraId="3C5A4F3B">
            <w:pPr>
              <w:widowControl/>
              <w:kinsoku w:val="0"/>
              <w:autoSpaceDE w:val="0"/>
              <w:autoSpaceDN w:val="0"/>
              <w:adjustRightInd w:val="0"/>
              <w:snapToGrid w:val="0"/>
              <w:spacing w:line="240" w:lineRule="auto"/>
              <w:ind w:firstLine="0" w:firstLineChars="0"/>
              <w:jc w:val="center"/>
              <w:textAlignment w:val="baseline"/>
              <w:rPr>
                <w:rFonts w:hint="eastAsia" w:ascii="仿宋" w:hAnsi="仿宋" w:eastAsia="仿宋" w:cs="仿宋"/>
                <w:snapToGrid w:val="0"/>
                <w:color w:val="000000"/>
                <w:kern w:val="0"/>
                <w:sz w:val="24"/>
                <w:szCs w:val="24"/>
                <w:lang w:eastAsia="en-US"/>
              </w:rPr>
            </w:pPr>
          </w:p>
        </w:tc>
        <w:tc>
          <w:tcPr>
            <w:tcW w:w="1991" w:type="dxa"/>
            <w:vAlign w:val="center"/>
          </w:tcPr>
          <w:p w14:paraId="6E5A065F">
            <w:pPr>
              <w:kinsoku w:val="0"/>
              <w:autoSpaceDE w:val="0"/>
              <w:autoSpaceDN w:val="0"/>
              <w:adjustRightInd w:val="0"/>
              <w:snapToGrid w:val="0"/>
              <w:spacing w:before="128" w:line="290" w:lineRule="auto"/>
              <w:ind w:left="0" w:leftChars="0" w:right="121"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cs="Times New Roman"/>
                <w:sz w:val="24"/>
                <w:szCs w:val="24"/>
                <w:lang w:val="en-US" w:eastAsia="zh-CN"/>
              </w:rPr>
              <w:t>大栗港</w:t>
            </w:r>
            <w:r>
              <w:rPr>
                <w:rFonts w:hint="eastAsia" w:ascii="Times New Roman" w:hAnsi="Times New Roman" w:eastAsia="仿宋" w:cs="Times New Roman"/>
                <w:sz w:val="24"/>
                <w:szCs w:val="24"/>
                <w:lang w:val="en-US" w:eastAsia="zh-CN"/>
              </w:rPr>
              <w:t>镇</w:t>
            </w:r>
            <w:r>
              <w:rPr>
                <w:rFonts w:hint="eastAsia"/>
                <w:sz w:val="24"/>
                <w:szCs w:val="24"/>
              </w:rPr>
              <w:t>建筑垃圾</w:t>
            </w:r>
            <w:r>
              <w:rPr>
                <w:rFonts w:hint="eastAsia" w:ascii="仿宋" w:hAnsi="仿宋" w:eastAsia="仿宋" w:cs="仿宋"/>
                <w:sz w:val="24"/>
                <w:szCs w:val="24"/>
                <w:lang w:val="en-US" w:eastAsia="zh-CN"/>
              </w:rPr>
              <w:t>转运调配场</w:t>
            </w:r>
          </w:p>
        </w:tc>
        <w:tc>
          <w:tcPr>
            <w:tcW w:w="1827" w:type="dxa"/>
            <w:vAlign w:val="center"/>
          </w:tcPr>
          <w:p w14:paraId="2A4DBDEA">
            <w:pPr>
              <w:kinsoku w:val="0"/>
              <w:autoSpaceDE w:val="0"/>
              <w:autoSpaceDN w:val="0"/>
              <w:adjustRightInd w:val="0"/>
              <w:snapToGrid w:val="0"/>
              <w:spacing w:before="285" w:line="268"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2"/>
                <w:kern w:val="0"/>
                <w:position w:val="1"/>
                <w:sz w:val="24"/>
                <w:szCs w:val="24"/>
                <w:lang w:val="en-US" w:eastAsia="zh-CN" w:bidi="ar-SA"/>
              </w:rPr>
              <w:t>25</w:t>
            </w:r>
          </w:p>
        </w:tc>
        <w:tc>
          <w:tcPr>
            <w:tcW w:w="1391" w:type="dxa"/>
            <w:vAlign w:val="center"/>
          </w:tcPr>
          <w:p w14:paraId="08BAAB8E">
            <w:pPr>
              <w:kinsoku w:val="0"/>
              <w:autoSpaceDE w:val="0"/>
              <w:autoSpaceDN w:val="0"/>
              <w:adjustRightInd w:val="0"/>
              <w:snapToGrid w:val="0"/>
              <w:spacing w:before="95" w:line="230" w:lineRule="auto"/>
              <w:ind w:left="0" w:leftChars="0" w:firstLine="0" w:firstLineChars="0"/>
              <w:jc w:val="center"/>
              <w:textAlignment w:val="baseline"/>
              <w:rPr>
                <w:rFonts w:hint="eastAsia" w:ascii="仿宋" w:hAnsi="仿宋" w:eastAsia="仿宋" w:cs="仿宋"/>
                <w:snapToGrid w:val="0"/>
                <w:color w:val="000000"/>
                <w:spacing w:val="4"/>
                <w:kern w:val="0"/>
                <w:sz w:val="24"/>
                <w:szCs w:val="24"/>
                <w:lang w:val="en-US" w:eastAsia="en-US" w:bidi="ar-SA"/>
              </w:rPr>
            </w:pPr>
            <w:r>
              <w:rPr>
                <w:rFonts w:hint="eastAsia" w:ascii="仿宋" w:hAnsi="仿宋" w:eastAsia="仿宋" w:cs="仿宋"/>
                <w:snapToGrid w:val="0"/>
                <w:color w:val="000000"/>
                <w:spacing w:val="4"/>
                <w:kern w:val="0"/>
                <w:sz w:val="24"/>
                <w:szCs w:val="24"/>
                <w:lang w:val="en-US" w:eastAsia="en-US" w:bidi="ar-SA"/>
              </w:rPr>
              <w:t>规划新建</w:t>
            </w:r>
          </w:p>
        </w:tc>
        <w:tc>
          <w:tcPr>
            <w:tcW w:w="1063" w:type="dxa"/>
            <w:vAlign w:val="center"/>
          </w:tcPr>
          <w:p w14:paraId="05C325F3">
            <w:pPr>
              <w:kinsoku w:val="0"/>
              <w:autoSpaceDE w:val="0"/>
              <w:autoSpaceDN w:val="0"/>
              <w:adjustRightInd w:val="0"/>
              <w:snapToGrid w:val="0"/>
              <w:spacing w:before="285" w:line="268"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2"/>
                <w:kern w:val="0"/>
                <w:position w:val="1"/>
                <w:sz w:val="24"/>
                <w:szCs w:val="24"/>
                <w:lang w:val="en-US" w:eastAsia="zh-CN" w:bidi="ar-SA"/>
              </w:rPr>
              <w:t>1200</w:t>
            </w:r>
          </w:p>
        </w:tc>
        <w:tc>
          <w:tcPr>
            <w:tcW w:w="1228" w:type="dxa"/>
            <w:vMerge w:val="continue"/>
            <w:vAlign w:val="center"/>
          </w:tcPr>
          <w:p w14:paraId="38C73547">
            <w:pPr>
              <w:kinsoku w:val="0"/>
              <w:autoSpaceDE w:val="0"/>
              <w:autoSpaceDN w:val="0"/>
              <w:adjustRightInd w:val="0"/>
              <w:snapToGrid w:val="0"/>
              <w:spacing w:before="65" w:line="228" w:lineRule="auto"/>
              <w:ind w:left="0" w:leftChars="0" w:firstLine="0" w:firstLineChars="0"/>
              <w:jc w:val="both"/>
              <w:textAlignment w:val="baseline"/>
              <w:rPr>
                <w:rFonts w:hint="eastAsia" w:ascii="仿宋" w:hAnsi="仿宋" w:cs="仿宋"/>
                <w:snapToGrid w:val="0"/>
                <w:color w:val="000000"/>
                <w:spacing w:val="6"/>
                <w:kern w:val="0"/>
                <w:sz w:val="24"/>
                <w:szCs w:val="24"/>
                <w:lang w:val="en-US" w:eastAsia="en-US" w:bidi="ar-SA"/>
              </w:rPr>
            </w:pPr>
          </w:p>
        </w:tc>
      </w:tr>
      <w:tr w14:paraId="6C8E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569" w:type="dxa"/>
            <w:tcBorders>
              <w:top w:val="single" w:color="auto" w:sz="4" w:space="0"/>
            </w:tcBorders>
            <w:vAlign w:val="center"/>
          </w:tcPr>
          <w:p w14:paraId="1D06EFED">
            <w:pPr>
              <w:kinsoku w:val="0"/>
              <w:autoSpaceDE w:val="0"/>
              <w:autoSpaceDN w:val="0"/>
              <w:adjustRightInd w:val="0"/>
              <w:snapToGrid w:val="0"/>
              <w:spacing w:before="55" w:line="228"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7"/>
                <w:kern w:val="0"/>
                <w:sz w:val="24"/>
                <w:szCs w:val="24"/>
                <w:lang w:val="en-US" w:eastAsia="en-US" w:bidi="ar-SA"/>
              </w:rPr>
              <w:t>建筑垃圾信</w:t>
            </w:r>
            <w:r>
              <w:rPr>
                <w:rFonts w:hint="eastAsia" w:ascii="仿宋" w:hAnsi="仿宋" w:eastAsia="仿宋" w:cs="仿宋"/>
                <w:snapToGrid w:val="0"/>
                <w:color w:val="000000"/>
                <w:spacing w:val="6"/>
                <w:kern w:val="0"/>
                <w:sz w:val="24"/>
                <w:szCs w:val="24"/>
                <w:lang w:val="en-US" w:eastAsia="en-US" w:bidi="ar-SA"/>
              </w:rPr>
              <w:t>息化平台建</w:t>
            </w:r>
            <w:r>
              <w:rPr>
                <w:rFonts w:hint="eastAsia" w:ascii="仿宋" w:hAnsi="仿宋" w:eastAsia="仿宋" w:cs="仿宋"/>
                <w:snapToGrid w:val="0"/>
                <w:color w:val="000000"/>
                <w:kern w:val="0"/>
                <w:sz w:val="24"/>
                <w:szCs w:val="24"/>
                <w:lang w:val="en-US" w:eastAsia="en-US" w:bidi="ar-SA"/>
              </w:rPr>
              <w:t>设</w:t>
            </w:r>
          </w:p>
        </w:tc>
        <w:tc>
          <w:tcPr>
            <w:tcW w:w="1991" w:type="dxa"/>
            <w:vAlign w:val="center"/>
          </w:tcPr>
          <w:p w14:paraId="7B110D08">
            <w:pPr>
              <w:kinsoku w:val="0"/>
              <w:autoSpaceDE w:val="0"/>
              <w:autoSpaceDN w:val="0"/>
              <w:adjustRightInd w:val="0"/>
              <w:snapToGrid w:val="0"/>
              <w:spacing w:before="211" w:line="290" w:lineRule="auto"/>
              <w:ind w:left="0" w:leftChars="0" w:right="121"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cs="仿宋"/>
                <w:snapToGrid w:val="0"/>
                <w:color w:val="000000"/>
                <w:spacing w:val="8"/>
                <w:kern w:val="0"/>
                <w:sz w:val="24"/>
                <w:szCs w:val="24"/>
                <w:lang w:val="en-US" w:eastAsia="zh-CN" w:bidi="ar-SA"/>
              </w:rPr>
              <w:t>桃江县</w:t>
            </w:r>
            <w:r>
              <w:rPr>
                <w:rFonts w:hint="eastAsia" w:ascii="仿宋" w:hAnsi="仿宋" w:eastAsia="仿宋" w:cs="仿宋"/>
                <w:snapToGrid w:val="0"/>
                <w:color w:val="000000"/>
                <w:spacing w:val="8"/>
                <w:kern w:val="0"/>
                <w:sz w:val="24"/>
                <w:szCs w:val="24"/>
                <w:lang w:val="en-US" w:eastAsia="en-US" w:bidi="ar-SA"/>
              </w:rPr>
              <w:t>智慧环卫平台建设项目</w:t>
            </w:r>
          </w:p>
        </w:tc>
        <w:tc>
          <w:tcPr>
            <w:tcW w:w="1827" w:type="dxa"/>
            <w:vAlign w:val="center"/>
          </w:tcPr>
          <w:p w14:paraId="4AA84E0F">
            <w:pPr>
              <w:kinsoku w:val="0"/>
              <w:autoSpaceDE w:val="0"/>
              <w:autoSpaceDN w:val="0"/>
              <w:adjustRightInd w:val="0"/>
              <w:snapToGrid w:val="0"/>
              <w:spacing w:before="65" w:line="136" w:lineRule="exact"/>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5"/>
                <w:kern w:val="0"/>
                <w:position w:val="-3"/>
                <w:sz w:val="24"/>
                <w:szCs w:val="24"/>
                <w:lang w:val="en-US" w:eastAsia="en-US" w:bidi="ar-SA"/>
              </w:rPr>
              <w:t>——</w:t>
            </w:r>
          </w:p>
        </w:tc>
        <w:tc>
          <w:tcPr>
            <w:tcW w:w="1391" w:type="dxa"/>
            <w:vAlign w:val="center"/>
          </w:tcPr>
          <w:p w14:paraId="45870EC7">
            <w:pPr>
              <w:kinsoku w:val="0"/>
              <w:autoSpaceDE w:val="0"/>
              <w:autoSpaceDN w:val="0"/>
              <w:adjustRightInd w:val="0"/>
              <w:snapToGrid w:val="0"/>
              <w:spacing w:before="65" w:line="136" w:lineRule="exact"/>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5"/>
                <w:kern w:val="0"/>
                <w:position w:val="-3"/>
                <w:sz w:val="24"/>
                <w:szCs w:val="24"/>
                <w:lang w:val="en-US" w:eastAsia="en-US" w:bidi="ar-SA"/>
              </w:rPr>
              <w:t>——</w:t>
            </w:r>
          </w:p>
        </w:tc>
        <w:tc>
          <w:tcPr>
            <w:tcW w:w="1063" w:type="dxa"/>
            <w:vAlign w:val="center"/>
          </w:tcPr>
          <w:p w14:paraId="723D8CE8">
            <w:pPr>
              <w:widowControl/>
              <w:kinsoku w:val="0"/>
              <w:autoSpaceDE w:val="0"/>
              <w:autoSpaceDN w:val="0"/>
              <w:adjustRightInd w:val="0"/>
              <w:snapToGrid w:val="0"/>
              <w:spacing w:line="301"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6FA8C0A7">
            <w:pPr>
              <w:kinsoku w:val="0"/>
              <w:autoSpaceDE w:val="0"/>
              <w:autoSpaceDN w:val="0"/>
              <w:adjustRightInd w:val="0"/>
              <w:snapToGrid w:val="0"/>
              <w:spacing w:before="65" w:line="268"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1"/>
                <w:kern w:val="0"/>
                <w:position w:val="1"/>
                <w:sz w:val="24"/>
                <w:szCs w:val="24"/>
                <w:lang w:val="en-US" w:eastAsia="zh-CN" w:bidi="ar-SA"/>
              </w:rPr>
              <w:t>200</w:t>
            </w:r>
          </w:p>
        </w:tc>
        <w:tc>
          <w:tcPr>
            <w:tcW w:w="1228" w:type="dxa"/>
            <w:vMerge w:val="continue"/>
            <w:vAlign w:val="center"/>
          </w:tcPr>
          <w:p w14:paraId="28CF7A0A">
            <w:pPr>
              <w:kinsoku w:val="0"/>
              <w:autoSpaceDE w:val="0"/>
              <w:autoSpaceDN w:val="0"/>
              <w:adjustRightInd w:val="0"/>
              <w:snapToGrid w:val="0"/>
              <w:spacing w:before="65" w:line="228" w:lineRule="auto"/>
              <w:ind w:left="0" w:leftChars="0" w:firstLine="0" w:firstLineChars="0"/>
              <w:jc w:val="both"/>
              <w:textAlignment w:val="baseline"/>
              <w:rPr>
                <w:rFonts w:hint="default" w:ascii="仿宋" w:hAnsi="仿宋" w:cs="仿宋"/>
                <w:snapToGrid w:val="0"/>
                <w:color w:val="000000"/>
                <w:spacing w:val="6"/>
                <w:kern w:val="0"/>
                <w:sz w:val="24"/>
                <w:szCs w:val="24"/>
                <w:lang w:val="en-US" w:eastAsia="zh-CN" w:bidi="ar-SA"/>
              </w:rPr>
            </w:pPr>
          </w:p>
        </w:tc>
      </w:tr>
      <w:tr w14:paraId="6491C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569" w:type="dxa"/>
            <w:vAlign w:val="center"/>
          </w:tcPr>
          <w:p w14:paraId="7B7B8330">
            <w:pPr>
              <w:kinsoku w:val="0"/>
              <w:autoSpaceDE w:val="0"/>
              <w:autoSpaceDN w:val="0"/>
              <w:adjustRightInd w:val="0"/>
              <w:snapToGrid w:val="0"/>
              <w:spacing w:before="236" w:line="229" w:lineRule="auto"/>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2"/>
                <w:kern w:val="0"/>
                <w:sz w:val="24"/>
                <w:szCs w:val="24"/>
                <w:lang w:val="en-US" w:eastAsia="en-US" w:bidi="ar-SA"/>
              </w:rPr>
              <w:t>总计</w:t>
            </w:r>
          </w:p>
        </w:tc>
        <w:tc>
          <w:tcPr>
            <w:tcW w:w="1991" w:type="dxa"/>
            <w:vAlign w:val="center"/>
          </w:tcPr>
          <w:p w14:paraId="4A434159">
            <w:pPr>
              <w:widowControl/>
              <w:kinsoku w:val="0"/>
              <w:autoSpaceDE w:val="0"/>
              <w:autoSpaceDN w:val="0"/>
              <w:adjustRightInd w:val="0"/>
              <w:snapToGrid w:val="0"/>
              <w:spacing w:line="268"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613B45C7">
            <w:pPr>
              <w:kinsoku w:val="0"/>
              <w:autoSpaceDE w:val="0"/>
              <w:autoSpaceDN w:val="0"/>
              <w:adjustRightInd w:val="0"/>
              <w:snapToGrid w:val="0"/>
              <w:spacing w:before="65" w:line="136" w:lineRule="exact"/>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5"/>
                <w:kern w:val="0"/>
                <w:position w:val="-3"/>
                <w:sz w:val="24"/>
                <w:szCs w:val="24"/>
                <w:lang w:val="en-US" w:eastAsia="en-US" w:bidi="ar-SA"/>
              </w:rPr>
              <w:t>——</w:t>
            </w:r>
          </w:p>
        </w:tc>
        <w:tc>
          <w:tcPr>
            <w:tcW w:w="1827" w:type="dxa"/>
            <w:vAlign w:val="center"/>
          </w:tcPr>
          <w:p w14:paraId="5DA8F5E7">
            <w:pPr>
              <w:widowControl/>
              <w:kinsoku w:val="0"/>
              <w:autoSpaceDE w:val="0"/>
              <w:autoSpaceDN w:val="0"/>
              <w:adjustRightInd w:val="0"/>
              <w:snapToGrid w:val="0"/>
              <w:spacing w:line="268"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1C51F4BB">
            <w:pPr>
              <w:kinsoku w:val="0"/>
              <w:autoSpaceDE w:val="0"/>
              <w:autoSpaceDN w:val="0"/>
              <w:adjustRightInd w:val="0"/>
              <w:snapToGrid w:val="0"/>
              <w:spacing w:before="65" w:line="136" w:lineRule="exact"/>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5"/>
                <w:kern w:val="0"/>
                <w:position w:val="-3"/>
                <w:sz w:val="24"/>
                <w:szCs w:val="24"/>
                <w:lang w:val="en-US" w:eastAsia="en-US" w:bidi="ar-SA"/>
              </w:rPr>
              <w:t>——</w:t>
            </w:r>
          </w:p>
        </w:tc>
        <w:tc>
          <w:tcPr>
            <w:tcW w:w="1391" w:type="dxa"/>
            <w:vAlign w:val="center"/>
          </w:tcPr>
          <w:p w14:paraId="233DF018">
            <w:pPr>
              <w:widowControl/>
              <w:kinsoku w:val="0"/>
              <w:autoSpaceDE w:val="0"/>
              <w:autoSpaceDN w:val="0"/>
              <w:adjustRightInd w:val="0"/>
              <w:snapToGrid w:val="0"/>
              <w:spacing w:line="268"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60D149D4">
            <w:pPr>
              <w:kinsoku w:val="0"/>
              <w:autoSpaceDE w:val="0"/>
              <w:autoSpaceDN w:val="0"/>
              <w:adjustRightInd w:val="0"/>
              <w:snapToGrid w:val="0"/>
              <w:spacing w:before="65" w:line="136" w:lineRule="exact"/>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5"/>
                <w:kern w:val="0"/>
                <w:position w:val="-3"/>
                <w:sz w:val="24"/>
                <w:szCs w:val="24"/>
                <w:lang w:val="en-US" w:eastAsia="en-US" w:bidi="ar-SA"/>
              </w:rPr>
              <w:t>——</w:t>
            </w:r>
          </w:p>
        </w:tc>
        <w:tc>
          <w:tcPr>
            <w:tcW w:w="1063" w:type="dxa"/>
            <w:vAlign w:val="center"/>
          </w:tcPr>
          <w:p w14:paraId="6D162B63">
            <w:pPr>
              <w:kinsoku w:val="0"/>
              <w:autoSpaceDE w:val="0"/>
              <w:autoSpaceDN w:val="0"/>
              <w:adjustRightInd w:val="0"/>
              <w:snapToGrid w:val="0"/>
              <w:spacing w:before="236" w:line="269" w:lineRule="exact"/>
              <w:ind w:left="0" w:leftChars="0" w:firstLine="0" w:firstLineChars="0"/>
              <w:jc w:val="center"/>
              <w:textAlignment w:val="baseline"/>
              <w:rPr>
                <w:rFonts w:hint="default" w:ascii="仿宋" w:hAnsi="仿宋" w:eastAsia="仿宋" w:cs="仿宋"/>
                <w:snapToGrid w:val="0"/>
                <w:color w:val="000000"/>
                <w:kern w:val="0"/>
                <w:sz w:val="24"/>
                <w:szCs w:val="24"/>
                <w:lang w:val="en-US" w:eastAsia="zh-CN" w:bidi="ar-SA"/>
              </w:rPr>
            </w:pPr>
            <w:r>
              <w:rPr>
                <w:rFonts w:hint="eastAsia" w:ascii="仿宋" w:hAnsi="仿宋" w:cs="仿宋"/>
                <w:snapToGrid w:val="0"/>
                <w:color w:val="000000"/>
                <w:spacing w:val="2"/>
                <w:kern w:val="0"/>
                <w:position w:val="1"/>
                <w:sz w:val="24"/>
                <w:szCs w:val="24"/>
                <w:lang w:val="en-US" w:eastAsia="zh-CN" w:bidi="ar-SA"/>
              </w:rPr>
              <w:t>4600</w:t>
            </w:r>
          </w:p>
        </w:tc>
        <w:tc>
          <w:tcPr>
            <w:tcW w:w="1228" w:type="dxa"/>
            <w:vAlign w:val="center"/>
          </w:tcPr>
          <w:p w14:paraId="0EFFBEF1">
            <w:pPr>
              <w:widowControl/>
              <w:kinsoku w:val="0"/>
              <w:autoSpaceDE w:val="0"/>
              <w:autoSpaceDN w:val="0"/>
              <w:adjustRightInd w:val="0"/>
              <w:snapToGrid w:val="0"/>
              <w:spacing w:line="268" w:lineRule="auto"/>
              <w:ind w:firstLine="0" w:firstLineChars="0"/>
              <w:jc w:val="center"/>
              <w:textAlignment w:val="baseline"/>
              <w:rPr>
                <w:rFonts w:hint="eastAsia" w:ascii="仿宋" w:hAnsi="仿宋" w:eastAsia="仿宋" w:cs="仿宋"/>
                <w:snapToGrid w:val="0"/>
                <w:color w:val="000000"/>
                <w:kern w:val="0"/>
                <w:sz w:val="24"/>
                <w:szCs w:val="24"/>
                <w:lang w:eastAsia="en-US"/>
              </w:rPr>
            </w:pPr>
          </w:p>
          <w:p w14:paraId="6B9A283D">
            <w:pPr>
              <w:kinsoku w:val="0"/>
              <w:autoSpaceDE w:val="0"/>
              <w:autoSpaceDN w:val="0"/>
              <w:adjustRightInd w:val="0"/>
              <w:snapToGrid w:val="0"/>
              <w:spacing w:before="65" w:line="136" w:lineRule="exact"/>
              <w:ind w:left="0" w:leftChars="0" w:firstLine="0" w:firstLineChars="0"/>
              <w:jc w:val="center"/>
              <w:textAlignment w:val="baseline"/>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napToGrid w:val="0"/>
                <w:color w:val="000000"/>
                <w:spacing w:val="5"/>
                <w:kern w:val="0"/>
                <w:position w:val="-3"/>
                <w:sz w:val="24"/>
                <w:szCs w:val="24"/>
                <w:lang w:val="en-US" w:eastAsia="en-US" w:bidi="ar-SA"/>
              </w:rPr>
              <w:t>——</w:t>
            </w:r>
          </w:p>
        </w:tc>
      </w:tr>
    </w:tbl>
    <w:p w14:paraId="49FD5349">
      <w:pPr>
        <w:bidi w:val="0"/>
      </w:pPr>
    </w:p>
    <w:p w14:paraId="6EA0AE14">
      <w:pPr>
        <w:pStyle w:val="2"/>
        <w:bidi w:val="0"/>
        <w:rPr>
          <w:rFonts w:hint="eastAsia"/>
        </w:rPr>
      </w:pPr>
      <w:bookmarkStart w:id="274" w:name="_Toc31535"/>
      <w:r>
        <w:rPr>
          <w:rFonts w:hint="eastAsia"/>
          <w:lang w:val="en-US" w:eastAsia="zh-CN"/>
        </w:rPr>
        <w:t>十二、</w:t>
      </w:r>
      <w:r>
        <w:rPr>
          <w:rFonts w:hint="eastAsia"/>
        </w:rPr>
        <w:t>保障措施</w:t>
      </w:r>
      <w:bookmarkEnd w:id="274"/>
    </w:p>
    <w:p w14:paraId="7FBD056C">
      <w:pPr>
        <w:pStyle w:val="3"/>
        <w:bidi w:val="0"/>
        <w:rPr>
          <w:rFonts w:hint="eastAsia" w:ascii="楷体" w:hAnsi="楷体" w:eastAsia="楷体" w:cs="楷体"/>
          <w:sz w:val="28"/>
          <w:szCs w:val="28"/>
        </w:rPr>
      </w:pPr>
      <w:bookmarkStart w:id="275" w:name="_Toc21383"/>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一</w:t>
      </w:r>
      <w:r>
        <w:rPr>
          <w:rFonts w:hint="eastAsia" w:ascii="楷体" w:hAnsi="楷体" w:eastAsia="楷体" w:cs="楷体"/>
          <w:sz w:val="28"/>
          <w:szCs w:val="28"/>
          <w:lang w:eastAsia="zh-CN"/>
        </w:rPr>
        <w:t>）</w:t>
      </w:r>
      <w:r>
        <w:rPr>
          <w:rFonts w:hint="eastAsia" w:ascii="楷体" w:hAnsi="楷体" w:eastAsia="楷体" w:cs="楷体"/>
          <w:sz w:val="28"/>
          <w:szCs w:val="28"/>
        </w:rPr>
        <w:t>组织保障措施</w:t>
      </w:r>
      <w:bookmarkEnd w:id="275"/>
    </w:p>
    <w:p w14:paraId="311D365F">
      <w:pPr>
        <w:bidi w:val="0"/>
        <w:rPr>
          <w:rFonts w:hint="eastAsia"/>
        </w:rPr>
      </w:pPr>
      <w:r>
        <w:rPr>
          <w:rFonts w:hint="eastAsia"/>
        </w:rPr>
        <w:t>建筑垃圾管理涉及</w:t>
      </w:r>
      <w:r>
        <w:rPr>
          <w:rFonts w:hint="eastAsia"/>
          <w:u w:val="single"/>
        </w:rPr>
        <w:t>城管、发展改革、公安、自然资源和规划、生态环境、住房城乡建设、交通运输</w:t>
      </w:r>
      <w:r>
        <w:rPr>
          <w:rFonts w:hint="eastAsia"/>
        </w:rPr>
        <w:t>等多个部门和各属地政府，需要各个部门协同联动，互相配合支持，形</w:t>
      </w:r>
      <w:bookmarkStart w:id="276" w:name="OLE_LINK131"/>
      <w:r>
        <w:rPr>
          <w:rFonts w:hint="eastAsia"/>
        </w:rPr>
        <w:t>成合力共同管理好建筑垃圾处置的全过程环节。各部门应建立联席会议制度和联合执法机制，加强工作衔接，互通管理信息，做到既各司其职，又协同管理，统筹推进</w:t>
      </w:r>
      <w:r>
        <w:rPr>
          <w:rFonts w:hint="eastAsia"/>
          <w:lang w:eastAsia="zh-CN"/>
        </w:rPr>
        <w:t>桃江县</w:t>
      </w:r>
      <w:r>
        <w:rPr>
          <w:rFonts w:hint="eastAsia"/>
        </w:rPr>
        <w:t>建筑垃圾处理项目建设、日常监管、综合利用等问题。</w:t>
      </w:r>
    </w:p>
    <w:bookmarkEnd w:id="276"/>
    <w:p w14:paraId="42A6107E">
      <w:pPr>
        <w:pStyle w:val="3"/>
        <w:bidi w:val="0"/>
        <w:rPr>
          <w:rFonts w:hint="eastAsia" w:ascii="楷体" w:hAnsi="楷体" w:eastAsia="楷体" w:cs="楷体"/>
          <w:sz w:val="28"/>
          <w:szCs w:val="28"/>
        </w:rPr>
      </w:pPr>
      <w:bookmarkStart w:id="277" w:name="_Toc9429"/>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二</w:t>
      </w:r>
      <w:r>
        <w:rPr>
          <w:rFonts w:hint="eastAsia" w:ascii="楷体" w:hAnsi="楷体" w:eastAsia="楷体" w:cs="楷体"/>
          <w:sz w:val="28"/>
          <w:szCs w:val="28"/>
          <w:lang w:eastAsia="zh-CN"/>
        </w:rPr>
        <w:t>）</w:t>
      </w:r>
      <w:r>
        <w:rPr>
          <w:rFonts w:hint="eastAsia" w:ascii="楷体" w:hAnsi="楷体" w:eastAsia="楷体" w:cs="楷体"/>
          <w:sz w:val="28"/>
          <w:szCs w:val="28"/>
        </w:rPr>
        <w:t>政策保障措施</w:t>
      </w:r>
      <w:bookmarkEnd w:id="277"/>
    </w:p>
    <w:p w14:paraId="3EB9BEFF">
      <w:pPr>
        <w:pStyle w:val="4"/>
        <w:bidi w:val="0"/>
        <w:rPr>
          <w:rFonts w:hint="eastAsia"/>
        </w:rPr>
      </w:pPr>
      <w:r>
        <w:rPr>
          <w:rFonts w:hint="eastAsia"/>
        </w:rPr>
        <w:t>1、引导扶持政策</w:t>
      </w:r>
    </w:p>
    <w:p w14:paraId="0AE56288">
      <w:pPr>
        <w:bidi w:val="0"/>
        <w:rPr>
          <w:rFonts w:hint="eastAsia"/>
        </w:rPr>
      </w:pPr>
      <w:bookmarkStart w:id="278" w:name="OLE_LINK59"/>
      <w:r>
        <w:rPr>
          <w:rFonts w:hint="eastAsia"/>
          <w:lang w:val="en-US" w:eastAsia="zh-CN"/>
        </w:rPr>
        <w:t>根据《中华人民共和国固体废物污染环境防治法》第九十六条“</w:t>
      </w:r>
      <w:r>
        <w:rPr>
          <w:rFonts w:hint="eastAsia"/>
        </w:rPr>
        <w:t>国家鼓励和支持社会力量参与固体废物污染环境防治工作，并按照国家有关规定给予政策扶持</w:t>
      </w:r>
      <w:r>
        <w:rPr>
          <w:rFonts w:hint="eastAsia"/>
          <w:lang w:val="en-US" w:eastAsia="zh-CN"/>
        </w:rPr>
        <w:t>”，</w:t>
      </w:r>
      <w:r>
        <w:rPr>
          <w:rFonts w:hint="eastAsia"/>
        </w:rPr>
        <w:t>完善</w:t>
      </w:r>
      <w:r>
        <w:rPr>
          <w:rFonts w:hint="eastAsia"/>
          <w:lang w:val="en-US" w:eastAsia="zh-CN"/>
        </w:rPr>
        <w:t>桃江县</w:t>
      </w:r>
      <w:r>
        <w:rPr>
          <w:rFonts w:hint="eastAsia"/>
        </w:rPr>
        <w:t>建筑垃圾减量化工作机制和政策措施，将建筑垃圾减量化纳入本地绿色发展和生态文明建设体系，</w:t>
      </w:r>
      <w:r>
        <w:rPr>
          <w:rFonts w:hint="eastAsia"/>
          <w:u w:val="none"/>
        </w:rPr>
        <w:t>制定生产、销售、使用建筑垃圾资源化产品的优惠政策，</w:t>
      </w:r>
      <w:r>
        <w:rPr>
          <w:rFonts w:hint="eastAsia"/>
        </w:rPr>
        <w:t>鼓励企业利用建筑垃圾生产建筑材料和进行再生利用，鼓励建设单位、施工单位优先采用建筑垃圾资源化产品。</w:t>
      </w:r>
    </w:p>
    <w:bookmarkEnd w:id="278"/>
    <w:p w14:paraId="2C7CF41E">
      <w:pPr>
        <w:bidi w:val="0"/>
        <w:rPr>
          <w:rFonts w:hint="eastAsia"/>
        </w:rPr>
      </w:pPr>
      <w:r>
        <w:rPr>
          <w:rFonts w:hint="eastAsia"/>
        </w:rPr>
        <w:t>鼓励研究、开发和使用建筑垃圾减排及综合利用新技术，</w:t>
      </w:r>
      <w:r>
        <w:rPr>
          <w:rFonts w:hint="eastAsia"/>
          <w:lang w:val="en-US" w:eastAsia="zh-CN"/>
        </w:rPr>
        <w:t>根据“两重”“两新”政策要求，</w:t>
      </w:r>
      <w:r>
        <w:rPr>
          <w:rFonts w:hint="eastAsia"/>
        </w:rPr>
        <w:t>利用财政性资金引进建筑垃圾综合利用重大技术、装备。对建筑垃圾综合利用企业在用地、用水、税收等方面给予政策优惠或资金补贴。广泛宣传建筑垃圾资源化利用的重要意义，鼓励公众广泛参与， 引导全社会形成节约资源、循环发展、保护环境的生产生活方式， 提高全社会推广应用再生产品的自觉性和积极性。根据建筑垃圾资源化利用技术、工艺、产品、设施研发情况，完善综合利用标准规范体系，出台建筑垃圾资源化利用设施建设与运营标准。</w:t>
      </w:r>
    </w:p>
    <w:p w14:paraId="49AB35A0">
      <w:pPr>
        <w:pStyle w:val="4"/>
        <w:bidi w:val="0"/>
        <w:rPr>
          <w:rFonts w:hint="eastAsia"/>
        </w:rPr>
      </w:pPr>
      <w:r>
        <w:rPr>
          <w:rFonts w:hint="eastAsia"/>
        </w:rPr>
        <w:t>2、监督考核政策</w:t>
      </w:r>
    </w:p>
    <w:p w14:paraId="08C9E8FC">
      <w:pPr>
        <w:bidi w:val="0"/>
        <w:rPr>
          <w:rFonts w:hint="eastAsia"/>
        </w:rPr>
      </w:pPr>
      <w:r>
        <w:rPr>
          <w:rFonts w:hint="eastAsia"/>
        </w:rPr>
        <w:t>实行</w:t>
      </w:r>
      <w:r>
        <w:rPr>
          <w:rFonts w:hint="eastAsia"/>
          <w:lang w:val="en-US" w:eastAsia="zh-CN"/>
        </w:rPr>
        <w:t>县域</w:t>
      </w:r>
      <w:r>
        <w:rPr>
          <w:rFonts w:hint="eastAsia"/>
        </w:rPr>
        <w:t>统筹处置管理制度，将建筑垃圾减量化纳入文明施工内容，鼓励建立施工现场建筑垃圾排放量公示制度。健全各项对内、对外管理制度，严格执行和监督，实行定期督办，保障并促进建筑垃圾治理各项工作有效落实；同时将建筑垃圾治理纳入城市提升行动计划；将建筑垃圾治理情况作为城市环境建设工作的一项重要指标纳入政府考核。</w:t>
      </w:r>
    </w:p>
    <w:p w14:paraId="237FC313">
      <w:pPr>
        <w:pStyle w:val="3"/>
        <w:bidi w:val="0"/>
        <w:rPr>
          <w:rFonts w:hint="eastAsia" w:ascii="楷体" w:hAnsi="楷体" w:eastAsia="楷体" w:cs="楷体"/>
          <w:sz w:val="28"/>
          <w:szCs w:val="28"/>
        </w:rPr>
      </w:pPr>
      <w:bookmarkStart w:id="279" w:name="_Toc19862"/>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三</w:t>
      </w:r>
      <w:r>
        <w:rPr>
          <w:rFonts w:hint="eastAsia" w:ascii="楷体" w:hAnsi="楷体" w:eastAsia="楷体" w:cs="楷体"/>
          <w:sz w:val="28"/>
          <w:szCs w:val="28"/>
          <w:lang w:eastAsia="zh-CN"/>
        </w:rPr>
        <w:t>）</w:t>
      </w:r>
      <w:r>
        <w:rPr>
          <w:rFonts w:hint="eastAsia" w:ascii="楷体" w:hAnsi="楷体" w:eastAsia="楷体" w:cs="楷体"/>
          <w:sz w:val="28"/>
          <w:szCs w:val="28"/>
        </w:rPr>
        <w:t>要素保障措施</w:t>
      </w:r>
      <w:bookmarkEnd w:id="279"/>
    </w:p>
    <w:p w14:paraId="3A22038E">
      <w:pPr>
        <w:pStyle w:val="4"/>
        <w:bidi w:val="0"/>
        <w:rPr>
          <w:rFonts w:hint="eastAsia"/>
        </w:rPr>
      </w:pPr>
      <w:r>
        <w:rPr>
          <w:rFonts w:hint="eastAsia"/>
        </w:rPr>
        <w:t>1、用地保障措施</w:t>
      </w:r>
    </w:p>
    <w:p w14:paraId="386C82DF">
      <w:pPr>
        <w:bidi w:val="0"/>
        <w:rPr>
          <w:rFonts w:hint="eastAsia"/>
        </w:rPr>
      </w:pPr>
      <w:r>
        <w:rPr>
          <w:rFonts w:hint="eastAsia"/>
        </w:rPr>
        <w:t>加强建筑垃圾堆填场</w:t>
      </w:r>
      <w:r>
        <w:rPr>
          <w:rFonts w:hint="eastAsia"/>
          <w:lang w:eastAsia="zh-CN"/>
        </w:rPr>
        <w:t>、</w:t>
      </w:r>
      <w:r>
        <w:rPr>
          <w:rFonts w:hint="eastAsia"/>
          <w:lang w:val="en-US" w:eastAsia="zh-CN"/>
        </w:rPr>
        <w:t>转运调配场</w:t>
      </w:r>
      <w:r>
        <w:rPr>
          <w:rFonts w:hint="eastAsia"/>
        </w:rPr>
        <w:t>和</w:t>
      </w:r>
      <w:bookmarkStart w:id="280" w:name="OLE_LINK132"/>
      <w:r>
        <w:rPr>
          <w:rFonts w:hint="eastAsia"/>
        </w:rPr>
        <w:t>建筑垃圾资源化利用场的项目用地保障</w:t>
      </w:r>
      <w:bookmarkEnd w:id="280"/>
      <w:r>
        <w:rPr>
          <w:rFonts w:hint="eastAsia"/>
        </w:rPr>
        <w:t>，及时纳入</w:t>
      </w:r>
      <w:r>
        <w:rPr>
          <w:rFonts w:hint="eastAsia"/>
          <w:lang w:val="en-US" w:eastAsia="zh-CN"/>
        </w:rPr>
        <w:t>桃江县</w:t>
      </w:r>
      <w:r>
        <w:rPr>
          <w:rFonts w:hint="eastAsia"/>
        </w:rPr>
        <w:t>国土空间规划，</w:t>
      </w:r>
      <w:bookmarkStart w:id="281" w:name="OLE_LINK133"/>
      <w:r>
        <w:rPr>
          <w:rFonts w:hint="eastAsia"/>
        </w:rPr>
        <w:t>实行统一规划、分期建设。在控制性详规和修建性详规等各级规划中，应落实建筑垃圾处理设施的布局、选址和用地规模需求，并为建筑垃圾资源化利用场和建筑垃圾堆填场提供足够的预留用地，满足项目扩建需要。鼓励通过长期租赁、先租后让、租让结合、划拨用地以及弹性供地等方式，为建筑垃圾处置场所供地。</w:t>
      </w:r>
    </w:p>
    <w:bookmarkEnd w:id="281"/>
    <w:p w14:paraId="3E93597E">
      <w:pPr>
        <w:pStyle w:val="4"/>
        <w:bidi w:val="0"/>
        <w:rPr>
          <w:rFonts w:hint="eastAsia"/>
        </w:rPr>
      </w:pPr>
      <w:r>
        <w:rPr>
          <w:rFonts w:hint="eastAsia"/>
        </w:rPr>
        <w:t>2、资金保障措施</w:t>
      </w:r>
    </w:p>
    <w:p w14:paraId="30CE98E7">
      <w:pPr>
        <w:bidi w:val="0"/>
        <w:rPr>
          <w:rFonts w:hint="eastAsia"/>
        </w:rPr>
      </w:pPr>
      <w:r>
        <w:rPr>
          <w:rFonts w:hint="eastAsia"/>
        </w:rPr>
        <w:t>涉及政府负责的建筑垃圾治理相关经费应纳入同级政府年度财政预算。按照“谁产生、谁承担处置 ”原则，产生建筑垃圾的单位或个人应当承担建筑垃圾处置费用。</w:t>
      </w:r>
      <w:r>
        <w:rPr>
          <w:rFonts w:hint="eastAsia"/>
          <w:u w:val="single"/>
        </w:rPr>
        <w:t>发改应会同财政、城管、生态环境部门</w:t>
      </w:r>
      <w:r>
        <w:rPr>
          <w:rFonts w:hint="eastAsia"/>
        </w:rPr>
        <w:t>根据建筑垃圾处置运营成本、国民经济与社会发展要求以及社会实际，按照“政府引导、市场主导 ”的市场化定价原则，不断完善政府调控，市场定价的建筑垃圾处置收费机制，保障建筑垃圾处置工作顺利推进。</w:t>
      </w:r>
    </w:p>
    <w:p w14:paraId="4A0FACAA">
      <w:pPr>
        <w:bidi w:val="0"/>
        <w:rPr>
          <w:rFonts w:hint="eastAsia"/>
        </w:rPr>
      </w:pPr>
      <w:r>
        <w:rPr>
          <w:rFonts w:hint="eastAsia"/>
        </w:rPr>
        <w:t>引入社会资本参与建筑垃圾产业，特别是在处理设施的建设投资方面，应多渠道、多层次地筹集资金，建立多元化投融资机制，推进市场化。</w:t>
      </w:r>
    </w:p>
    <w:p w14:paraId="08E3CD5F">
      <w:pPr>
        <w:pStyle w:val="3"/>
        <w:bidi w:val="0"/>
        <w:rPr>
          <w:rFonts w:hint="eastAsia" w:ascii="楷体" w:hAnsi="楷体" w:eastAsia="楷体" w:cs="楷体"/>
          <w:sz w:val="28"/>
          <w:szCs w:val="28"/>
        </w:rPr>
      </w:pPr>
      <w:bookmarkStart w:id="282" w:name="_Toc14916"/>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四</w:t>
      </w:r>
      <w:r>
        <w:rPr>
          <w:rFonts w:hint="eastAsia" w:ascii="楷体" w:hAnsi="楷体" w:eastAsia="楷体" w:cs="楷体"/>
          <w:sz w:val="28"/>
          <w:szCs w:val="28"/>
          <w:lang w:eastAsia="zh-CN"/>
        </w:rPr>
        <w:t>）</w:t>
      </w:r>
      <w:r>
        <w:rPr>
          <w:rFonts w:hint="eastAsia" w:ascii="楷体" w:hAnsi="楷体" w:eastAsia="楷体" w:cs="楷体"/>
          <w:sz w:val="28"/>
          <w:szCs w:val="28"/>
        </w:rPr>
        <w:t>技术保障措施</w:t>
      </w:r>
      <w:bookmarkEnd w:id="282"/>
    </w:p>
    <w:p w14:paraId="029D4E7A">
      <w:pPr>
        <w:bidi w:val="0"/>
        <w:rPr>
          <w:rFonts w:hint="eastAsia"/>
        </w:rPr>
      </w:pPr>
      <w:r>
        <w:rPr>
          <w:rFonts w:hint="eastAsia"/>
        </w:rPr>
        <w:t>进一步加强建筑垃圾管理人才培养，特别是信息化管理人才的培养、引进，加强建筑垃圾视频巡检、卫星定位轨迹信息综合分析、标准规范编制执行等人才的培养和引进，适应新形势下建筑垃圾管理工作的需要，提高建筑垃圾行业整体管理水平和能力。进一步加大建筑垃圾运输企业车辆驾驶人员操作培训力度，强化车辆驾驶人员安全意识、规范化操作意识，不断提高建筑垃圾运输车辆驾驶人员操作技能水平。</w:t>
      </w:r>
    </w:p>
    <w:p w14:paraId="64F815C9">
      <w:pPr>
        <w:bidi w:val="0"/>
        <w:rPr>
          <w:rFonts w:hint="eastAsia"/>
        </w:rPr>
      </w:pPr>
      <w:r>
        <w:rPr>
          <w:rFonts w:hint="eastAsia"/>
        </w:rPr>
        <w:t>落实建筑垃圾治理相关数据实时上报联动机制，通过汇集、分析和共享各类数据信息，实现建筑垃圾从源头产生、分类投放、分类收运、综合利用到末端处置的全过程数字化闭环监管。</w:t>
      </w:r>
    </w:p>
    <w:p w14:paraId="612DADD9">
      <w:pPr>
        <w:pStyle w:val="2"/>
        <w:bidi w:val="0"/>
        <w:rPr>
          <w:rFonts w:hint="eastAsia"/>
        </w:rPr>
      </w:pPr>
      <w:bookmarkStart w:id="283" w:name="_Toc18586"/>
      <w:r>
        <w:rPr>
          <w:rFonts w:hint="eastAsia"/>
        </w:rPr>
        <w:t>第十三章 附则</w:t>
      </w:r>
      <w:bookmarkEnd w:id="283"/>
    </w:p>
    <w:p w14:paraId="2258F5E1">
      <w:pPr>
        <w:pStyle w:val="3"/>
        <w:bidi w:val="0"/>
        <w:rPr>
          <w:rFonts w:hint="eastAsia" w:ascii="楷体" w:hAnsi="楷体" w:eastAsia="楷体" w:cs="楷体"/>
          <w:sz w:val="28"/>
          <w:szCs w:val="28"/>
        </w:rPr>
      </w:pPr>
      <w:bookmarkStart w:id="284" w:name="_Toc17644"/>
      <w:r>
        <w:rPr>
          <w:rFonts w:hint="eastAsia" w:ascii="楷体" w:hAnsi="楷体" w:eastAsia="楷体" w:cs="楷体"/>
          <w:sz w:val="28"/>
          <w:szCs w:val="28"/>
          <w:lang w:eastAsia="zh-CN"/>
        </w:rPr>
        <w:t>（一）</w:t>
      </w:r>
      <w:r>
        <w:rPr>
          <w:rFonts w:hint="eastAsia" w:ascii="楷体" w:hAnsi="楷体" w:eastAsia="楷体" w:cs="楷体"/>
          <w:sz w:val="28"/>
          <w:szCs w:val="28"/>
        </w:rPr>
        <w:t>组织实施主体</w:t>
      </w:r>
      <w:bookmarkEnd w:id="284"/>
    </w:p>
    <w:p w14:paraId="77FC26F4">
      <w:pPr>
        <w:bidi w:val="0"/>
        <w:rPr>
          <w:rFonts w:hint="eastAsia"/>
        </w:rPr>
      </w:pPr>
      <w:r>
        <w:rPr>
          <w:rFonts w:hint="eastAsia"/>
        </w:rPr>
        <w:t>本规划由</w:t>
      </w:r>
      <w:r>
        <w:rPr>
          <w:rFonts w:hint="eastAsia"/>
          <w:lang w:eastAsia="zh-CN"/>
        </w:rPr>
        <w:t>桃江</w:t>
      </w:r>
      <w:r>
        <w:rPr>
          <w:rFonts w:hint="eastAsia"/>
        </w:rPr>
        <w:t>县住房和城乡建设局组织实施。</w:t>
      </w:r>
    </w:p>
    <w:p w14:paraId="5E6A327E">
      <w:pPr>
        <w:pStyle w:val="3"/>
        <w:bidi w:val="0"/>
        <w:rPr>
          <w:rFonts w:hint="eastAsia" w:ascii="楷体" w:hAnsi="楷体" w:eastAsia="楷体" w:cs="楷体"/>
          <w:sz w:val="28"/>
          <w:szCs w:val="28"/>
        </w:rPr>
      </w:pPr>
      <w:bookmarkStart w:id="285" w:name="_Toc11430"/>
      <w:r>
        <w:rPr>
          <w:rFonts w:hint="eastAsia" w:ascii="楷体" w:hAnsi="楷体" w:eastAsia="楷体" w:cs="楷体"/>
          <w:sz w:val="28"/>
          <w:szCs w:val="28"/>
          <w:lang w:eastAsia="zh-CN"/>
        </w:rPr>
        <w:t>（二）</w:t>
      </w:r>
      <w:r>
        <w:rPr>
          <w:rFonts w:hint="eastAsia" w:ascii="楷体" w:hAnsi="楷体" w:eastAsia="楷体" w:cs="楷体"/>
          <w:sz w:val="28"/>
          <w:szCs w:val="28"/>
        </w:rPr>
        <w:t>解释权归属</w:t>
      </w:r>
      <w:bookmarkEnd w:id="285"/>
    </w:p>
    <w:p w14:paraId="52F41036">
      <w:pPr>
        <w:bidi w:val="0"/>
        <w:rPr>
          <w:rFonts w:hint="eastAsia"/>
        </w:rPr>
      </w:pPr>
      <w:r>
        <w:rPr>
          <w:rFonts w:hint="eastAsia"/>
        </w:rPr>
        <w:t>本规划由</w:t>
      </w:r>
      <w:r>
        <w:rPr>
          <w:rFonts w:hint="eastAsia"/>
          <w:lang w:eastAsia="zh-CN"/>
        </w:rPr>
        <w:t>桃江县</w:t>
      </w:r>
      <w:r>
        <w:rPr>
          <w:rFonts w:hint="eastAsia"/>
        </w:rPr>
        <w:t>住房和城乡建设局负责解释。</w:t>
      </w:r>
    </w:p>
    <w:p w14:paraId="170350A2">
      <w:pPr>
        <w:pStyle w:val="3"/>
        <w:bidi w:val="0"/>
        <w:rPr>
          <w:rFonts w:hint="eastAsia" w:ascii="楷体" w:hAnsi="楷体" w:eastAsia="楷体" w:cs="楷体"/>
          <w:sz w:val="28"/>
          <w:szCs w:val="28"/>
        </w:rPr>
      </w:pPr>
      <w:bookmarkStart w:id="286" w:name="_Toc10070"/>
      <w:r>
        <w:rPr>
          <w:rFonts w:hint="eastAsia" w:ascii="楷体" w:hAnsi="楷体" w:eastAsia="楷体" w:cs="楷体"/>
          <w:sz w:val="28"/>
          <w:szCs w:val="28"/>
          <w:lang w:eastAsia="zh-CN"/>
        </w:rPr>
        <w:t>（三）</w:t>
      </w:r>
      <w:r>
        <w:rPr>
          <w:rFonts w:hint="eastAsia" w:ascii="楷体" w:hAnsi="楷体" w:eastAsia="楷体" w:cs="楷体"/>
          <w:sz w:val="28"/>
          <w:szCs w:val="28"/>
        </w:rPr>
        <w:t>规划实施日期</w:t>
      </w:r>
      <w:bookmarkEnd w:id="286"/>
    </w:p>
    <w:p w14:paraId="045A5879">
      <w:pPr>
        <w:bidi w:val="0"/>
        <w:rPr>
          <w:rFonts w:hint="eastAsia"/>
        </w:rPr>
      </w:pPr>
      <w:r>
        <w:rPr>
          <w:rFonts w:hint="eastAsia"/>
        </w:rPr>
        <w:t>本规划自批准公布之日起生效。</w:t>
      </w:r>
    </w:p>
    <w:p w14:paraId="23FEB6E7">
      <w:pPr>
        <w:bidi w:val="0"/>
        <w:rPr>
          <w:rFonts w:hint="eastAsia"/>
        </w:rPr>
      </w:pPr>
    </w:p>
    <w:p w14:paraId="5FA8A3DC">
      <w:pPr>
        <w:bidi w:val="0"/>
        <w:rPr>
          <w:rFonts w:hint="eastAsia"/>
        </w:rPr>
      </w:pPr>
      <w:r>
        <w:rPr>
          <w:rFonts w:hint="eastAsia"/>
        </w:rPr>
        <w:t>附图</w:t>
      </w:r>
    </w:p>
    <w:p w14:paraId="3B6DE6A1">
      <w:pPr>
        <w:bidi w:val="0"/>
        <w:rPr>
          <w:rFonts w:hint="eastAsia"/>
        </w:rPr>
      </w:pPr>
      <w:r>
        <w:rPr>
          <w:rFonts w:hint="eastAsia"/>
        </w:rPr>
        <w:t>图纸目录（按实际情况编制）</w:t>
      </w:r>
    </w:p>
    <w:p w14:paraId="2CDD8A22">
      <w:pPr>
        <w:bidi w:val="0"/>
      </w:pPr>
      <w:r>
        <w:rPr>
          <w:rFonts w:hint="eastAsia"/>
        </w:rPr>
        <w:t>包括但不限于： 区位图、 现状图、 近期设施规划布局图、 远 期设施规划布局图、运输路线规划。</w:t>
      </w:r>
    </w:p>
    <w:p w14:paraId="0A623D24">
      <w:pPr>
        <w:pageBreakBefore w:val="0"/>
        <w:kinsoku/>
        <w:wordWrap w:val="0"/>
        <w:overflowPunct/>
        <w:topLinePunct w:val="0"/>
        <w:autoSpaceDE/>
        <w:autoSpaceDN/>
        <w:bidi w:val="0"/>
        <w:adjustRightInd/>
        <w:snapToGrid/>
        <w:ind w:firstLine="0" w:firstLineChars="0"/>
        <w:rPr>
          <w:rFonts w:hint="eastAsia" w:cs="Times New Roman"/>
          <w:szCs w:val="28"/>
        </w:rPr>
      </w:pPr>
    </w:p>
    <w:sectPr>
      <w:headerReference r:id="rId13" w:type="default"/>
      <w:footerReference r:id="rId14" w:type="default"/>
      <w:pgSz w:w="11906" w:h="16838"/>
      <w:pgMar w:top="1440" w:right="1800" w:bottom="1440" w:left="1800" w:header="851" w:footer="964"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等线 Light">
    <w:altName w:val="宋体"/>
    <w:panose1 w:val="02010600030101010101"/>
    <w:charset w:val="86"/>
    <w:family w:val="auto"/>
    <w:pitch w:val="default"/>
    <w:sig w:usb0="00000000" w:usb1="00000000" w:usb2="00000016" w:usb3="00000000" w:csb0="0004000F" w:csb1="00000000"/>
  </w:font>
  <w:font w:name="方正楷体_GB2312">
    <w:altName w:val="楷体"/>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Constantia">
    <w:altName w:val="FreeSerif"/>
    <w:panose1 w:val="02030602050306030303"/>
    <w:charset w:val="00"/>
    <w:family w:val="auto"/>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745B2">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2963B">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E577C">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1C5FD">
    <w:pPr>
      <w:widowControl/>
      <w:kinsoku w:val="0"/>
      <w:autoSpaceDE w:val="0"/>
      <w:autoSpaceDN w:val="0"/>
      <w:adjustRightInd w:val="0"/>
      <w:snapToGrid w:val="0"/>
      <w:spacing w:line="123" w:lineRule="exact"/>
      <w:ind w:left="4280" w:firstLine="0" w:firstLineChars="0"/>
      <w:jc w:val="left"/>
      <w:textAlignment w:val="baseline"/>
      <w:rPr>
        <w:rFonts w:ascii="Constantia" w:hAnsi="Constantia" w:eastAsia="Constantia" w:cs="Constantia"/>
        <w:snapToGrid w:val="0"/>
        <w:color w:val="000000"/>
        <w:kern w:val="0"/>
        <w:sz w:val="18"/>
        <w:szCs w:val="18"/>
        <w:lang w:eastAsia="en-US"/>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75DF08">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275DF08">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26C8A">
    <w:pPr>
      <w:pStyle w:val="8"/>
      <w:ind w:firstLine="0" w:firstLineChars="0"/>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4AA1F">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3A4AA1F">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A151E">
    <w:pPr>
      <w:pStyle w:val="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B27DE">
    <w:pPr>
      <w:pStyle w:val="9"/>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68075">
    <w:pPr>
      <w:pStyle w:val="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078FD">
    <w:pPr>
      <w:widowControl/>
      <w:kinsoku w:val="0"/>
      <w:autoSpaceDE w:val="0"/>
      <w:autoSpaceDN w:val="0"/>
      <w:adjustRightInd w:val="0"/>
      <w:snapToGrid w:val="0"/>
      <w:spacing w:before="48" w:line="197" w:lineRule="auto"/>
      <w:ind w:left="1984" w:firstLine="0" w:firstLineChars="0"/>
      <w:jc w:val="right"/>
      <w:textAlignment w:val="baseline"/>
      <w:rPr>
        <w:rFonts w:hint="eastAsia" w:ascii="仿宋" w:hAnsi="仿宋" w:eastAsia="仿宋" w:cs="仿宋"/>
        <w:b w:val="0"/>
        <w:bCs w:val="0"/>
        <w:snapToGrid w:val="0"/>
        <w:color w:val="000000"/>
        <w:kern w:val="0"/>
        <w:sz w:val="21"/>
        <w:szCs w:val="21"/>
        <w:lang w:eastAsia="en-US"/>
      </w:rPr>
    </w:pPr>
    <w:bookmarkStart w:id="287" w:name="OLE_LINK121"/>
    <w:bookmarkStart w:id="288" w:name="OLE_LINK113"/>
    <w:r>
      <w:rPr>
        <w:rFonts w:hint="eastAsia" w:ascii="仿宋" w:hAnsi="仿宋" w:eastAsia="仿宋" w:cs="仿宋"/>
        <w:b w:val="0"/>
        <w:bCs w:val="0"/>
        <w:snapToGrid w:val="0"/>
        <w:color w:val="000000"/>
        <w:kern w:val="0"/>
        <w:sz w:val="21"/>
        <w:szCs w:val="21"/>
        <w:lang w:eastAsia="en-US"/>
      </w:rPr>
      <w:drawing>
        <wp:anchor distT="0" distB="0" distL="0" distR="0" simplePos="0" relativeHeight="251661312" behindDoc="0" locked="0" layoutInCell="0" allowOverlap="1">
          <wp:simplePos x="0" y="0"/>
          <wp:positionH relativeFrom="page">
            <wp:posOffset>1124585</wp:posOffset>
          </wp:positionH>
          <wp:positionV relativeFrom="page">
            <wp:posOffset>700405</wp:posOffset>
          </wp:positionV>
          <wp:extent cx="5311140" cy="8890"/>
          <wp:effectExtent l="0" t="0" r="0" b="0"/>
          <wp:wrapNone/>
          <wp:docPr id="1" name="IM 52"/>
          <wp:cNvGraphicFramePr/>
          <a:graphic xmlns:a="http://schemas.openxmlformats.org/drawingml/2006/main">
            <a:graphicData uri="http://schemas.openxmlformats.org/drawingml/2006/picture">
              <pic:pic xmlns:pic="http://schemas.openxmlformats.org/drawingml/2006/picture">
                <pic:nvPicPr>
                  <pic:cNvPr id="1" name="IM 52"/>
                  <pic:cNvPicPr/>
                </pic:nvPicPr>
                <pic:blipFill>
                  <a:blip r:embed="rId1"/>
                  <a:stretch>
                    <a:fillRect/>
                  </a:stretch>
                </pic:blipFill>
                <pic:spPr>
                  <a:xfrm>
                    <a:off x="0" y="0"/>
                    <a:ext cx="5311139" cy="9143"/>
                  </a:xfrm>
                  <a:prstGeom prst="rect">
                    <a:avLst/>
                  </a:prstGeom>
                </pic:spPr>
              </pic:pic>
            </a:graphicData>
          </a:graphic>
        </wp:anchor>
      </w:drawing>
    </w:r>
    <w:r>
      <w:rPr>
        <w:rFonts w:hint="eastAsia" w:ascii="仿宋" w:hAnsi="仿宋" w:cs="仿宋"/>
        <w:b w:val="0"/>
        <w:bCs w:val="0"/>
        <w:snapToGrid w:val="0"/>
        <w:color w:val="000000"/>
        <w:kern w:val="0"/>
        <w:sz w:val="21"/>
        <w:szCs w:val="21"/>
        <w:lang w:eastAsia="zh-CN"/>
      </w:rPr>
      <w:t>桃江县建筑垃圾污染环境</w:t>
    </w:r>
    <w:r>
      <w:rPr>
        <w:rFonts w:hint="eastAsia" w:ascii="仿宋" w:hAnsi="仿宋" w:eastAsia="仿宋" w:cs="仿宋"/>
        <w:b w:val="0"/>
        <w:bCs w:val="0"/>
        <w:snapToGrid w:val="0"/>
        <w:color w:val="000000"/>
        <w:spacing w:val="-2"/>
        <w:kern w:val="0"/>
        <w:sz w:val="21"/>
        <w:szCs w:val="21"/>
        <w:lang w:eastAsia="en-US"/>
      </w:rPr>
      <w:t>防治工作规划（2025</w:t>
    </w:r>
    <w:r>
      <w:rPr>
        <w:rFonts w:hint="eastAsia" w:ascii="仿宋" w:hAnsi="仿宋" w:eastAsia="仿宋" w:cs="仿宋"/>
        <w:b w:val="0"/>
        <w:bCs w:val="0"/>
        <w:snapToGrid w:val="0"/>
        <w:color w:val="000000"/>
        <w:spacing w:val="-3"/>
        <w:kern w:val="0"/>
        <w:sz w:val="21"/>
        <w:szCs w:val="21"/>
        <w:lang w:eastAsia="en-US"/>
      </w:rPr>
      <w:t>-2035年）</w:t>
    </w:r>
    <w:bookmarkEnd w:id="287"/>
    <w:bookmarkEnd w:id="288"/>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1ABE0">
    <w:pPr>
      <w:widowControl/>
      <w:kinsoku w:val="0"/>
      <w:autoSpaceDE w:val="0"/>
      <w:autoSpaceDN w:val="0"/>
      <w:adjustRightInd w:val="0"/>
      <w:snapToGrid w:val="0"/>
      <w:spacing w:before="48" w:line="197" w:lineRule="auto"/>
      <w:ind w:left="1984" w:firstLine="0" w:firstLineChars="0"/>
      <w:jc w:val="right"/>
      <w:textAlignment w:val="baseline"/>
      <w:rPr>
        <w:rFonts w:hint="eastAsia" w:ascii="仿宋" w:hAnsi="仿宋" w:eastAsia="仿宋" w:cs="仿宋"/>
        <w:b w:val="0"/>
        <w:bCs w:val="0"/>
        <w:snapToGrid w:val="0"/>
        <w:color w:val="000000"/>
        <w:kern w:val="0"/>
        <w:sz w:val="21"/>
        <w:szCs w:val="21"/>
        <w:lang w:eastAsia="en-US"/>
      </w:rPr>
    </w:pPr>
    <w:r>
      <w:rPr>
        <w:rFonts w:hint="eastAsia" w:ascii="仿宋" w:hAnsi="仿宋" w:eastAsia="仿宋" w:cs="仿宋"/>
        <w:b w:val="0"/>
        <w:bCs w:val="0"/>
        <w:snapToGrid w:val="0"/>
        <w:color w:val="000000"/>
        <w:kern w:val="0"/>
        <w:sz w:val="21"/>
        <w:szCs w:val="21"/>
        <w:lang w:eastAsia="en-US"/>
      </w:rPr>
      <w:drawing>
        <wp:anchor distT="0" distB="0" distL="0" distR="0" simplePos="0" relativeHeight="251664384" behindDoc="0" locked="0" layoutInCell="0" allowOverlap="1">
          <wp:simplePos x="0" y="0"/>
          <wp:positionH relativeFrom="page">
            <wp:posOffset>1124585</wp:posOffset>
          </wp:positionH>
          <wp:positionV relativeFrom="page">
            <wp:posOffset>700405</wp:posOffset>
          </wp:positionV>
          <wp:extent cx="5311140" cy="8890"/>
          <wp:effectExtent l="0" t="0" r="0" b="0"/>
          <wp:wrapNone/>
          <wp:docPr id="20" name="IM 52"/>
          <wp:cNvGraphicFramePr/>
          <a:graphic xmlns:a="http://schemas.openxmlformats.org/drawingml/2006/main">
            <a:graphicData uri="http://schemas.openxmlformats.org/drawingml/2006/picture">
              <pic:pic xmlns:pic="http://schemas.openxmlformats.org/drawingml/2006/picture">
                <pic:nvPicPr>
                  <pic:cNvPr id="20" name="IM 52"/>
                  <pic:cNvPicPr/>
                </pic:nvPicPr>
                <pic:blipFill>
                  <a:blip r:embed="rId1"/>
                  <a:stretch>
                    <a:fillRect/>
                  </a:stretch>
                </pic:blipFill>
                <pic:spPr>
                  <a:xfrm>
                    <a:off x="0" y="0"/>
                    <a:ext cx="5311139" cy="9143"/>
                  </a:xfrm>
                  <a:prstGeom prst="rect">
                    <a:avLst/>
                  </a:prstGeom>
                </pic:spPr>
              </pic:pic>
            </a:graphicData>
          </a:graphic>
        </wp:anchor>
      </w:drawing>
    </w:r>
    <w:r>
      <w:rPr>
        <w:rFonts w:hint="eastAsia" w:ascii="仿宋" w:hAnsi="仿宋" w:cs="仿宋"/>
        <w:b w:val="0"/>
        <w:bCs w:val="0"/>
        <w:snapToGrid w:val="0"/>
        <w:color w:val="000000"/>
        <w:kern w:val="0"/>
        <w:sz w:val="21"/>
        <w:szCs w:val="21"/>
        <w:lang w:eastAsia="zh-CN"/>
      </w:rPr>
      <w:t>桃江县建筑垃圾污染环境</w:t>
    </w:r>
    <w:r>
      <w:rPr>
        <w:rFonts w:hint="eastAsia" w:ascii="仿宋" w:hAnsi="仿宋" w:eastAsia="仿宋" w:cs="仿宋"/>
        <w:b w:val="0"/>
        <w:bCs w:val="0"/>
        <w:snapToGrid w:val="0"/>
        <w:color w:val="000000"/>
        <w:spacing w:val="-2"/>
        <w:kern w:val="0"/>
        <w:sz w:val="21"/>
        <w:szCs w:val="21"/>
        <w:lang w:eastAsia="en-US"/>
      </w:rPr>
      <w:t>防治工作规划（2025</w:t>
    </w:r>
    <w:r>
      <w:rPr>
        <w:rFonts w:hint="eastAsia" w:ascii="仿宋" w:hAnsi="仿宋" w:eastAsia="仿宋" w:cs="仿宋"/>
        <w:b w:val="0"/>
        <w:bCs w:val="0"/>
        <w:snapToGrid w:val="0"/>
        <w:color w:val="000000"/>
        <w:spacing w:val="-3"/>
        <w:kern w:val="0"/>
        <w:sz w:val="21"/>
        <w:szCs w:val="21"/>
        <w:lang w:eastAsia="en-US"/>
      </w:rPr>
      <w:t>-2035年）</w:t>
    </w:r>
  </w:p>
  <w:p w14:paraId="35949529">
    <w:pPr>
      <w:pStyle w:val="9"/>
      <w:rPr>
        <w:lang w:eastAsia="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iM2NkZTAxN2ZhYTlkM2EzZGEwYjQ3YjdlMjNjYmQifQ=="/>
  </w:docVars>
  <w:rsids>
    <w:rsidRoot w:val="6B1D7016"/>
    <w:rsid w:val="00045A89"/>
    <w:rsid w:val="000A19DB"/>
    <w:rsid w:val="00351D94"/>
    <w:rsid w:val="00506302"/>
    <w:rsid w:val="00592FC0"/>
    <w:rsid w:val="006B3BB7"/>
    <w:rsid w:val="007A1209"/>
    <w:rsid w:val="007B5533"/>
    <w:rsid w:val="008D00BC"/>
    <w:rsid w:val="00BE502C"/>
    <w:rsid w:val="00D2672D"/>
    <w:rsid w:val="00D50291"/>
    <w:rsid w:val="00F11872"/>
    <w:rsid w:val="00FD40B2"/>
    <w:rsid w:val="036B1798"/>
    <w:rsid w:val="03DC43D1"/>
    <w:rsid w:val="04115160"/>
    <w:rsid w:val="051C7496"/>
    <w:rsid w:val="0648365F"/>
    <w:rsid w:val="0A3E03DD"/>
    <w:rsid w:val="0BA8707A"/>
    <w:rsid w:val="0D317F78"/>
    <w:rsid w:val="10304FDC"/>
    <w:rsid w:val="115377F4"/>
    <w:rsid w:val="11AD2E76"/>
    <w:rsid w:val="123C368D"/>
    <w:rsid w:val="126634E4"/>
    <w:rsid w:val="12CF74A0"/>
    <w:rsid w:val="13A51269"/>
    <w:rsid w:val="141F52F0"/>
    <w:rsid w:val="16ED6013"/>
    <w:rsid w:val="1EF30AB2"/>
    <w:rsid w:val="1F1021C6"/>
    <w:rsid w:val="21115DD1"/>
    <w:rsid w:val="21A70722"/>
    <w:rsid w:val="256347C5"/>
    <w:rsid w:val="2817512F"/>
    <w:rsid w:val="2BC7429E"/>
    <w:rsid w:val="2E4B5138"/>
    <w:rsid w:val="35D753C3"/>
    <w:rsid w:val="35F805FA"/>
    <w:rsid w:val="364168D0"/>
    <w:rsid w:val="37F62FC7"/>
    <w:rsid w:val="3AC41856"/>
    <w:rsid w:val="3D3D09A6"/>
    <w:rsid w:val="3D767935"/>
    <w:rsid w:val="3E2062F1"/>
    <w:rsid w:val="3FFB2DE4"/>
    <w:rsid w:val="444D283F"/>
    <w:rsid w:val="477514A0"/>
    <w:rsid w:val="483A7C41"/>
    <w:rsid w:val="48B714DC"/>
    <w:rsid w:val="48ED09EF"/>
    <w:rsid w:val="49A277AE"/>
    <w:rsid w:val="4B052FC7"/>
    <w:rsid w:val="4C8A6EEA"/>
    <w:rsid w:val="4CDE38DC"/>
    <w:rsid w:val="4CF92113"/>
    <w:rsid w:val="4D852539"/>
    <w:rsid w:val="4E2F68D1"/>
    <w:rsid w:val="4EBB24A8"/>
    <w:rsid w:val="4EC32FA2"/>
    <w:rsid w:val="4F9F38F8"/>
    <w:rsid w:val="5656482C"/>
    <w:rsid w:val="59686400"/>
    <w:rsid w:val="5BFE1351"/>
    <w:rsid w:val="6009767F"/>
    <w:rsid w:val="60350935"/>
    <w:rsid w:val="604D14F0"/>
    <w:rsid w:val="605F5BC1"/>
    <w:rsid w:val="60901B5D"/>
    <w:rsid w:val="60B740B3"/>
    <w:rsid w:val="623A01EC"/>
    <w:rsid w:val="65B242FF"/>
    <w:rsid w:val="67406637"/>
    <w:rsid w:val="687C7B56"/>
    <w:rsid w:val="68E31F3D"/>
    <w:rsid w:val="69777AD4"/>
    <w:rsid w:val="69F14B34"/>
    <w:rsid w:val="6A8A23D9"/>
    <w:rsid w:val="6B1D7016"/>
    <w:rsid w:val="6D131118"/>
    <w:rsid w:val="6E057ED4"/>
    <w:rsid w:val="6F030060"/>
    <w:rsid w:val="71BD6B02"/>
    <w:rsid w:val="72877CE3"/>
    <w:rsid w:val="73D873B6"/>
    <w:rsid w:val="74EE6AD0"/>
    <w:rsid w:val="789344E9"/>
    <w:rsid w:val="79D03333"/>
    <w:rsid w:val="7B1D7A0C"/>
    <w:rsid w:val="7CE23B8D"/>
    <w:rsid w:val="7DC8367C"/>
    <w:rsid w:val="E7E11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Times New Roman" w:hAnsi="Times New Roman" w:eastAsia="仿宋" w:cstheme="minorBidi"/>
      <w:kern w:val="2"/>
      <w:sz w:val="28"/>
      <w:szCs w:val="24"/>
      <w:lang w:val="en-US" w:eastAsia="zh-CN" w:bidi="ar-SA"/>
    </w:rPr>
  </w:style>
  <w:style w:type="paragraph" w:styleId="2">
    <w:name w:val="heading 1"/>
    <w:basedOn w:val="1"/>
    <w:next w:val="1"/>
    <w:autoRedefine/>
    <w:qFormat/>
    <w:uiPriority w:val="9"/>
    <w:pPr>
      <w:keepNext/>
      <w:keepLines/>
      <w:outlineLvl w:val="0"/>
    </w:pPr>
    <w:rPr>
      <w:rFonts w:eastAsia="微软雅黑"/>
      <w:b/>
      <w:bCs/>
      <w:kern w:val="44"/>
      <w:sz w:val="30"/>
      <w:szCs w:val="44"/>
    </w:rPr>
  </w:style>
  <w:style w:type="paragraph" w:styleId="3">
    <w:name w:val="heading 2"/>
    <w:basedOn w:val="1"/>
    <w:next w:val="1"/>
    <w:link w:val="22"/>
    <w:autoRedefine/>
    <w:unhideWhenUsed/>
    <w:qFormat/>
    <w:uiPriority w:val="9"/>
    <w:pPr>
      <w:keepNext/>
      <w:keepLines/>
      <w:outlineLvl w:val="1"/>
    </w:pPr>
    <w:rPr>
      <w:rFonts w:ascii="等线 Light" w:hAnsi="等线 Light"/>
      <w:b/>
      <w:bCs/>
      <w:sz w:val="32"/>
      <w:szCs w:val="32"/>
    </w:rPr>
  </w:style>
  <w:style w:type="paragraph" w:styleId="4">
    <w:name w:val="heading 3"/>
    <w:basedOn w:val="1"/>
    <w:next w:val="1"/>
    <w:autoRedefine/>
    <w:unhideWhenUsed/>
    <w:qFormat/>
    <w:uiPriority w:val="0"/>
    <w:pPr>
      <w:keepNext/>
      <w:keepLines/>
      <w:spacing w:line="360" w:lineRule="auto"/>
      <w:outlineLvl w:val="2"/>
    </w:pPr>
    <w:rPr>
      <w:rFonts w:ascii="Times New Roman" w:hAnsi="Times New Roman"/>
      <w:b/>
      <w:bCs/>
      <w:szCs w:val="32"/>
    </w:rPr>
  </w:style>
  <w:style w:type="paragraph" w:styleId="5">
    <w:name w:val="heading 4"/>
    <w:basedOn w:val="1"/>
    <w:next w:val="1"/>
    <w:autoRedefine/>
    <w:unhideWhenUsed/>
    <w:qFormat/>
    <w:uiPriority w:val="0"/>
    <w:pPr>
      <w:spacing w:before="-2147483648" w:beforeAutospacing="1" w:after="100" w:afterAutospacing="1"/>
      <w:jc w:val="left"/>
      <w:outlineLvl w:val="3"/>
    </w:pPr>
    <w:rPr>
      <w:rFonts w:hint="eastAsia" w:ascii="宋体" w:hAnsi="宋体" w:eastAsia="宋体" w:cs="宋体"/>
      <w:b/>
      <w:bCs/>
      <w:kern w:val="0"/>
      <w:sz w:val="28"/>
      <w:lang w:bidi="ar"/>
    </w:rPr>
  </w:style>
  <w:style w:type="character" w:default="1" w:styleId="15">
    <w:name w:val="Default Paragraph Font"/>
    <w:autoRedefine/>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Body Text"/>
    <w:basedOn w:val="1"/>
    <w:autoRedefine/>
    <w:qFormat/>
    <w:uiPriority w:val="0"/>
    <w:pPr>
      <w:spacing w:after="120"/>
    </w:pPr>
    <w:rPr>
      <w:rFonts w:eastAsia="宋体" w:cs="Times New Roman"/>
    </w:rPr>
  </w:style>
  <w:style w:type="paragraph" w:styleId="7">
    <w:name w:val="toc 5"/>
    <w:basedOn w:val="1"/>
    <w:next w:val="1"/>
    <w:autoRedefine/>
    <w:qFormat/>
    <w:uiPriority w:val="0"/>
    <w:pPr>
      <w:ind w:left="1680" w:leftChars="800"/>
    </w:pPr>
  </w:style>
  <w:style w:type="paragraph" w:styleId="8">
    <w:name w:val="footer"/>
    <w:basedOn w:val="1"/>
    <w:link w:val="23"/>
    <w:autoRedefine/>
    <w:qFormat/>
    <w:uiPriority w:val="99"/>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0">
    <w:name w:val="toc 1"/>
    <w:basedOn w:val="1"/>
    <w:next w:val="1"/>
    <w:autoRedefine/>
    <w:unhideWhenUsed/>
    <w:qFormat/>
    <w:uiPriority w:val="39"/>
    <w:rPr>
      <w:rFonts w:ascii="Calibri" w:hAnsi="Calibri" w:eastAsia="宋体" w:cs="Times New Roman"/>
      <w:sz w:val="21"/>
      <w:szCs w:val="21"/>
    </w:rPr>
  </w:style>
  <w:style w:type="paragraph" w:styleId="11">
    <w:name w:val="toc 2"/>
    <w:basedOn w:val="1"/>
    <w:next w:val="1"/>
    <w:autoRedefine/>
    <w:unhideWhenUsed/>
    <w:qFormat/>
    <w:uiPriority w:val="39"/>
    <w:pPr>
      <w:ind w:left="420" w:leftChars="200"/>
    </w:pPr>
  </w:style>
  <w:style w:type="paragraph" w:styleId="12">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6">
    <w:name w:val="Strong"/>
    <w:basedOn w:val="15"/>
    <w:autoRedefine/>
    <w:qFormat/>
    <w:uiPriority w:val="0"/>
    <w:rPr>
      <w:b/>
    </w:rPr>
  </w:style>
  <w:style w:type="character" w:styleId="17">
    <w:name w:val="Emphasis"/>
    <w:basedOn w:val="15"/>
    <w:autoRedefine/>
    <w:qFormat/>
    <w:uiPriority w:val="0"/>
    <w:rPr>
      <w:i/>
    </w:rPr>
  </w:style>
  <w:style w:type="character" w:styleId="18">
    <w:name w:val="Hyperlink"/>
    <w:autoRedefine/>
    <w:unhideWhenUsed/>
    <w:qFormat/>
    <w:uiPriority w:val="99"/>
    <w:rPr>
      <w:color w:val="0000FF"/>
      <w:u w:val="single"/>
    </w:rPr>
  </w:style>
  <w:style w:type="paragraph" w:customStyle="1" w:styleId="19">
    <w:name w:val="列表段落1"/>
    <w:basedOn w:val="1"/>
    <w:autoRedefine/>
    <w:qFormat/>
    <w:uiPriority w:val="0"/>
    <w:pPr>
      <w:ind w:firstLine="420"/>
    </w:pPr>
    <w:rPr>
      <w:rFonts w:ascii="Calibri" w:hAnsi="Calibri" w:eastAsia="宋体" w:cs="Times New Roman"/>
      <w:sz w:val="21"/>
      <w:szCs w:val="21"/>
    </w:rPr>
  </w:style>
  <w:style w:type="paragraph" w:customStyle="1" w:styleId="20">
    <w:name w:val="WPSOffice手动目录 1"/>
    <w:autoRedefine/>
    <w:qFormat/>
    <w:uiPriority w:val="0"/>
    <w:rPr>
      <w:rFonts w:ascii="Times New Roman" w:hAnsi="Times New Roman" w:eastAsia="宋体" w:cs="Times New Roman"/>
      <w:lang w:val="en-US" w:eastAsia="zh-CN" w:bidi="ar-SA"/>
    </w:rPr>
  </w:style>
  <w:style w:type="paragraph" w:customStyle="1" w:styleId="21">
    <w:name w:val="WPSOffice手动目录 2"/>
    <w:autoRedefine/>
    <w:qFormat/>
    <w:uiPriority w:val="0"/>
    <w:pPr>
      <w:ind w:left="200" w:leftChars="200"/>
    </w:pPr>
    <w:rPr>
      <w:rFonts w:ascii="Times New Roman" w:hAnsi="Times New Roman" w:eastAsia="宋体" w:cs="Times New Roman"/>
      <w:lang w:val="en-US" w:eastAsia="zh-CN" w:bidi="ar-SA"/>
    </w:rPr>
  </w:style>
  <w:style w:type="character" w:customStyle="1" w:styleId="22">
    <w:name w:val="标题 2 字符"/>
    <w:link w:val="3"/>
    <w:autoRedefine/>
    <w:qFormat/>
    <w:uiPriority w:val="9"/>
    <w:rPr>
      <w:rFonts w:ascii="等线 Light" w:hAnsi="等线 Light" w:eastAsia="仿宋" w:cstheme="minorBidi"/>
      <w:b/>
      <w:bCs/>
      <w:kern w:val="2"/>
      <w:sz w:val="32"/>
      <w:szCs w:val="32"/>
    </w:rPr>
  </w:style>
  <w:style w:type="character" w:customStyle="1" w:styleId="23">
    <w:name w:val="页脚 字符"/>
    <w:basedOn w:val="15"/>
    <w:link w:val="8"/>
    <w:autoRedefine/>
    <w:qFormat/>
    <w:uiPriority w:val="99"/>
    <w:rPr>
      <w:rFonts w:eastAsia="仿宋" w:cstheme="minorBidi"/>
      <w:kern w:val="2"/>
      <w:sz w:val="18"/>
      <w:szCs w:val="24"/>
    </w:rPr>
  </w:style>
  <w:style w:type="paragraph" w:customStyle="1" w:styleId="24">
    <w:name w:val="Table Text"/>
    <w:basedOn w:val="1"/>
    <w:autoRedefine/>
    <w:semiHidden/>
    <w:qFormat/>
    <w:uiPriority w:val="0"/>
    <w:rPr>
      <w:rFonts w:ascii="宋体" w:hAnsi="宋体" w:eastAsia="宋体" w:cs="宋体"/>
      <w:sz w:val="28"/>
      <w:szCs w:val="28"/>
      <w:lang w:val="en-US" w:eastAsia="en-US" w:bidi="ar-SA"/>
    </w:rPr>
  </w:style>
  <w:style w:type="table" w:customStyle="1" w:styleId="2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jpe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ISO 690 - 数字引用" SelectedStyle="\ISO690Nmerical.XSL" Version="1987"/>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E89679-A46B-4EDC-8DE1-DC6B21066D7C}">
  <ds:schemaRefs/>
</ds:datastoreItem>
</file>

<file path=docProps/app.xml><?xml version="1.0" encoding="utf-8"?>
<Properties xmlns="http://schemas.openxmlformats.org/officeDocument/2006/extended-properties" xmlns:vt="http://schemas.openxmlformats.org/officeDocument/2006/docPropsVTypes">
  <Template>Normal.dotm</Template>
  <Pages>92</Pages>
  <Words>1020</Words>
  <Characters>1100</Characters>
  <Lines>116</Lines>
  <Paragraphs>32</Paragraphs>
  <TotalTime>9</TotalTime>
  <ScaleCrop>false</ScaleCrop>
  <LinksUpToDate>false</LinksUpToDate>
  <CharactersWithSpaces>1339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2021-10-12T15:49:00Z</dcterms:created>
  <dc:creator>忘语</dc:creator>
  <cp:lastModifiedBy>kylin</cp:lastModifiedBy>
  <cp:lastPrinted>2026-03-25T08:45:00Z</cp:lastPrinted>
  <dcterms:modified xsi:type="dcterms:W3CDTF">2026-09-15T09:42:42Z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05AF5E702DBF44EA8D90E2FF68D14FB1_13</vt:lpwstr>
  </property>
  <property fmtid="{D5CDD505-2E9C-101B-9397-08002B2CF9AE}" pid="4" name="KSOTemplateDocerSaveRecord">
    <vt:lpwstr>eyJoZGlkIjoiNDRhMTdhMmI0NDQ4OTg3MTliODc5NDFhNGFkYWYyMDgiLCJ1c2VySWQiOiIxMDQ3MzkwODQ2In0=</vt:lpwstr>
  </property>
</Properties>
</file>