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桃江县市场监督管理局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2025年度法治政府建设工作报告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局坚持以习近平新时代中国特色社会主义思想为指导，全面落实法治政府建设“一规划两纲要”部署要求，紧紧围绕县委县政府中心工作，把法治建设贯穿市场监管全过程，持续规范行政权力运行、提升执法服务质效、优化营商环境、守牢安全底线，法治引领和保障作用充分彰显。现将年度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主要工作成效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强化政治引领，夯实法治建设根基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1.深学笃行习近平法治思想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坚持党对法治政府建设的全面领导，将习近平法治思想纳入党组理论学习中心组重点学习内容，组织执法人员参加专题线上培训，推动法治思维入脑入心。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2.健全法治建设推进机制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制定《2025年度法治建设工作规划》，完善领导干部学法用法制度，落实《领导干部应知应会党内法规和法律法规规章清单》学习计划，实现中层以上干部常态化、系统化学法。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3.严格述法与督察整改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落实县委依法治县委员会办公室关于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领导干部年度述法工作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，重点围绕法治履职等情况述职评议。针对2024年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省委依法治省办法治督察</w:t>
      </w:r>
      <w:r>
        <w:rPr>
          <w:rFonts w:hint="eastAsia" w:ascii="仿宋_GB2312" w:hAnsi="仿宋_GB2312" w:eastAsia="仿宋_GB2312" w:cs="仿宋_GB2312"/>
          <w:sz w:val="32"/>
          <w:szCs w:val="32"/>
        </w:rPr>
        <w:t>反馈问题，制定整改方案、压实责任链条，4大类问题全部完成阶段性整改，长效机制同步建立。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4.提升队伍法治素养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组织行政执法人员法律知识考试1次，87名执法骨干全员参考；开展“市监大讲堂”、行政执法专题培训、“青年干部拜师学艺”等活动，一线执法人员持证率达94%，队伍依法行政能力持续提升。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规范权力运行，提升依法行政水平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1.严格行政决策与文件管理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重大行政决策合法性审查、法律顾问参与机制，全年审查各类合同6份，纠正条款瑕疵60余处；聘请专职法律顾问，参与重大执法磋商、案审会讨论8次，审核案件10余件，出具法律意见50余条，决策合法性、规范性全面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2.全面落实行政执法“三项制度”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行政执法公示率、执法全过程记录率、重大执法决定法制审核率均实现100%。配备执法记录仪35台，所有案件全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过程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记录并归档；实行“办案初审+法制审核+案审会集体讨论”模式，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努力提升行政执法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案件质量。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3.规范涉企执法与检查行为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制定涉企行政检查事项清单、规范涉企执法行为，全面推行“扫码入企”、跨部门联合“双随机、一公开”监管，全年开展涉企检查1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748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次，无随意检查、重复检查、违规检查情形。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4.深化柔性执法与裁量规范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在省行政执法公示平台公开裁量权基准，落实首违不罚、轻微不罚、执法观察期制度，推行说理式执法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文书</w:t>
      </w:r>
      <w:r>
        <w:rPr>
          <w:rFonts w:hint="eastAsia" w:ascii="仿宋_GB2312" w:hAnsi="仿宋_GB2312" w:eastAsia="仿宋_GB2312" w:cs="仿宋_GB2312"/>
          <w:sz w:val="32"/>
          <w:szCs w:val="32"/>
        </w:rPr>
        <w:t>、包容审慎监管。全年办结行政处罚案件10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件，实施柔性执法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6件（减轻3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件、从轻3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件、不予处罚6件），执法既有力度更有温度。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5.强化案卷评查与执法监督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开展行政执法案卷评查1次，自评案卷200余件，整改案由填写不规范、程序瑕疵等问题；常态化开展涉企行政执法突出问题专项整治，建立问题台账、实行销号管理，执法规范化水平持续提升。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（三）健全协同机制，强化执法司法衔接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1.完善“两法衔接”工作机制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规范案件移送、信息共享、跟踪督办流程，全年通过“两法衔接”平台录入行政处罚案件10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件，接收检察建议6件、平台建议6条，均按期回复、闭环办理；依据检察意见立案6件、结案3件，行刑协同效能不断增强。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2.提升复议应诉质效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严格落实行政机关负责人出庭应诉制度，全年行政诉讼案件1件，负责人出庭率100%，行政诉讼零败诉；全年办理行政复议案件48件，确认违法1件，占比2%，较2024年下降32.4个百分点，行政争议实质性化解成效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有较大提升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（四）聚焦主责主业，以法治护航发展安全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1.优化营商环境激发市场活力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化企业开办“一网通办”，编制修订“一本通”事项76项，审批时限压缩30%；畅通市场主体准入退出，全县净增市场主体3002家，股权出质助企融资69.22亿元。强化公平竞争审查，完成51件规范性文件审查及第三方评估，破除地方保护和行政性垄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2.强化知识产权与质量法治保障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增专利授权218件，每万人发明专利拥有量6.07件；新增注册商标702件，有效商标注册量达8135件；“桃江竹笋”品牌价值评估37.15亿元。查办知识产权侵权案件14起，知识产权质押融资8000余万元，质量品牌与法治保护同步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3.严守“四大安全”法治底线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食品安全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：落实“两个责任”，完成47个B级、300余个C级、8000余家D级主体包保，开展专项整治40余次，检查主体8500余家次，抽检1100余批次，立案42起。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药品安全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：开展药械妆专项整治12项，检查单位799家次，立案15起；上报不良反应报告674件，守住药品安全底线。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产品质量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：开展建材、学生用品、电动自行车等专项整治，县级抽检30批次，不合格后处理7批次，获证企业检查覆盖率100%。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特种设备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：开展专项整治与应急演练，整改隐患35条，立案13起；注销2蒸吨及以下生物质锅炉使用登记证，安全监管闭环落实。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4.强化民生领域执法维权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检定计量器具2956台件，整治水电气违规收费、养老诈骗、虚假宣传等突出问题，为群众挽回经济损失；办结消费投诉举报3337件，挽回损失30余万元，消费维权法治化、便民化水平持续提升。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（五）压实普法责任，构建全民普法格局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1.落实“谁执法谁普法”责任制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制定年度普法计划，将普法融入执法全过程，推行现场普法、以案释法，实现执法办案与普法宣传同步推进。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2.开展重点节点普法活动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“3·15”消费者权益日、“12·4”国家宪法日、农村法治宣传月、“利剑护蕾”等开展专题普法4场、基层宣传10余次；发放宣传手册100余份，制作短视频10余条，设置宣传展板5块，法治宣传覆盖面、实效性不断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3.抓实国家工作人员学法考法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组织217名干部参加年度学法考法，参考率、合格率均达100%，以考促学、以学促用，干部法治意识和履职能力全面提升。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、存在的问题与不足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1.基层执法人员法治素养不均衡，部分案件仍存在程序瑕疵、文书不规范问题；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2.柔性执法、包容审慎监管宣传覆盖面不足，企业知晓度、获得感有待提升；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3.面对新业态、新领域违法行为，基层执法取证、法律适用能力仍有短板。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下一步</w:t>
      </w:r>
      <w:r>
        <w:rPr>
          <w:rFonts w:hint="eastAsia" w:ascii="黑体" w:hAnsi="黑体" w:eastAsia="黑体" w:cs="黑体"/>
          <w:sz w:val="32"/>
          <w:szCs w:val="32"/>
        </w:rPr>
        <w:t>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1.持续强化法治引领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深入学习贯彻习近平法治思想，压实法治建设责任，推动法治建设与业务工作深度融合。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2.持续规范执法行为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开展“执法能力提升年”活动，实施全员轮训、执法比武、案卷常态化评查；严格落实涉企执法“五个严禁”“八个不得”，深化扫码入企、联合检查、非现场监管，严控执法风险、提升执法公信力。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3.持续优化营商环境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深化包容审慎监管，扩大柔性执法适用范围；强化公平竞争审查，规范涉企收费与检查行为，健全“执法+服务”模式，激发市场主体活力。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4.持续强化安全监管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以法治手段严守食品、药品、产品质量、特种设备安全底线，深化重点领域专项整治，加大违法打击力度，切实保障人民群众生命财产安全。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5.持续提升法治效能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健全“两法衔接”跟踪台账，加强与公安、检察协同联动；拓展智慧监管、信用监管应用；深化普法宣传，推动形成办事依法、遇事找法、解决问题用法的良好法治环境，为桃江经济社会高质量发展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贡献市监力量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桃江县市场监督管理局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C6623"/>
    <w:rsid w:val="089C40BC"/>
    <w:rsid w:val="200C6623"/>
    <w:rsid w:val="2A625072"/>
    <w:rsid w:val="5A715E71"/>
    <w:rsid w:val="6FFC7253"/>
    <w:rsid w:val="A6F9C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2717</Words>
  <Characters>2866</Characters>
  <Lines>0</Lines>
  <Paragraphs>0</Paragraphs>
  <TotalTime>40</TotalTime>
  <ScaleCrop>false</ScaleCrop>
  <LinksUpToDate>false</LinksUpToDate>
  <CharactersWithSpaces>2866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2026-03-26T16:46:00Z</dcterms:created>
  <dc:creator>Lily</dc:creator>
  <cp:lastModifiedBy>kylin</cp:lastModifiedBy>
  <dcterms:modified xsi:type="dcterms:W3CDTF">2026-03-30T14:05:55Z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F78B705167AE4C14B9CD3985F2E32D28_13</vt:lpwstr>
  </property>
  <property fmtid="{D5CDD505-2E9C-101B-9397-08002B2CF9AE}" pid="4" name="KSOTemplateDocerSaveRecord">
    <vt:lpwstr>eyJoZGlkIjoiNDI4ZTBjNTgyYTMzZTUyOGIxMGNhZTg3NDM3OTY4YjgiLCJ1c2VySWQiOiI0OTg1OTAyNjMifQ==</vt:lpwstr>
  </property>
</Properties>
</file>