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D0D8">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简体" w:hAnsi="黑体" w:eastAsia="方正小标宋简体" w:cs="黑体"/>
          <w:color w:val="auto"/>
          <w:sz w:val="44"/>
        </w:rPr>
      </w:pPr>
      <w:r>
        <w:rPr>
          <w:rFonts w:hint="eastAsia" w:eastAsia="方正小标宋简体"/>
          <w:color w:val="auto"/>
          <w:kern w:val="0"/>
          <w:sz w:val="44"/>
          <w:szCs w:val="44"/>
          <w:lang w:eastAsia="zh-CN"/>
        </w:rPr>
        <w:t>桃江</w:t>
      </w:r>
      <w:r>
        <w:rPr>
          <w:rFonts w:hint="eastAsia" w:eastAsia="方正小标宋简体"/>
          <w:color w:val="auto"/>
          <w:kern w:val="0"/>
          <w:sz w:val="44"/>
          <w:szCs w:val="44"/>
          <w:lang w:val="en-US" w:eastAsia="zh-CN"/>
        </w:rPr>
        <w:t>县牛田镇人民政府</w:t>
      </w:r>
    </w:p>
    <w:p w14:paraId="3570B896">
      <w:pPr>
        <w:widowControl/>
        <w:spacing w:line="594" w:lineRule="exact"/>
        <w:jc w:val="center"/>
        <w:rPr>
          <w:rFonts w:hint="eastAsia" w:ascii="楷体_GB2312" w:hAnsi="楷体_GB2312" w:eastAsia="楷体_GB2312" w:cs="楷体_GB2312"/>
          <w:color w:val="auto"/>
          <w:kern w:val="0"/>
          <w:szCs w:val="32"/>
        </w:rPr>
      </w:pPr>
      <w:r>
        <w:rPr>
          <w:rFonts w:hint="default" w:ascii="Times New Roman" w:hAnsi="Times New Roman" w:eastAsia="方正小标宋简体" w:cs="Times New Roman"/>
          <w:color w:val="auto"/>
          <w:kern w:val="0"/>
          <w:sz w:val="44"/>
          <w:szCs w:val="44"/>
          <w:lang w:eastAsia="zh-CN"/>
        </w:rPr>
        <w:t>202</w:t>
      </w:r>
      <w:r>
        <w:rPr>
          <w:rFonts w:hint="eastAsia" w:eastAsia="方正小标宋简体" w:cs="Times New Roman"/>
          <w:color w:val="auto"/>
          <w:kern w:val="0"/>
          <w:sz w:val="44"/>
          <w:szCs w:val="44"/>
          <w:lang w:val="en-US" w:eastAsia="zh-CN"/>
        </w:rPr>
        <w:t>4</w:t>
      </w:r>
      <w:r>
        <w:rPr>
          <w:rFonts w:hint="eastAsia" w:eastAsia="方正小标宋简体"/>
          <w:color w:val="auto"/>
          <w:kern w:val="0"/>
          <w:sz w:val="44"/>
          <w:szCs w:val="44"/>
          <w:lang w:eastAsia="zh-CN"/>
        </w:rPr>
        <w:t>年</w:t>
      </w:r>
      <w:r>
        <w:rPr>
          <w:rFonts w:hint="eastAsia" w:eastAsia="方正小标宋简体"/>
          <w:color w:val="auto"/>
          <w:kern w:val="0"/>
          <w:sz w:val="44"/>
          <w:szCs w:val="44"/>
        </w:rPr>
        <w:t>度部门整体支出自评绩效报告</w:t>
      </w:r>
      <w:r>
        <w:rPr>
          <w:color w:val="auto"/>
          <w:kern w:val="0"/>
          <w:szCs w:val="32"/>
        </w:rPr>
        <w:br w:type="textWrapping"/>
      </w:r>
      <w:bookmarkStart w:id="0" w:name="_GoBack"/>
      <w:bookmarkEnd w:id="0"/>
    </w:p>
    <w:p w14:paraId="024777BE">
      <w:pPr>
        <w:pStyle w:val="7"/>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为</w:t>
      </w:r>
      <w:r>
        <w:rPr>
          <w:rFonts w:hint="eastAsia" w:cs="Times New Roman"/>
          <w:color w:val="auto"/>
          <w:kern w:val="0"/>
          <w:sz w:val="32"/>
          <w:szCs w:val="32"/>
          <w:lang w:val="en-US" w:eastAsia="zh-CN" w:bidi="ar-SA"/>
        </w:rPr>
        <w:t>认真贯彻落实二十大报告精神，规范</w:t>
      </w:r>
      <w:r>
        <w:rPr>
          <w:rFonts w:hint="eastAsia" w:ascii="Times New Roman" w:hAnsi="Times New Roman" w:eastAsia="仿宋_GB2312" w:cs="Times New Roman"/>
          <w:color w:val="auto"/>
          <w:kern w:val="0"/>
          <w:sz w:val="32"/>
          <w:szCs w:val="32"/>
          <w:lang w:val="en-US" w:eastAsia="zh-CN" w:bidi="ar-SA"/>
        </w:rPr>
        <w:t>财政资金绩效管理，提高资金使用效益，</w:t>
      </w:r>
      <w:r>
        <w:rPr>
          <w:rFonts w:hint="eastAsia"/>
          <w:color w:val="auto"/>
          <w:kern w:val="0"/>
          <w:szCs w:val="32"/>
        </w:rPr>
        <w:t>根据桃江县财政局</w:t>
      </w:r>
      <w:r>
        <w:rPr>
          <w:rFonts w:hint="eastAsia"/>
          <w:color w:val="auto"/>
          <w:kern w:val="0"/>
          <w:szCs w:val="32"/>
          <w:highlight w:val="none"/>
        </w:rPr>
        <w:t>《关于开展</w:t>
      </w:r>
      <w:r>
        <w:rPr>
          <w:rFonts w:hint="default" w:ascii="Times New Roman" w:hAnsi="Times New Roman" w:cs="Times New Roman"/>
          <w:color w:val="auto"/>
          <w:kern w:val="0"/>
          <w:sz w:val="32"/>
          <w:szCs w:val="32"/>
          <w:highlight w:val="none"/>
          <w:lang w:eastAsia="zh-CN"/>
        </w:rPr>
        <w:t>202</w:t>
      </w:r>
      <w:r>
        <w:rPr>
          <w:rFonts w:hint="eastAsia" w:cs="Times New Roman"/>
          <w:color w:val="auto"/>
          <w:kern w:val="0"/>
          <w:sz w:val="32"/>
          <w:szCs w:val="32"/>
          <w:highlight w:val="none"/>
          <w:lang w:val="en-US" w:eastAsia="zh-CN"/>
        </w:rPr>
        <w:t>4</w:t>
      </w:r>
      <w:r>
        <w:rPr>
          <w:rFonts w:hint="eastAsia"/>
          <w:color w:val="auto"/>
          <w:kern w:val="0"/>
          <w:szCs w:val="32"/>
          <w:highlight w:val="none"/>
          <w:lang w:eastAsia="zh-CN"/>
        </w:rPr>
        <w:t>年</w:t>
      </w:r>
      <w:r>
        <w:rPr>
          <w:rFonts w:hint="eastAsia"/>
          <w:color w:val="auto"/>
          <w:kern w:val="0"/>
          <w:szCs w:val="32"/>
          <w:highlight w:val="none"/>
        </w:rPr>
        <w:t>度财政资金绩效自评工作的通知》（桃财</w:t>
      </w:r>
      <w:r>
        <w:rPr>
          <w:rFonts w:hint="eastAsia"/>
          <w:color w:val="auto"/>
          <w:kern w:val="0"/>
          <w:szCs w:val="32"/>
          <w:highlight w:val="none"/>
          <w:lang w:val="en-US" w:eastAsia="zh-CN"/>
        </w:rPr>
        <w:t>监</w:t>
      </w:r>
      <w:r>
        <w:rPr>
          <w:rFonts w:hint="eastAsia"/>
          <w:color w:val="auto"/>
          <w:kern w:val="0"/>
          <w:szCs w:val="32"/>
          <w:highlight w:val="none"/>
        </w:rPr>
        <w:t>〔</w:t>
      </w:r>
      <w:r>
        <w:rPr>
          <w:rFonts w:hint="default" w:ascii="Times New Roman" w:hAnsi="Times New Roman" w:cs="Times New Roman"/>
          <w:color w:val="auto"/>
          <w:kern w:val="0"/>
          <w:sz w:val="32"/>
          <w:szCs w:val="32"/>
          <w:highlight w:val="none"/>
        </w:rPr>
        <w:t>202</w:t>
      </w:r>
      <w:r>
        <w:rPr>
          <w:rFonts w:hint="eastAsia" w:cs="Times New Roman"/>
          <w:color w:val="auto"/>
          <w:kern w:val="0"/>
          <w:sz w:val="32"/>
          <w:szCs w:val="32"/>
          <w:highlight w:val="none"/>
          <w:lang w:val="en-US" w:eastAsia="zh-CN"/>
        </w:rPr>
        <w:t>5</w:t>
      </w:r>
      <w:r>
        <w:rPr>
          <w:rFonts w:hint="eastAsia"/>
          <w:color w:val="auto"/>
          <w:kern w:val="0"/>
          <w:szCs w:val="32"/>
          <w:highlight w:val="none"/>
        </w:rPr>
        <w:t>〕</w:t>
      </w:r>
      <w:r>
        <w:rPr>
          <w:rFonts w:hint="eastAsia" w:cs="Times New Roman"/>
          <w:color w:val="auto"/>
          <w:kern w:val="0"/>
          <w:sz w:val="32"/>
          <w:szCs w:val="32"/>
          <w:highlight w:val="none"/>
          <w:lang w:val="en-US" w:eastAsia="zh-CN"/>
        </w:rPr>
        <w:t>53</w:t>
      </w:r>
      <w:r>
        <w:rPr>
          <w:rFonts w:hint="eastAsia"/>
          <w:color w:val="auto"/>
          <w:kern w:val="0"/>
          <w:szCs w:val="32"/>
          <w:highlight w:val="none"/>
        </w:rPr>
        <w:t>号）文</w:t>
      </w:r>
      <w:r>
        <w:rPr>
          <w:rFonts w:hint="eastAsia"/>
          <w:color w:val="auto"/>
          <w:kern w:val="0"/>
          <w:szCs w:val="32"/>
        </w:rPr>
        <w:t>件的要求</w:t>
      </w:r>
      <w:r>
        <w:rPr>
          <w:rFonts w:hint="eastAsia" w:ascii="Times New Roman" w:hAnsi="Times New Roman" w:eastAsia="仿宋_GB2312" w:cs="Times New Roman"/>
          <w:color w:val="auto"/>
          <w:kern w:val="0"/>
          <w:sz w:val="32"/>
          <w:szCs w:val="32"/>
          <w:lang w:val="en-US" w:eastAsia="zh-CN" w:bidi="ar-SA"/>
        </w:rPr>
        <w:t>，我单位认真组织开展了</w:t>
      </w:r>
      <w:r>
        <w:rPr>
          <w:rFonts w:hint="default" w:ascii="Times New Roman" w:hAnsi="Times New Roman" w:eastAsia="仿宋_GB2312" w:cs="Times New Roman"/>
          <w:color w:val="auto"/>
          <w:kern w:val="0"/>
          <w:sz w:val="32"/>
          <w:szCs w:val="32"/>
          <w:lang w:val="en-US" w:eastAsia="zh-CN" w:bidi="ar-SA"/>
        </w:rPr>
        <w:t>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年度部门整体支出绩效自评工作，现将自评情况报告如下：</w:t>
      </w:r>
    </w:p>
    <w:p w14:paraId="24C1CB6E">
      <w:pPr>
        <w:widowControl/>
        <w:spacing w:line="594" w:lineRule="exact"/>
        <w:rPr>
          <w:rFonts w:eastAsia="黑体"/>
          <w:color w:val="auto"/>
          <w:kern w:val="0"/>
          <w:szCs w:val="32"/>
        </w:rPr>
      </w:pPr>
      <w:r>
        <w:rPr>
          <w:rFonts w:hint="eastAsia" w:eastAsia="黑体"/>
          <w:bCs/>
          <w:color w:val="auto"/>
          <w:kern w:val="0"/>
          <w:szCs w:val="32"/>
        </w:rPr>
        <w:t>一、部门概况</w:t>
      </w:r>
    </w:p>
    <w:p w14:paraId="740259BE">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（一）部门基本情况</w:t>
      </w:r>
    </w:p>
    <w:p w14:paraId="1C834E0C">
      <w:pPr>
        <w:widowControl/>
        <w:spacing w:line="594" w:lineRule="exact"/>
        <w:ind w:firstLine="640" w:firstLineChars="200"/>
        <w:rPr>
          <w:rFonts w:hint="eastAsia"/>
          <w:color w:val="auto"/>
          <w:kern w:val="0"/>
          <w:szCs w:val="32"/>
          <w:lang w:val="en-US" w:eastAsia="zh-CN"/>
        </w:rPr>
      </w:pPr>
      <w:r>
        <w:rPr>
          <w:rFonts w:hint="eastAsia"/>
          <w:color w:val="auto"/>
          <w:kern w:val="0"/>
          <w:szCs w:val="32"/>
          <w:lang w:val="en-US" w:eastAsia="zh-CN"/>
        </w:rPr>
        <w:t>牛田镇下辖9个行政村、1个社区，有村民小组114个，总面积73.88平方公里，耕地面积2395公顷，总人口3.59万。下辖党总支10个，党支部40个，党员1399名。近年来，牛田镇坚持以习近平新时代中国特色社会主义思想为指导，紧紧围绕县委“12345”工作思路，坚决贯彻执行县委各项决策部署，凝心聚力谋发展，踔厉奋发抓落实，实现经济建设稳中有进，社会大局和谐稳定。</w:t>
      </w:r>
    </w:p>
    <w:p w14:paraId="50507C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olor w:val="auto"/>
          <w:kern w:val="2"/>
          <w:sz w:val="32"/>
          <w:szCs w:val="32"/>
          <w:lang w:val="en-US" w:eastAsia="zh-CN"/>
        </w:rPr>
        <w:t>桃江县</w:t>
      </w:r>
      <w:r>
        <w:rPr>
          <w:rFonts w:hint="eastAsia" w:ascii="仿宋_GB2312" w:hAnsi="Times New Roman"/>
          <w:color w:val="auto"/>
          <w:kern w:val="2"/>
          <w:sz w:val="32"/>
          <w:szCs w:val="32"/>
          <w:lang w:val="en-US" w:eastAsia="zh-CN"/>
        </w:rPr>
        <w:t>牛田</w:t>
      </w:r>
      <w:r>
        <w:rPr>
          <w:rFonts w:hint="eastAsia" w:ascii="仿宋_GB2312" w:hAnsi="Times New Roman" w:eastAsia="仿宋_GB2312"/>
          <w:color w:val="auto"/>
          <w:kern w:val="2"/>
          <w:sz w:val="32"/>
          <w:szCs w:val="32"/>
          <w:lang w:val="en-US" w:eastAsia="zh-CN"/>
        </w:rPr>
        <w:t>镇人民政府内设机构包括：</w:t>
      </w:r>
      <w:r>
        <w:rPr>
          <w:rFonts w:hint="default" w:ascii="仿宋_GB2312" w:hAnsi="Times New Roman" w:eastAsia="仿宋_GB2312" w:cs="Times New Roman"/>
          <w:color w:val="auto"/>
          <w:kern w:val="2"/>
          <w:sz w:val="32"/>
          <w:szCs w:val="32"/>
          <w:lang w:val="en-US" w:eastAsia="zh-CN"/>
        </w:rPr>
        <w:t>党政办公室</w:t>
      </w:r>
      <w:r>
        <w:rPr>
          <w:rFonts w:hint="eastAsia" w:ascii="仿宋_GB2312" w:hAnsi="Times New Roman" w:eastAsia="仿宋_GB2312" w:cs="Times New Roman"/>
          <w:color w:val="auto"/>
          <w:kern w:val="2"/>
          <w:sz w:val="32"/>
          <w:szCs w:val="32"/>
          <w:lang w:val="en-US" w:eastAsia="zh-CN"/>
        </w:rPr>
        <w:t>、党建办公室、</w:t>
      </w:r>
      <w:r>
        <w:rPr>
          <w:rFonts w:hint="default" w:ascii="仿宋_GB2312" w:hAnsi="Times New Roman" w:eastAsia="仿宋_GB2312" w:cs="Times New Roman"/>
          <w:color w:val="auto"/>
          <w:kern w:val="2"/>
          <w:sz w:val="32"/>
          <w:szCs w:val="32"/>
          <w:lang w:val="en-US" w:eastAsia="zh-CN"/>
        </w:rPr>
        <w:t>经济</w:t>
      </w:r>
      <w:r>
        <w:rPr>
          <w:rFonts w:hint="eastAsia" w:ascii="仿宋_GB2312" w:hAnsi="Times New Roman" w:eastAsia="仿宋_GB2312" w:cs="Times New Roman"/>
          <w:color w:val="auto"/>
          <w:kern w:val="2"/>
          <w:sz w:val="32"/>
          <w:szCs w:val="32"/>
          <w:lang w:val="en-US" w:eastAsia="zh-CN"/>
        </w:rPr>
        <w:t>和生态</w:t>
      </w:r>
      <w:r>
        <w:rPr>
          <w:rFonts w:hint="default" w:ascii="仿宋_GB2312" w:hAnsi="Times New Roman" w:eastAsia="仿宋_GB2312" w:cs="Times New Roman"/>
          <w:color w:val="auto"/>
          <w:kern w:val="2"/>
          <w:sz w:val="32"/>
          <w:szCs w:val="32"/>
          <w:lang w:val="en-US" w:eastAsia="zh-CN"/>
        </w:rPr>
        <w:t>办公室</w:t>
      </w:r>
      <w:r>
        <w:rPr>
          <w:rFonts w:hint="eastAsia" w:ascii="仿宋_GB2312" w:hAnsi="Times New Roman" w:eastAsia="仿宋_GB2312" w:cs="Times New Roman"/>
          <w:color w:val="auto"/>
          <w:kern w:val="2"/>
          <w:sz w:val="32"/>
          <w:szCs w:val="32"/>
          <w:lang w:val="en-US" w:eastAsia="zh-CN"/>
        </w:rPr>
        <w:t>、平安法治</w:t>
      </w:r>
      <w:r>
        <w:rPr>
          <w:rFonts w:hint="default" w:ascii="仿宋_GB2312" w:hAnsi="Times New Roman" w:eastAsia="仿宋_GB2312" w:cs="Times New Roman"/>
          <w:color w:val="auto"/>
          <w:kern w:val="2"/>
          <w:sz w:val="32"/>
          <w:szCs w:val="32"/>
          <w:lang w:val="en-US" w:eastAsia="zh-CN"/>
        </w:rPr>
        <w:t>和应急管理办公室</w:t>
      </w:r>
      <w:r>
        <w:rPr>
          <w:rFonts w:hint="eastAsia" w:ascii="仿宋_GB2312" w:hAnsi="Times New Roman" w:eastAsia="仿宋_GB2312" w:cs="Times New Roman"/>
          <w:color w:val="auto"/>
          <w:kern w:val="2"/>
          <w:sz w:val="32"/>
          <w:szCs w:val="32"/>
          <w:lang w:val="en-US" w:eastAsia="zh-CN"/>
        </w:rPr>
        <w:t>、</w:t>
      </w:r>
      <w:r>
        <w:rPr>
          <w:rFonts w:hint="default" w:ascii="仿宋_GB2312" w:hAnsi="Times New Roman" w:eastAsia="仿宋_GB2312" w:cs="Times New Roman"/>
          <w:color w:val="auto"/>
          <w:kern w:val="2"/>
          <w:sz w:val="32"/>
          <w:szCs w:val="32"/>
          <w:lang w:val="en-US" w:eastAsia="zh-CN"/>
        </w:rPr>
        <w:t>财政</w:t>
      </w:r>
      <w:r>
        <w:rPr>
          <w:rFonts w:hint="eastAsia" w:ascii="仿宋_GB2312" w:hAnsi="Times New Roman" w:eastAsia="仿宋_GB2312" w:cs="Times New Roman"/>
          <w:color w:val="auto"/>
          <w:kern w:val="2"/>
          <w:sz w:val="32"/>
          <w:szCs w:val="32"/>
          <w:lang w:val="en-US" w:eastAsia="zh-CN"/>
        </w:rPr>
        <w:t>办公室、纪委（</w:t>
      </w:r>
      <w:r>
        <w:rPr>
          <w:rFonts w:hint="default" w:ascii="仿宋_GB2312" w:hAnsi="Times New Roman" w:eastAsia="仿宋_GB2312" w:cs="Times New Roman"/>
          <w:color w:val="auto"/>
          <w:kern w:val="2"/>
          <w:sz w:val="32"/>
          <w:szCs w:val="32"/>
          <w:lang w:val="en-US" w:eastAsia="zh-CN"/>
        </w:rPr>
        <w:t>监察办</w:t>
      </w:r>
      <w:r>
        <w:rPr>
          <w:rFonts w:hint="eastAsia" w:ascii="仿宋_GB2312" w:hAnsi="Times New Roman" w:eastAsia="仿宋_GB2312" w:cs="Times New Roman"/>
          <w:color w:val="auto"/>
          <w:kern w:val="2"/>
          <w:sz w:val="32"/>
          <w:szCs w:val="32"/>
          <w:lang w:val="en-US" w:eastAsia="zh-CN"/>
        </w:rPr>
        <w:t>）、</w:t>
      </w:r>
      <w:r>
        <w:rPr>
          <w:rFonts w:hint="default" w:ascii="仿宋_GB2312" w:hAnsi="Times New Roman" w:eastAsia="仿宋_GB2312" w:cs="Times New Roman"/>
          <w:color w:val="auto"/>
          <w:kern w:val="2"/>
          <w:sz w:val="32"/>
          <w:szCs w:val="32"/>
          <w:lang w:val="en-US" w:eastAsia="zh-CN"/>
        </w:rPr>
        <w:t>农业综合服务中心</w:t>
      </w:r>
      <w:r>
        <w:rPr>
          <w:rFonts w:hint="eastAsia" w:ascii="仿宋_GB2312" w:hAnsi="Times New Roman" w:eastAsia="仿宋_GB2312" w:cs="Times New Roman"/>
          <w:color w:val="auto"/>
          <w:kern w:val="2"/>
          <w:sz w:val="32"/>
          <w:szCs w:val="32"/>
          <w:lang w:val="en-US" w:eastAsia="zh-CN"/>
        </w:rPr>
        <w:t>、</w:t>
      </w:r>
      <w:r>
        <w:rPr>
          <w:rFonts w:hint="default" w:ascii="仿宋_GB2312" w:hAnsi="Times New Roman" w:eastAsia="仿宋_GB2312" w:cs="Times New Roman"/>
          <w:color w:val="auto"/>
          <w:kern w:val="2"/>
          <w:sz w:val="32"/>
          <w:szCs w:val="32"/>
          <w:lang w:val="en-US" w:eastAsia="zh-CN"/>
        </w:rPr>
        <w:t>自然资源和</w:t>
      </w:r>
      <w:r>
        <w:rPr>
          <w:rFonts w:hint="eastAsia" w:ascii="仿宋_GB2312" w:hAnsi="Times New Roman" w:eastAsia="仿宋_GB2312" w:cs="Times New Roman"/>
          <w:color w:val="auto"/>
          <w:kern w:val="2"/>
          <w:sz w:val="32"/>
          <w:szCs w:val="32"/>
          <w:lang w:val="en-US" w:eastAsia="zh-CN"/>
        </w:rPr>
        <w:t>村镇建设事务中心、</w:t>
      </w:r>
      <w:r>
        <w:rPr>
          <w:rFonts w:hint="default" w:ascii="仿宋_GB2312" w:hAnsi="Times New Roman" w:eastAsia="仿宋_GB2312" w:cs="Times New Roman"/>
          <w:color w:val="auto"/>
          <w:kern w:val="2"/>
          <w:sz w:val="32"/>
          <w:szCs w:val="32"/>
          <w:lang w:val="en-US" w:eastAsia="zh-CN"/>
        </w:rPr>
        <w:t>社会事务</w:t>
      </w:r>
      <w:r>
        <w:rPr>
          <w:rFonts w:hint="eastAsia" w:ascii="仿宋_GB2312" w:hAnsi="Times New Roman" w:eastAsia="仿宋_GB2312" w:cs="Times New Roman"/>
          <w:color w:val="auto"/>
          <w:kern w:val="2"/>
          <w:sz w:val="32"/>
          <w:szCs w:val="32"/>
          <w:lang w:val="en-US" w:eastAsia="zh-CN"/>
        </w:rPr>
        <w:t>综合服务中心、</w:t>
      </w:r>
      <w:r>
        <w:rPr>
          <w:rFonts w:hint="default" w:ascii="仿宋_GB2312" w:hAnsi="Times New Roman" w:eastAsia="仿宋_GB2312" w:cs="Times New Roman"/>
          <w:color w:val="auto"/>
          <w:kern w:val="2"/>
          <w:sz w:val="32"/>
          <w:szCs w:val="32"/>
          <w:lang w:val="en-US" w:eastAsia="zh-CN"/>
        </w:rPr>
        <w:t>退役军人</w:t>
      </w:r>
      <w:r>
        <w:rPr>
          <w:rFonts w:hint="eastAsia" w:ascii="仿宋_GB2312" w:hAnsi="Times New Roman" w:eastAsia="仿宋_GB2312" w:cs="Times New Roman"/>
          <w:color w:val="auto"/>
          <w:kern w:val="2"/>
          <w:sz w:val="32"/>
          <w:szCs w:val="32"/>
          <w:lang w:val="en-US" w:eastAsia="zh-CN"/>
        </w:rPr>
        <w:t>服务</w:t>
      </w:r>
      <w:r>
        <w:rPr>
          <w:rFonts w:hint="default" w:ascii="仿宋_GB2312" w:hAnsi="Times New Roman" w:eastAsia="仿宋_GB2312" w:cs="Times New Roman"/>
          <w:color w:val="auto"/>
          <w:kern w:val="2"/>
          <w:sz w:val="32"/>
          <w:szCs w:val="32"/>
          <w:lang w:val="en-US" w:eastAsia="zh-CN"/>
        </w:rPr>
        <w:t>站</w:t>
      </w:r>
      <w:r>
        <w:rPr>
          <w:rFonts w:hint="eastAsia" w:ascii="仿宋_GB2312" w:hAnsi="Times New Roman" w:eastAsia="仿宋_GB2312" w:cs="Times New Roman"/>
          <w:color w:val="auto"/>
          <w:kern w:val="2"/>
          <w:sz w:val="32"/>
          <w:szCs w:val="32"/>
          <w:lang w:val="en-US" w:eastAsia="zh-CN"/>
        </w:rPr>
        <w:t>、综合行政</w:t>
      </w:r>
      <w:r>
        <w:rPr>
          <w:rFonts w:hint="default" w:ascii="仿宋_GB2312" w:hAnsi="Times New Roman" w:eastAsia="仿宋_GB2312" w:cs="Times New Roman"/>
          <w:color w:val="auto"/>
          <w:kern w:val="2"/>
          <w:sz w:val="32"/>
          <w:szCs w:val="32"/>
          <w:lang w:val="en-US" w:eastAsia="zh-CN"/>
        </w:rPr>
        <w:t>执法大队</w:t>
      </w:r>
      <w:r>
        <w:rPr>
          <w:rFonts w:hint="eastAsia" w:ascii="仿宋_GB2312" w:hAnsi="Times New Roman" w:eastAsia="仿宋_GB2312" w:cs="Times New Roman"/>
          <w:color w:val="auto"/>
          <w:kern w:val="2"/>
          <w:sz w:val="32"/>
          <w:szCs w:val="32"/>
          <w:lang w:val="en-US" w:eastAsia="zh-CN"/>
        </w:rPr>
        <w:t>。</w:t>
      </w:r>
    </w:p>
    <w:p w14:paraId="357A5AA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cs="Times New Roman"/>
          <w:color w:val="auto"/>
          <w:kern w:val="2"/>
          <w:sz w:val="32"/>
          <w:szCs w:val="32"/>
          <w:lang w:val="en-US" w:eastAsia="zh-CN"/>
        </w:rPr>
      </w:pPr>
      <w:r>
        <w:rPr>
          <w:rFonts w:hint="eastAsia" w:ascii="仿宋_GB2312" w:hAnsi="Times New Roman" w:cs="Times New Roman"/>
          <w:color w:val="auto"/>
          <w:kern w:val="2"/>
          <w:sz w:val="32"/>
          <w:szCs w:val="32"/>
          <w:lang w:val="en-US" w:eastAsia="zh-CN"/>
        </w:rPr>
        <w:t>部门机构人员情况：</w:t>
      </w:r>
    </w:p>
    <w:p w14:paraId="1DFFDC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cs="Times New Roman"/>
          <w:color w:val="auto"/>
          <w:kern w:val="2"/>
          <w:sz w:val="32"/>
          <w:szCs w:val="32"/>
          <w:lang w:val="en-US" w:eastAsia="zh-CN"/>
        </w:rPr>
      </w:pPr>
      <w:r>
        <w:rPr>
          <w:rFonts w:hint="eastAsia" w:ascii="仿宋_GB2312" w:hAnsi="Times New Roman" w:cs="Times New Roman"/>
          <w:color w:val="auto"/>
          <w:kern w:val="2"/>
          <w:sz w:val="32"/>
          <w:szCs w:val="32"/>
          <w:lang w:val="en-US" w:eastAsia="zh-CN"/>
        </w:rPr>
        <w:t>牛田镇人民政府人员编制数95人，其中行政编制数44人，事业编制数50人，工勤编制1人；实有在职人员95人，其中行政编制数44人，事业编制数50人，工勤编制1人；退休人员62人。</w:t>
      </w:r>
    </w:p>
    <w:p w14:paraId="4356C768">
      <w:pPr>
        <w:widowControl/>
        <w:spacing w:line="594" w:lineRule="exact"/>
        <w:ind w:firstLine="640" w:firstLineChars="200"/>
        <w:rPr>
          <w:color w:val="auto"/>
          <w:kern w:val="0"/>
          <w:szCs w:val="32"/>
        </w:rPr>
      </w:pPr>
      <w:r>
        <w:rPr>
          <w:rFonts w:hint="eastAsia"/>
          <w:color w:val="auto"/>
          <w:kern w:val="0"/>
          <w:szCs w:val="32"/>
        </w:rPr>
        <w:t>机构主要职能为：</w:t>
      </w:r>
    </w:p>
    <w:p w14:paraId="7D2C4004">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执行本级人民代表大会的决议和上级国家行政机关的决定和命令，发布决定和命令；</w:t>
      </w:r>
    </w:p>
    <w:p w14:paraId="3B8D80A9">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执行本行政区域内的经济和社会发展计划、预算，管理本行政区域内的经济、教育、科学、文化、卫生、体育事业和财政、民政、公安、司法行政、计划生育等行政工作；</w:t>
      </w:r>
    </w:p>
    <w:p w14:paraId="28ABCFB6">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保护社会主义的全民所有的财产和劳动群众集体所有的财产，保护公民私人所有的合法财产，维护社会秩序，保障公民的人身权利、民主权利和其他权利；</w:t>
      </w:r>
    </w:p>
    <w:p w14:paraId="6223066A">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保护各种经济组织的合法权益；</w:t>
      </w:r>
    </w:p>
    <w:p w14:paraId="5A337DE6">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保障少数民族的权利和尊重少数民族的风俗习惯；</w:t>
      </w:r>
    </w:p>
    <w:p w14:paraId="2AF017F1">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保障宪法和法律赋予妇女的男女平等、同工同酬和婚姻自由等各项权利；</w:t>
      </w:r>
    </w:p>
    <w:p w14:paraId="7AF7E9A9">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办理上级人民政府交办的其他事项。</w:t>
      </w:r>
    </w:p>
    <w:p w14:paraId="36E9D240">
      <w:pPr>
        <w:widowControl/>
        <w:numPr>
          <w:numId w:val="0"/>
        </w:numPr>
        <w:spacing w:line="594" w:lineRule="exact"/>
        <w:ind w:firstLine="643" w:firstLineChars="200"/>
        <w:rPr>
          <w:rFonts w:eastAsia="楷体_GB2312"/>
          <w:b/>
          <w:color w:val="auto"/>
          <w:kern w:val="0"/>
          <w:szCs w:val="32"/>
          <w:highlight w:val="none"/>
        </w:rPr>
      </w:pPr>
      <w:r>
        <w:rPr>
          <w:rFonts w:hint="eastAsia" w:eastAsia="楷体_GB2312"/>
          <w:b/>
          <w:color w:val="auto"/>
          <w:kern w:val="0"/>
          <w:szCs w:val="32"/>
        </w:rPr>
        <w:t>（二）</w:t>
      </w:r>
      <w:r>
        <w:rPr>
          <w:rFonts w:hint="eastAsia" w:eastAsia="楷体_GB2312"/>
          <w:b/>
          <w:color w:val="auto"/>
          <w:kern w:val="0"/>
          <w:szCs w:val="32"/>
          <w:highlight w:val="none"/>
        </w:rPr>
        <w:t>部门整体支出规模、使用方向和主要内容、涉及范围等</w:t>
      </w:r>
    </w:p>
    <w:p w14:paraId="7BE073E7">
      <w:pPr>
        <w:wordWrap/>
        <w:adjustRightInd/>
        <w:snapToGrid/>
        <w:spacing w:line="540" w:lineRule="exact"/>
        <w:ind w:firstLine="640" w:firstLineChars="200"/>
        <w:textAlignment w:val="auto"/>
        <w:rPr>
          <w:rFonts w:hint="eastAsia" w:ascii="仿宋_GB2312" w:hAnsi="微软雅黑" w:eastAsia="仿宋_GB2312" w:cs="微软雅黑"/>
          <w:color w:val="auto"/>
          <w:kern w:val="0"/>
          <w:sz w:val="32"/>
          <w:szCs w:val="32"/>
          <w:lang w:val="en-US" w:eastAsia="zh-CN"/>
        </w:rPr>
      </w:pPr>
      <w:r>
        <w:rPr>
          <w:rFonts w:hint="eastAsia" w:ascii="仿宋_GB2312" w:hAnsi="微软雅黑" w:eastAsia="仿宋_GB2312" w:cs="微软雅黑"/>
          <w:color w:val="auto"/>
          <w:kern w:val="0"/>
          <w:sz w:val="32"/>
          <w:szCs w:val="32"/>
          <w:lang w:val="en-US" w:eastAsia="zh-CN"/>
        </w:rPr>
        <w:t>全年预算完成财政收入</w:t>
      </w:r>
      <w:r>
        <w:rPr>
          <w:rFonts w:hint="eastAsia" w:ascii="仿宋_GB2312" w:hAnsi="微软雅黑" w:cs="微软雅黑"/>
          <w:color w:val="auto"/>
          <w:kern w:val="0"/>
          <w:sz w:val="32"/>
          <w:szCs w:val="32"/>
          <w:lang w:val="en-US" w:eastAsia="zh-CN"/>
        </w:rPr>
        <w:t>2700.4</w:t>
      </w:r>
      <w:r>
        <w:rPr>
          <w:rFonts w:hint="eastAsia" w:ascii="仿宋_GB2312" w:hAnsi="微软雅黑" w:eastAsia="仿宋_GB2312" w:cs="微软雅黑"/>
          <w:color w:val="auto"/>
          <w:kern w:val="0"/>
          <w:sz w:val="32"/>
          <w:szCs w:val="32"/>
          <w:lang w:val="en-US" w:eastAsia="zh-CN"/>
        </w:rPr>
        <w:t>万元；其中：基本支出</w:t>
      </w:r>
      <w:r>
        <w:rPr>
          <w:rFonts w:hint="eastAsia" w:ascii="仿宋_GB2312" w:hAnsi="微软雅黑" w:cs="微软雅黑"/>
          <w:color w:val="auto"/>
          <w:kern w:val="0"/>
          <w:sz w:val="32"/>
          <w:szCs w:val="32"/>
          <w:lang w:val="en-US" w:eastAsia="zh-CN"/>
        </w:rPr>
        <w:t>2008.82</w:t>
      </w:r>
      <w:r>
        <w:rPr>
          <w:rFonts w:hint="eastAsia" w:ascii="仿宋_GB2312" w:hAnsi="微软雅黑" w:eastAsia="仿宋_GB2312" w:cs="微软雅黑"/>
          <w:color w:val="auto"/>
          <w:kern w:val="0"/>
          <w:sz w:val="32"/>
          <w:szCs w:val="32"/>
          <w:lang w:val="en-US" w:eastAsia="zh-CN"/>
        </w:rPr>
        <w:t>万元，项目支出</w:t>
      </w:r>
      <w:r>
        <w:rPr>
          <w:rFonts w:hint="eastAsia" w:ascii="仿宋_GB2312" w:hAnsi="微软雅黑" w:cs="微软雅黑"/>
          <w:color w:val="auto"/>
          <w:kern w:val="0"/>
          <w:sz w:val="32"/>
          <w:szCs w:val="32"/>
          <w:lang w:val="en-US" w:eastAsia="zh-CN"/>
        </w:rPr>
        <w:t>691.58</w:t>
      </w:r>
      <w:r>
        <w:rPr>
          <w:rFonts w:hint="eastAsia" w:ascii="仿宋_GB2312" w:hAnsi="微软雅黑" w:eastAsia="仿宋_GB2312" w:cs="微软雅黑"/>
          <w:color w:val="auto"/>
          <w:kern w:val="0"/>
          <w:sz w:val="32"/>
          <w:szCs w:val="32"/>
          <w:lang w:val="en-US" w:eastAsia="zh-CN"/>
        </w:rPr>
        <w:t>万元。</w:t>
      </w:r>
    </w:p>
    <w:p w14:paraId="627DA057">
      <w:pPr>
        <w:wordWrap/>
        <w:adjustRightInd/>
        <w:snapToGrid/>
        <w:spacing w:line="540" w:lineRule="exact"/>
        <w:ind w:firstLine="640" w:firstLineChars="200"/>
        <w:textAlignment w:val="auto"/>
        <w:rPr>
          <w:rFonts w:hint="eastAsia" w:ascii="仿宋_GB2312" w:hAnsi="微软雅黑" w:eastAsia="仿宋_GB2312" w:cs="微软雅黑"/>
          <w:color w:val="auto"/>
          <w:kern w:val="0"/>
          <w:sz w:val="32"/>
          <w:szCs w:val="32"/>
          <w:lang w:val="en-US" w:eastAsia="zh-CN"/>
        </w:rPr>
      </w:pPr>
      <w:r>
        <w:rPr>
          <w:rFonts w:hint="eastAsia" w:ascii="仿宋_GB2312" w:hAnsi="微软雅黑" w:eastAsia="仿宋_GB2312" w:cs="微软雅黑"/>
          <w:color w:val="auto"/>
          <w:kern w:val="0"/>
          <w:sz w:val="32"/>
          <w:szCs w:val="32"/>
          <w:lang w:val="en-US" w:eastAsia="zh-CN"/>
        </w:rPr>
        <w:t>全年预算总支出</w:t>
      </w:r>
      <w:r>
        <w:rPr>
          <w:rFonts w:hint="eastAsia" w:ascii="仿宋_GB2312" w:hAnsi="微软雅黑" w:cs="微软雅黑"/>
          <w:color w:val="auto"/>
          <w:kern w:val="0"/>
          <w:sz w:val="32"/>
          <w:szCs w:val="32"/>
          <w:lang w:val="en-US" w:eastAsia="zh-CN"/>
        </w:rPr>
        <w:t>2658.94</w:t>
      </w:r>
      <w:r>
        <w:rPr>
          <w:rFonts w:hint="eastAsia" w:ascii="仿宋_GB2312" w:hAnsi="微软雅黑" w:eastAsia="仿宋_GB2312" w:cs="微软雅黑"/>
          <w:color w:val="auto"/>
          <w:kern w:val="0"/>
          <w:sz w:val="32"/>
          <w:szCs w:val="32"/>
          <w:lang w:val="en-US" w:eastAsia="zh-CN"/>
        </w:rPr>
        <w:t>万元，其中基本支出共</w:t>
      </w:r>
      <w:r>
        <w:rPr>
          <w:rFonts w:hint="eastAsia" w:ascii="仿宋_GB2312" w:hAnsi="微软雅黑" w:cs="微软雅黑"/>
          <w:color w:val="auto"/>
          <w:kern w:val="0"/>
          <w:sz w:val="32"/>
          <w:szCs w:val="32"/>
          <w:lang w:val="en-US" w:eastAsia="zh-CN"/>
        </w:rPr>
        <w:t>2008.82</w:t>
      </w:r>
      <w:r>
        <w:rPr>
          <w:rFonts w:hint="eastAsia" w:ascii="仿宋_GB2312" w:hAnsi="微软雅黑" w:eastAsia="仿宋_GB2312" w:cs="微软雅黑"/>
          <w:color w:val="auto"/>
          <w:kern w:val="0"/>
          <w:sz w:val="32"/>
          <w:szCs w:val="32"/>
          <w:lang w:val="en-US" w:eastAsia="zh-CN"/>
        </w:rPr>
        <w:t>万元，基本支出是为保障各部门正常运转、完成日常工作任务而发生的各项支出，其中包括工资福利支出</w:t>
      </w:r>
      <w:r>
        <w:rPr>
          <w:rFonts w:hint="eastAsia" w:ascii="仿宋_GB2312" w:hAnsi="微软雅黑" w:cs="微软雅黑"/>
          <w:color w:val="auto"/>
          <w:kern w:val="0"/>
          <w:sz w:val="32"/>
          <w:szCs w:val="32"/>
          <w:lang w:val="en-US" w:eastAsia="zh-CN"/>
        </w:rPr>
        <w:t>1699.3</w:t>
      </w:r>
      <w:r>
        <w:rPr>
          <w:rFonts w:hint="eastAsia" w:ascii="仿宋_GB2312" w:hAnsi="微软雅黑" w:eastAsia="仿宋_GB2312" w:cs="微软雅黑"/>
          <w:color w:val="auto"/>
          <w:kern w:val="0"/>
          <w:sz w:val="32"/>
          <w:szCs w:val="32"/>
          <w:lang w:val="en-US" w:eastAsia="zh-CN"/>
        </w:rPr>
        <w:t>万元，对个人和家庭补助</w:t>
      </w:r>
      <w:r>
        <w:rPr>
          <w:rFonts w:hint="eastAsia" w:ascii="仿宋_GB2312" w:hAnsi="微软雅黑" w:cs="微软雅黑"/>
          <w:color w:val="auto"/>
          <w:kern w:val="0"/>
          <w:sz w:val="32"/>
          <w:szCs w:val="32"/>
          <w:lang w:val="en-US" w:eastAsia="zh-CN"/>
        </w:rPr>
        <w:t>181.54</w:t>
      </w:r>
      <w:r>
        <w:rPr>
          <w:rFonts w:hint="eastAsia" w:ascii="仿宋_GB2312" w:hAnsi="微软雅黑" w:eastAsia="仿宋_GB2312" w:cs="微软雅黑"/>
          <w:color w:val="auto"/>
          <w:kern w:val="0"/>
          <w:sz w:val="32"/>
          <w:szCs w:val="32"/>
          <w:lang w:val="en-US" w:eastAsia="zh-CN"/>
        </w:rPr>
        <w:t>万元，公用经费</w:t>
      </w:r>
      <w:r>
        <w:rPr>
          <w:rFonts w:hint="eastAsia" w:ascii="仿宋_GB2312" w:hAnsi="微软雅黑" w:cs="微软雅黑"/>
          <w:color w:val="auto"/>
          <w:kern w:val="0"/>
          <w:sz w:val="32"/>
          <w:szCs w:val="32"/>
          <w:lang w:val="en-US" w:eastAsia="zh-CN"/>
        </w:rPr>
        <w:t>127.89</w:t>
      </w:r>
      <w:r>
        <w:rPr>
          <w:rFonts w:hint="eastAsia" w:ascii="仿宋_GB2312" w:hAnsi="微软雅黑" w:eastAsia="仿宋_GB2312" w:cs="微软雅黑"/>
          <w:color w:val="auto"/>
          <w:kern w:val="0"/>
          <w:sz w:val="32"/>
          <w:szCs w:val="32"/>
          <w:lang w:val="en-US" w:eastAsia="zh-CN"/>
        </w:rPr>
        <w:t>万元；项目支出合计</w:t>
      </w:r>
      <w:r>
        <w:rPr>
          <w:rFonts w:hint="eastAsia" w:ascii="仿宋_GB2312" w:hAnsi="微软雅黑" w:cs="微软雅黑"/>
          <w:color w:val="auto"/>
          <w:kern w:val="0"/>
          <w:sz w:val="32"/>
          <w:szCs w:val="32"/>
          <w:lang w:val="en-US" w:eastAsia="zh-CN"/>
        </w:rPr>
        <w:t>650.12</w:t>
      </w:r>
      <w:r>
        <w:rPr>
          <w:rFonts w:hint="eastAsia" w:ascii="仿宋_GB2312" w:hAnsi="微软雅黑" w:eastAsia="仿宋_GB2312" w:cs="微软雅黑"/>
          <w:color w:val="auto"/>
          <w:kern w:val="0"/>
          <w:sz w:val="32"/>
          <w:szCs w:val="32"/>
          <w:lang w:val="en-US" w:eastAsia="zh-CN"/>
        </w:rPr>
        <w:t>万元。</w:t>
      </w:r>
    </w:p>
    <w:p w14:paraId="0C6FA62D">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（三）绩效目标设立情况，主要包括部门中长期绩效目标和年度绩效目标</w:t>
      </w:r>
    </w:p>
    <w:p w14:paraId="72DE6C85">
      <w:pPr>
        <w:wordWrap/>
        <w:adjustRightInd/>
        <w:snapToGrid/>
        <w:spacing w:line="540" w:lineRule="exact"/>
        <w:ind w:firstLine="640" w:firstLineChars="200"/>
        <w:textAlignment w:val="auto"/>
        <w:rPr>
          <w:rFonts w:hint="default" w:ascii="仿宋_GB2312" w:hAnsi="微软雅黑" w:eastAsia="仿宋_GB2312" w:cs="微软雅黑"/>
          <w:color w:val="auto"/>
          <w:kern w:val="0"/>
          <w:sz w:val="32"/>
          <w:szCs w:val="32"/>
          <w:lang w:val="en-US" w:eastAsia="zh-CN"/>
        </w:rPr>
      </w:pPr>
      <w:r>
        <w:rPr>
          <w:rFonts w:hint="eastAsia" w:ascii="仿宋_GB2312" w:hAnsi="微软雅黑" w:eastAsia="仿宋_GB2312" w:cs="微软雅黑"/>
          <w:color w:val="auto"/>
          <w:kern w:val="0"/>
          <w:sz w:val="32"/>
          <w:szCs w:val="32"/>
          <w:lang w:val="en-US" w:eastAsia="zh-CN"/>
        </w:rPr>
        <w:t>2024年度部门整体支出绩效目标：基本支出为保障各部门正常运转、提高工作效率，更好更快完成半年度、年度日常工作任务，项目支出为保障村干办公、村委的正常合理支出，提高乡镇基础设施完善率，丰富人民正常生活娱乐文化需求，发展乡村经济，提高人民生活水平。</w:t>
      </w:r>
    </w:p>
    <w:p w14:paraId="3FEB1F80">
      <w:pPr>
        <w:widowControl/>
        <w:spacing w:line="594" w:lineRule="exact"/>
        <w:rPr>
          <w:rFonts w:eastAsia="黑体"/>
          <w:color w:val="auto"/>
          <w:kern w:val="0"/>
          <w:szCs w:val="32"/>
        </w:rPr>
      </w:pPr>
      <w:r>
        <w:rPr>
          <w:rFonts w:hint="eastAsia" w:eastAsia="黑体"/>
          <w:bCs/>
          <w:color w:val="auto"/>
          <w:kern w:val="0"/>
          <w:szCs w:val="32"/>
        </w:rPr>
        <w:t>二、部门整体支出管理及使用情况分析</w:t>
      </w:r>
    </w:p>
    <w:p w14:paraId="3444AC2B">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（一）基本支出</w:t>
      </w:r>
    </w:p>
    <w:p w14:paraId="197EA271">
      <w:pPr>
        <w:widowControl/>
        <w:spacing w:line="594" w:lineRule="exact"/>
        <w:ind w:firstLine="640" w:firstLineChars="200"/>
        <w:rPr>
          <w:color w:val="auto"/>
          <w:szCs w:val="32"/>
        </w:rPr>
      </w:pPr>
      <w:r>
        <w:rPr>
          <w:rFonts w:hint="eastAsia"/>
          <w:color w:val="auto"/>
          <w:szCs w:val="32"/>
        </w:rPr>
        <w:t>基本支出</w:t>
      </w:r>
      <w:r>
        <w:rPr>
          <w:rFonts w:hint="eastAsia"/>
          <w:color w:val="auto"/>
          <w:szCs w:val="32"/>
          <w:lang w:val="en-US" w:eastAsia="zh-CN"/>
        </w:rPr>
        <w:t>1827.19</w:t>
      </w:r>
      <w:r>
        <w:rPr>
          <w:rFonts w:hint="eastAsia"/>
          <w:color w:val="auto"/>
          <w:szCs w:val="32"/>
        </w:rPr>
        <w:t>万元，其中工资福利支出</w:t>
      </w:r>
      <w:r>
        <w:rPr>
          <w:rFonts w:hint="eastAsia" w:cs="Times New Roman"/>
          <w:color w:val="auto"/>
          <w:kern w:val="0"/>
          <w:sz w:val="32"/>
          <w:szCs w:val="32"/>
          <w:lang w:val="en-US" w:eastAsia="zh-CN"/>
        </w:rPr>
        <w:t>1699.3</w:t>
      </w:r>
      <w:r>
        <w:rPr>
          <w:rFonts w:hint="eastAsia"/>
          <w:color w:val="auto"/>
          <w:szCs w:val="32"/>
        </w:rPr>
        <w:t>万元，商品和服务支出</w:t>
      </w:r>
      <w:r>
        <w:rPr>
          <w:rFonts w:hint="eastAsia" w:cs="Times New Roman"/>
          <w:color w:val="auto"/>
          <w:sz w:val="32"/>
          <w:szCs w:val="32"/>
          <w:lang w:val="en-US" w:eastAsia="zh-CN"/>
        </w:rPr>
        <w:t>127.89</w:t>
      </w:r>
      <w:r>
        <w:rPr>
          <w:rFonts w:hint="eastAsia"/>
          <w:color w:val="auto"/>
          <w:szCs w:val="32"/>
        </w:rPr>
        <w:t>万元。主要含</w:t>
      </w:r>
      <w:r>
        <w:rPr>
          <w:rFonts w:hint="eastAsia"/>
          <w:color w:val="auto"/>
          <w:kern w:val="0"/>
          <w:szCs w:val="32"/>
          <w:lang w:val="en-US" w:eastAsia="zh-CN"/>
        </w:rPr>
        <w:t>人员工资及福利支出、征拆补偿支出、</w:t>
      </w:r>
      <w:r>
        <w:rPr>
          <w:rFonts w:hint="eastAsia"/>
          <w:color w:val="auto"/>
          <w:szCs w:val="32"/>
        </w:rPr>
        <w:t>办公费、水电费、差旅费、会议费、办公设备购置费等机关运行经费，是为保障单位正常运转、完成日常工作任务而发生的各项支出。</w:t>
      </w:r>
    </w:p>
    <w:p w14:paraId="0A97D48B">
      <w:pPr>
        <w:widowControl/>
        <w:spacing w:line="594" w:lineRule="exact"/>
        <w:ind w:firstLine="640" w:firstLineChars="200"/>
        <w:rPr>
          <w:rFonts w:eastAsia="楷体_GB2312"/>
          <w:b/>
          <w:color w:val="auto"/>
          <w:kern w:val="0"/>
          <w:szCs w:val="32"/>
        </w:rPr>
      </w:pPr>
      <w:r>
        <w:rPr>
          <w:rFonts w:hint="default" w:ascii="Times New Roman" w:hAnsi="Times New Roman" w:cs="Times New Roman"/>
          <w:color w:val="auto"/>
          <w:sz w:val="32"/>
          <w:szCs w:val="32"/>
          <w:lang w:eastAsia="zh-CN"/>
        </w:rPr>
        <w:t>202</w:t>
      </w:r>
      <w:r>
        <w:rPr>
          <w:rFonts w:hint="eastAsia" w:cs="Times New Roman"/>
          <w:color w:val="auto"/>
          <w:sz w:val="32"/>
          <w:szCs w:val="32"/>
          <w:lang w:val="en-US" w:eastAsia="zh-CN"/>
        </w:rPr>
        <w:t>4</w:t>
      </w:r>
      <w:r>
        <w:rPr>
          <w:rFonts w:hint="eastAsia"/>
          <w:color w:val="auto"/>
          <w:szCs w:val="32"/>
          <w:lang w:eastAsia="zh-CN"/>
        </w:rPr>
        <w:t>年</w:t>
      </w:r>
      <w:r>
        <w:rPr>
          <w:rFonts w:hint="eastAsia"/>
          <w:color w:val="auto"/>
          <w:szCs w:val="32"/>
        </w:rPr>
        <w:t>三公经费支出为</w:t>
      </w:r>
      <w:r>
        <w:rPr>
          <w:rFonts w:hint="eastAsia" w:cs="Times New Roman"/>
          <w:color w:val="auto"/>
          <w:sz w:val="32"/>
          <w:szCs w:val="32"/>
          <w:lang w:val="en-US" w:eastAsia="zh-CN"/>
        </w:rPr>
        <w:t>15.12</w:t>
      </w:r>
      <w:r>
        <w:rPr>
          <w:rFonts w:hint="eastAsia"/>
          <w:color w:val="auto"/>
          <w:szCs w:val="32"/>
        </w:rPr>
        <w:t>万元，其中：因公出国（境）费</w:t>
      </w:r>
      <w:r>
        <w:rPr>
          <w:rFonts w:hint="default" w:ascii="Times New Roman" w:hAnsi="Times New Roman" w:cs="Times New Roman"/>
          <w:color w:val="auto"/>
          <w:sz w:val="32"/>
          <w:szCs w:val="32"/>
        </w:rPr>
        <w:t>0</w:t>
      </w:r>
      <w:r>
        <w:rPr>
          <w:color w:val="auto"/>
          <w:szCs w:val="32"/>
        </w:rPr>
        <w:t>.</w:t>
      </w:r>
      <w:r>
        <w:rPr>
          <w:rFonts w:hint="default" w:ascii="Times New Roman" w:hAnsi="Times New Roman" w:cs="Times New Roman"/>
          <w:color w:val="auto"/>
          <w:sz w:val="32"/>
          <w:szCs w:val="32"/>
        </w:rPr>
        <w:t>00</w:t>
      </w:r>
      <w:r>
        <w:rPr>
          <w:rFonts w:hint="eastAsia"/>
          <w:color w:val="auto"/>
          <w:szCs w:val="32"/>
        </w:rPr>
        <w:t>万元，公务用车购置费</w:t>
      </w:r>
      <w:r>
        <w:rPr>
          <w:rFonts w:hint="default" w:ascii="Times New Roman" w:hAnsi="Times New Roman" w:cs="Times New Roman"/>
          <w:color w:val="auto"/>
          <w:sz w:val="32"/>
          <w:szCs w:val="32"/>
        </w:rPr>
        <w:t>0</w:t>
      </w:r>
      <w:r>
        <w:rPr>
          <w:color w:val="auto"/>
          <w:szCs w:val="32"/>
        </w:rPr>
        <w:t>.</w:t>
      </w:r>
      <w:r>
        <w:rPr>
          <w:rFonts w:hint="default" w:ascii="Times New Roman" w:hAnsi="Times New Roman" w:cs="Times New Roman"/>
          <w:color w:val="auto"/>
          <w:sz w:val="32"/>
          <w:szCs w:val="32"/>
        </w:rPr>
        <w:t>00</w:t>
      </w:r>
      <w:r>
        <w:rPr>
          <w:rFonts w:hint="eastAsia"/>
          <w:color w:val="auto"/>
          <w:szCs w:val="32"/>
        </w:rPr>
        <w:t>万元，公务用车运行费</w:t>
      </w:r>
      <w:r>
        <w:rPr>
          <w:rFonts w:hint="eastAsia" w:cs="Times New Roman"/>
          <w:color w:val="auto"/>
          <w:sz w:val="32"/>
          <w:szCs w:val="32"/>
          <w:lang w:val="en-US" w:eastAsia="zh-CN"/>
        </w:rPr>
        <w:t>3.59</w:t>
      </w:r>
      <w:r>
        <w:rPr>
          <w:rFonts w:hint="eastAsia"/>
          <w:color w:val="auto"/>
          <w:szCs w:val="32"/>
        </w:rPr>
        <w:t>万元，公务接待费</w:t>
      </w:r>
      <w:r>
        <w:rPr>
          <w:rFonts w:hint="eastAsia" w:cs="Times New Roman"/>
          <w:color w:val="auto"/>
          <w:sz w:val="32"/>
          <w:szCs w:val="32"/>
          <w:lang w:val="en-US" w:eastAsia="zh-CN"/>
        </w:rPr>
        <w:t>11.53</w:t>
      </w:r>
      <w:r>
        <w:rPr>
          <w:rFonts w:hint="eastAsia"/>
          <w:color w:val="auto"/>
          <w:szCs w:val="32"/>
        </w:rPr>
        <w:t>万元。</w:t>
      </w:r>
    </w:p>
    <w:p w14:paraId="542B98C3">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（二）项目支出</w:t>
      </w:r>
    </w:p>
    <w:p w14:paraId="0ECDA941">
      <w:pPr>
        <w:widowControl/>
        <w:spacing w:line="594" w:lineRule="exact"/>
        <w:ind w:firstLine="640" w:firstLineChars="200"/>
        <w:rPr>
          <w:color w:val="auto"/>
          <w:kern w:val="0"/>
          <w:szCs w:val="32"/>
        </w:rPr>
      </w:pPr>
      <w:r>
        <w:rPr>
          <w:rFonts w:hint="eastAsia"/>
          <w:color w:val="auto"/>
          <w:kern w:val="0"/>
          <w:szCs w:val="32"/>
        </w:rPr>
        <w:t>在项目支出方面，主要是村管费</w:t>
      </w:r>
      <w:r>
        <w:rPr>
          <w:rFonts w:hint="eastAsia"/>
          <w:color w:val="auto"/>
          <w:kern w:val="0"/>
          <w:szCs w:val="32"/>
          <w:lang w:val="en-US" w:eastAsia="zh-CN"/>
        </w:rPr>
        <w:t>209.03</w:t>
      </w:r>
      <w:r>
        <w:rPr>
          <w:rFonts w:hint="eastAsia"/>
          <w:color w:val="auto"/>
          <w:kern w:val="0"/>
          <w:szCs w:val="32"/>
        </w:rPr>
        <w:t>万元，该项目主要用于村级工作运转，包含村干部工资、妇女小组长工资、1.5元/人村级办公运转经费、离任村干生活补助、会议误工、交通补助以及其他支出，其他支出包含农村清洁工程资金等。</w:t>
      </w:r>
      <w:r>
        <w:rPr>
          <w:rFonts w:hint="eastAsia"/>
          <w:color w:val="auto"/>
          <w:kern w:val="0"/>
          <w:szCs w:val="32"/>
          <w:lang w:eastAsia="zh-CN"/>
        </w:rPr>
        <w:t>我镇</w:t>
      </w:r>
      <w:r>
        <w:rPr>
          <w:rFonts w:hint="eastAsia"/>
          <w:color w:val="auto"/>
          <w:kern w:val="0"/>
          <w:szCs w:val="32"/>
        </w:rPr>
        <w:t>严格按照财政相关规定及行政单位会计制度规定和财政下达资金的使用范围管理和使用项目经费，做到专款专用，确保资金支出的真实性、安全性、合理性。</w:t>
      </w:r>
    </w:p>
    <w:p w14:paraId="582AA2B8">
      <w:pPr>
        <w:widowControl/>
        <w:spacing w:line="594" w:lineRule="exact"/>
        <w:rPr>
          <w:rFonts w:eastAsia="黑体"/>
          <w:bCs/>
          <w:color w:val="auto"/>
          <w:kern w:val="0"/>
          <w:szCs w:val="32"/>
        </w:rPr>
      </w:pPr>
      <w:r>
        <w:rPr>
          <w:rFonts w:hint="eastAsia" w:eastAsia="黑体"/>
          <w:bCs/>
          <w:color w:val="auto"/>
          <w:kern w:val="0"/>
          <w:szCs w:val="32"/>
        </w:rPr>
        <w:t>三、项目组织实施情况分析</w:t>
      </w:r>
    </w:p>
    <w:p w14:paraId="1BC1D2DD">
      <w:pPr>
        <w:widowControl/>
        <w:spacing w:line="594" w:lineRule="exact"/>
        <w:ind w:firstLine="640" w:firstLineChars="200"/>
        <w:rPr>
          <w:rFonts w:hint="eastAsia"/>
          <w:color w:val="auto"/>
          <w:kern w:val="0"/>
          <w:szCs w:val="32"/>
        </w:rPr>
      </w:pPr>
      <w:r>
        <w:rPr>
          <w:rFonts w:hint="default" w:ascii="Times New Roman" w:hAnsi="Times New Roman" w:cs="Times New Roman"/>
          <w:color w:val="auto"/>
          <w:kern w:val="0"/>
          <w:sz w:val="32"/>
          <w:szCs w:val="32"/>
          <w:lang w:eastAsia="zh-CN"/>
        </w:rPr>
        <w:t>2024年项目支出主要是村级转移支付</w:t>
      </w:r>
      <w:r>
        <w:rPr>
          <w:rFonts w:hint="eastAsia" w:cs="Times New Roman"/>
          <w:color w:val="auto"/>
          <w:kern w:val="0"/>
          <w:sz w:val="32"/>
          <w:szCs w:val="32"/>
          <w:lang w:val="en-US" w:eastAsia="zh-CN"/>
        </w:rPr>
        <w:t>209.03</w:t>
      </w:r>
      <w:r>
        <w:rPr>
          <w:rFonts w:hint="default" w:ascii="Times New Roman" w:hAnsi="Times New Roman" w:cs="Times New Roman"/>
          <w:color w:val="auto"/>
          <w:kern w:val="0"/>
          <w:sz w:val="32"/>
          <w:szCs w:val="32"/>
          <w:lang w:eastAsia="zh-CN"/>
        </w:rPr>
        <w:t>万元，该项目2024年按季度拨付到14个村，该项目资金必须按照上级要求，实行财政统一归口管理，做到专款专用，及时足额落实到位，并明确专门部门与人员搞好跟踪问效，并做好事前、事中、事后监管记录。资金拨付，先由财政所长签字负责掌握资金入库、缴税情况，办主任、分管领导签署项目实施情况后，报镇长批准后拨付。</w:t>
      </w:r>
    </w:p>
    <w:p w14:paraId="6A0DF7D8">
      <w:pPr>
        <w:widowControl/>
        <w:spacing w:line="594" w:lineRule="exact"/>
        <w:rPr>
          <w:rFonts w:eastAsia="黑体"/>
          <w:bCs/>
          <w:color w:val="auto"/>
          <w:kern w:val="0"/>
          <w:szCs w:val="32"/>
        </w:rPr>
      </w:pPr>
      <w:r>
        <w:rPr>
          <w:rFonts w:hint="eastAsia" w:eastAsia="黑体"/>
          <w:bCs/>
          <w:color w:val="auto"/>
          <w:kern w:val="0"/>
          <w:szCs w:val="32"/>
        </w:rPr>
        <w:t>四、部门整体支出绩效情况分析</w:t>
      </w:r>
    </w:p>
    <w:p w14:paraId="711E2D99">
      <w:pPr>
        <w:widowControl/>
        <w:spacing w:line="59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我镇根据年初工作规划及财政预算计划，积极履职、强化管理，较好的完成了年度工作目标。通过加强预算收支管理、不断建立健全内部管理制度、梳理内部管理流程，部门整体支出管理情况得到提升。我镇2024年度部门整体支出绩效评价自评得分为100分。</w:t>
      </w:r>
    </w:p>
    <w:p w14:paraId="4914F422">
      <w:pPr>
        <w:widowControl/>
        <w:spacing w:line="59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预算管理方面，编制内在职人员控制率小于100%，支出总额控制在预算总额以内。制度执行总体较为有效，但仍需进一步强化，资金使用管理需进一步加强。</w:t>
      </w:r>
    </w:p>
    <w:p w14:paraId="1A6F37C2">
      <w:pPr>
        <w:widowControl/>
        <w:spacing w:line="59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资产管理方面，建立了资产管理制度，固定资产利用率高于90%，定期进行了资产盘点和资产清理，总体执行情况良好。</w:t>
      </w:r>
    </w:p>
    <w:p w14:paraId="09C7CC6C">
      <w:pPr>
        <w:widowControl/>
        <w:spacing w:line="59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效益方面，随机选取了100名各年龄层次的村民群众进行公众满意度问卷调查，调查问卷涵盖了大气环境治理、水污染改善、农村清洁工程、生活压力、居住条件、街道绿化、乡村及镇区风貌、出行便捷与否、村民活动场所建设、文化设施建设、治安情况、基础设施建设等12个方面的内容，通过统计分析获取了人民群众对生态环境的健康度、居住生活的舒适度、工作出行的便捷度、居住生活的安全度各方面的评价。</w:t>
      </w:r>
    </w:p>
    <w:p w14:paraId="34C8398E">
      <w:pPr>
        <w:widowControl/>
        <w:spacing w:line="594" w:lineRule="exact"/>
        <w:rPr>
          <w:rFonts w:eastAsia="黑体"/>
          <w:color w:val="auto"/>
          <w:kern w:val="0"/>
          <w:szCs w:val="32"/>
        </w:rPr>
      </w:pPr>
      <w:r>
        <w:rPr>
          <w:rFonts w:hint="eastAsia" w:eastAsia="黑体"/>
          <w:bCs/>
          <w:color w:val="auto"/>
          <w:kern w:val="0"/>
          <w:szCs w:val="32"/>
        </w:rPr>
        <w:t>五、绩效评价工作开展情况</w:t>
      </w:r>
    </w:p>
    <w:p w14:paraId="115CFADB">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（一）绩效评价目的</w:t>
      </w:r>
    </w:p>
    <w:p w14:paraId="6994A9CC">
      <w:pPr>
        <w:spacing w:line="594" w:lineRule="exact"/>
        <w:ind w:firstLine="640" w:firstLineChars="200"/>
        <w:rPr>
          <w:b/>
          <w:color w:val="auto"/>
          <w:kern w:val="0"/>
          <w:szCs w:val="32"/>
        </w:rPr>
      </w:pPr>
      <w:r>
        <w:rPr>
          <w:rFonts w:hint="eastAsia"/>
          <w:color w:val="auto"/>
          <w:kern w:val="0"/>
          <w:szCs w:val="32"/>
          <w:lang w:eastAsia="zh-CN"/>
        </w:rPr>
        <w:t>我镇</w:t>
      </w:r>
      <w:r>
        <w:rPr>
          <w:rFonts w:hint="eastAsia"/>
          <w:color w:val="auto"/>
          <w:kern w:val="0"/>
          <w:szCs w:val="32"/>
        </w:rPr>
        <w:t>认真贯彻落实</w:t>
      </w:r>
      <w:r>
        <w:rPr>
          <w:rFonts w:hint="eastAsia"/>
          <w:color w:val="auto"/>
          <w:kern w:val="0"/>
          <w:szCs w:val="32"/>
          <w:highlight w:val="none"/>
        </w:rPr>
        <w:t>党的</w:t>
      </w:r>
      <w:r>
        <w:rPr>
          <w:rFonts w:hint="eastAsia"/>
          <w:color w:val="auto"/>
          <w:kern w:val="0"/>
          <w:szCs w:val="32"/>
          <w:highlight w:val="none"/>
          <w:lang w:val="en-US" w:eastAsia="zh-CN"/>
        </w:rPr>
        <w:t>二十</w:t>
      </w:r>
      <w:r>
        <w:rPr>
          <w:rFonts w:hint="eastAsia"/>
          <w:color w:val="auto"/>
          <w:kern w:val="0"/>
          <w:szCs w:val="32"/>
          <w:highlight w:val="none"/>
        </w:rPr>
        <w:t>大报告精神，</w:t>
      </w:r>
      <w:r>
        <w:rPr>
          <w:rFonts w:hint="eastAsia"/>
          <w:color w:val="auto"/>
          <w:kern w:val="0"/>
          <w:szCs w:val="32"/>
        </w:rPr>
        <w:t>进一步加强财政支出的监督管理，规范支出预算执行，提高财政资金使用效益，强化财政支出绩效理念，科学合理编制年度预算，切实发挥财政资金资源配置作用，逐步建立以科学理财为基础，以精细化管理为手段，以评价结果为导向，以实施过程为监管对象的预算管理体系</w:t>
      </w:r>
      <w:r>
        <w:rPr>
          <w:rFonts w:hint="eastAsia"/>
          <w:color w:val="auto"/>
          <w:kern w:val="0"/>
          <w:szCs w:val="32"/>
          <w:lang w:eastAsia="zh-CN"/>
        </w:rPr>
        <w:t>，</w:t>
      </w:r>
      <w:r>
        <w:rPr>
          <w:rFonts w:hint="eastAsia" w:ascii="仿宋_GB2312" w:hAnsi="宋体" w:eastAsia="仿宋_GB2312"/>
          <w:color w:val="auto"/>
          <w:sz w:val="32"/>
          <w:szCs w:val="32"/>
          <w:lang w:val="en-US" w:eastAsia="zh-CN"/>
        </w:rPr>
        <w:t>建立科学工作管理机制，有效提高资金管理和使用效率</w:t>
      </w:r>
      <w:r>
        <w:rPr>
          <w:rFonts w:hint="eastAsia"/>
          <w:color w:val="auto"/>
          <w:kern w:val="0"/>
          <w:szCs w:val="32"/>
        </w:rPr>
        <w:t>。</w:t>
      </w:r>
    </w:p>
    <w:p w14:paraId="75ADD9D0">
      <w:pPr>
        <w:widowControl/>
        <w:spacing w:line="594" w:lineRule="exact"/>
        <w:ind w:firstLine="643" w:firstLineChars="200"/>
        <w:rPr>
          <w:rFonts w:eastAsia="楷体_GB2312"/>
          <w:b/>
          <w:color w:val="auto"/>
          <w:kern w:val="0"/>
          <w:szCs w:val="32"/>
        </w:rPr>
      </w:pPr>
      <w:r>
        <w:rPr>
          <w:rFonts w:hint="eastAsia" w:eastAsia="楷体_GB2312"/>
          <w:b/>
          <w:color w:val="auto"/>
          <w:kern w:val="0"/>
          <w:szCs w:val="32"/>
        </w:rPr>
        <w:t>（二）绩效评价工作过程</w:t>
      </w:r>
    </w:p>
    <w:p w14:paraId="0EEB2CA8">
      <w:pPr>
        <w:widowControl/>
        <w:spacing w:line="594" w:lineRule="exact"/>
        <w:ind w:firstLine="640" w:firstLineChars="200"/>
        <w:rPr>
          <w:color w:val="auto"/>
          <w:kern w:val="0"/>
          <w:szCs w:val="32"/>
        </w:rPr>
      </w:pPr>
      <w:r>
        <w:rPr>
          <w:rFonts w:hint="eastAsia"/>
          <w:color w:val="auto"/>
          <w:kern w:val="0"/>
          <w:szCs w:val="32"/>
        </w:rPr>
        <w:t>根据桃江县财政局</w:t>
      </w:r>
      <w:r>
        <w:rPr>
          <w:rFonts w:hint="eastAsia"/>
          <w:color w:val="auto"/>
          <w:kern w:val="0"/>
          <w:szCs w:val="32"/>
          <w:highlight w:val="none"/>
        </w:rPr>
        <w:t>《关于开展</w:t>
      </w:r>
      <w:r>
        <w:rPr>
          <w:rFonts w:hint="default" w:ascii="Times New Roman" w:hAnsi="Times New Roman" w:cs="Times New Roman"/>
          <w:color w:val="auto"/>
          <w:kern w:val="0"/>
          <w:sz w:val="32"/>
          <w:szCs w:val="32"/>
          <w:highlight w:val="none"/>
          <w:lang w:eastAsia="zh-CN"/>
        </w:rPr>
        <w:t>202</w:t>
      </w:r>
      <w:r>
        <w:rPr>
          <w:rFonts w:hint="eastAsia" w:cs="Times New Roman"/>
          <w:color w:val="auto"/>
          <w:kern w:val="0"/>
          <w:sz w:val="32"/>
          <w:szCs w:val="32"/>
          <w:highlight w:val="none"/>
          <w:lang w:val="en-US" w:eastAsia="zh-CN"/>
        </w:rPr>
        <w:t>4</w:t>
      </w:r>
      <w:r>
        <w:rPr>
          <w:rFonts w:hint="eastAsia"/>
          <w:color w:val="auto"/>
          <w:kern w:val="0"/>
          <w:szCs w:val="32"/>
          <w:highlight w:val="none"/>
          <w:lang w:eastAsia="zh-CN"/>
        </w:rPr>
        <w:t>年</w:t>
      </w:r>
      <w:r>
        <w:rPr>
          <w:rFonts w:hint="eastAsia"/>
          <w:color w:val="auto"/>
          <w:kern w:val="0"/>
          <w:szCs w:val="32"/>
          <w:highlight w:val="none"/>
        </w:rPr>
        <w:t>度财政资金绩效自评工作的通知》（桃财</w:t>
      </w:r>
      <w:r>
        <w:rPr>
          <w:rFonts w:hint="eastAsia"/>
          <w:color w:val="auto"/>
          <w:kern w:val="0"/>
          <w:szCs w:val="32"/>
          <w:highlight w:val="none"/>
          <w:lang w:val="en-US" w:eastAsia="zh-CN"/>
        </w:rPr>
        <w:t>监</w:t>
      </w:r>
      <w:r>
        <w:rPr>
          <w:rFonts w:hint="eastAsia"/>
          <w:color w:val="auto"/>
          <w:kern w:val="0"/>
          <w:szCs w:val="32"/>
          <w:highlight w:val="none"/>
        </w:rPr>
        <w:t>〔</w:t>
      </w:r>
      <w:r>
        <w:rPr>
          <w:rFonts w:hint="default" w:ascii="Times New Roman" w:hAnsi="Times New Roman" w:cs="Times New Roman"/>
          <w:color w:val="auto"/>
          <w:kern w:val="0"/>
          <w:sz w:val="32"/>
          <w:szCs w:val="32"/>
          <w:highlight w:val="none"/>
        </w:rPr>
        <w:t>202</w:t>
      </w:r>
      <w:r>
        <w:rPr>
          <w:rFonts w:hint="eastAsia" w:cs="Times New Roman"/>
          <w:color w:val="auto"/>
          <w:kern w:val="0"/>
          <w:sz w:val="32"/>
          <w:szCs w:val="32"/>
          <w:highlight w:val="none"/>
          <w:lang w:val="en-US" w:eastAsia="zh-CN"/>
        </w:rPr>
        <w:t>5</w:t>
      </w:r>
      <w:r>
        <w:rPr>
          <w:rFonts w:hint="eastAsia"/>
          <w:color w:val="auto"/>
          <w:kern w:val="0"/>
          <w:szCs w:val="32"/>
          <w:highlight w:val="none"/>
        </w:rPr>
        <w:t>〕</w:t>
      </w:r>
      <w:r>
        <w:rPr>
          <w:rFonts w:hint="eastAsia" w:cs="Times New Roman"/>
          <w:color w:val="auto"/>
          <w:kern w:val="0"/>
          <w:sz w:val="32"/>
          <w:szCs w:val="32"/>
          <w:highlight w:val="none"/>
          <w:lang w:val="en-US" w:eastAsia="zh-CN"/>
        </w:rPr>
        <w:t>53</w:t>
      </w:r>
      <w:r>
        <w:rPr>
          <w:rFonts w:hint="eastAsia"/>
          <w:color w:val="auto"/>
          <w:kern w:val="0"/>
          <w:szCs w:val="32"/>
          <w:highlight w:val="none"/>
        </w:rPr>
        <w:t>号）文</w:t>
      </w:r>
      <w:r>
        <w:rPr>
          <w:rFonts w:hint="eastAsia"/>
          <w:color w:val="auto"/>
          <w:kern w:val="0"/>
          <w:szCs w:val="32"/>
        </w:rPr>
        <w:t>件的要求，成立了工作领导小组，对照自评方案进行研究布署，于2024年4月中旬起开展了部门整体支出绩效评价工作，按照自评方案的要求，对照各实施项目的内容逐条逐项自评，及时发现问题，查找原因，纠正偏差，为下一步工作夯实基础。绩效评价工作主要如下：</w:t>
      </w:r>
    </w:p>
    <w:p w14:paraId="576094D4">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1</w:t>
      </w:r>
      <w:r>
        <w:rPr>
          <w:color w:val="auto"/>
          <w:kern w:val="0"/>
          <w:szCs w:val="32"/>
        </w:rPr>
        <w:t>.</w:t>
      </w:r>
      <w:r>
        <w:rPr>
          <w:rFonts w:hint="eastAsia"/>
          <w:color w:val="auto"/>
          <w:kern w:val="0"/>
          <w:szCs w:val="32"/>
        </w:rPr>
        <w:t>核实数据。对</w:t>
      </w:r>
      <w:r>
        <w:rPr>
          <w:rFonts w:hint="default" w:ascii="Times New Roman" w:hAnsi="Times New Roman" w:cs="Times New Roman"/>
          <w:color w:val="auto"/>
          <w:kern w:val="0"/>
          <w:sz w:val="32"/>
          <w:szCs w:val="32"/>
          <w:lang w:eastAsia="zh-CN"/>
        </w:rPr>
        <w:t>202</w:t>
      </w:r>
      <w:r>
        <w:rPr>
          <w:rFonts w:hint="eastAsia" w:cs="Times New Roman"/>
          <w:color w:val="auto"/>
          <w:kern w:val="0"/>
          <w:sz w:val="32"/>
          <w:szCs w:val="32"/>
          <w:lang w:val="en-US" w:eastAsia="zh-CN"/>
        </w:rPr>
        <w:t>4</w:t>
      </w:r>
      <w:r>
        <w:rPr>
          <w:rFonts w:hint="eastAsia"/>
          <w:color w:val="auto"/>
          <w:kern w:val="0"/>
          <w:szCs w:val="32"/>
          <w:lang w:eastAsia="zh-CN"/>
        </w:rPr>
        <w:t>年</w:t>
      </w:r>
      <w:r>
        <w:rPr>
          <w:rFonts w:hint="eastAsia"/>
          <w:color w:val="auto"/>
          <w:kern w:val="0"/>
          <w:szCs w:val="32"/>
        </w:rPr>
        <w:t>度部门整体支出数据的准确性、真实性进行核实，将</w:t>
      </w:r>
      <w:r>
        <w:rPr>
          <w:rFonts w:hint="default" w:ascii="Times New Roman" w:hAnsi="Times New Roman" w:cs="Times New Roman"/>
          <w:color w:val="auto"/>
          <w:kern w:val="0"/>
          <w:sz w:val="32"/>
          <w:szCs w:val="32"/>
          <w:lang w:eastAsia="zh-CN"/>
        </w:rPr>
        <w:t>202</w:t>
      </w:r>
      <w:r>
        <w:rPr>
          <w:rFonts w:hint="eastAsia" w:cs="Times New Roman"/>
          <w:color w:val="auto"/>
          <w:kern w:val="0"/>
          <w:sz w:val="32"/>
          <w:szCs w:val="32"/>
          <w:lang w:val="en-US" w:eastAsia="zh-CN"/>
        </w:rPr>
        <w:t>3</w:t>
      </w:r>
      <w:r>
        <w:rPr>
          <w:rFonts w:hint="eastAsia"/>
          <w:color w:val="auto"/>
          <w:kern w:val="0"/>
          <w:szCs w:val="32"/>
          <w:lang w:eastAsia="zh-CN"/>
        </w:rPr>
        <w:t>年</w:t>
      </w:r>
      <w:r>
        <w:rPr>
          <w:rFonts w:hint="eastAsia"/>
          <w:color w:val="auto"/>
          <w:kern w:val="0"/>
          <w:szCs w:val="32"/>
        </w:rPr>
        <w:t>度和</w:t>
      </w:r>
      <w:r>
        <w:rPr>
          <w:rFonts w:hint="default" w:ascii="Times New Roman" w:hAnsi="Times New Roman" w:cs="Times New Roman"/>
          <w:color w:val="auto"/>
          <w:kern w:val="0"/>
          <w:sz w:val="32"/>
          <w:szCs w:val="32"/>
        </w:rPr>
        <w:t>20</w:t>
      </w:r>
      <w:r>
        <w:rPr>
          <w:rFonts w:hint="default" w:ascii="Times New Roman" w:hAnsi="Times New Roman" w:cs="Times New Roman"/>
          <w:color w:val="auto"/>
          <w:kern w:val="0"/>
          <w:sz w:val="32"/>
          <w:szCs w:val="32"/>
          <w:lang w:val="en-US" w:eastAsia="zh-CN"/>
        </w:rPr>
        <w:t>2</w:t>
      </w:r>
      <w:r>
        <w:rPr>
          <w:rFonts w:hint="eastAsia" w:cs="Times New Roman"/>
          <w:color w:val="auto"/>
          <w:kern w:val="0"/>
          <w:sz w:val="32"/>
          <w:szCs w:val="32"/>
          <w:lang w:val="en-US" w:eastAsia="zh-CN"/>
        </w:rPr>
        <w:t>4</w:t>
      </w:r>
      <w:r>
        <w:rPr>
          <w:rFonts w:hint="eastAsia"/>
          <w:color w:val="auto"/>
          <w:kern w:val="0"/>
          <w:szCs w:val="32"/>
        </w:rPr>
        <w:t>年度部门整体支出情况进行比较分析。</w:t>
      </w:r>
    </w:p>
    <w:p w14:paraId="6A7851E7">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2</w:t>
      </w:r>
      <w:r>
        <w:rPr>
          <w:color w:val="auto"/>
          <w:kern w:val="0"/>
          <w:szCs w:val="32"/>
        </w:rPr>
        <w:t>.</w:t>
      </w:r>
      <w:r>
        <w:rPr>
          <w:rFonts w:hint="eastAsia"/>
          <w:color w:val="auto"/>
          <w:kern w:val="0"/>
          <w:szCs w:val="32"/>
        </w:rPr>
        <w:t>查阅资料。查阅</w:t>
      </w:r>
      <w:r>
        <w:rPr>
          <w:rFonts w:hint="default" w:ascii="Times New Roman" w:hAnsi="Times New Roman" w:cs="Times New Roman"/>
          <w:color w:val="auto"/>
          <w:kern w:val="0"/>
          <w:sz w:val="32"/>
          <w:szCs w:val="32"/>
          <w:lang w:eastAsia="zh-CN"/>
        </w:rPr>
        <w:t>202</w:t>
      </w:r>
      <w:r>
        <w:rPr>
          <w:rFonts w:hint="eastAsia" w:cs="Times New Roman"/>
          <w:color w:val="auto"/>
          <w:kern w:val="0"/>
          <w:sz w:val="32"/>
          <w:szCs w:val="32"/>
          <w:lang w:val="en-US" w:eastAsia="zh-CN"/>
        </w:rPr>
        <w:t>4</w:t>
      </w:r>
      <w:r>
        <w:rPr>
          <w:rFonts w:hint="eastAsia"/>
          <w:color w:val="auto"/>
          <w:kern w:val="0"/>
          <w:szCs w:val="32"/>
          <w:lang w:eastAsia="zh-CN"/>
        </w:rPr>
        <w:t>年</w:t>
      </w:r>
      <w:r>
        <w:rPr>
          <w:rFonts w:hint="eastAsia"/>
          <w:color w:val="auto"/>
          <w:kern w:val="0"/>
          <w:szCs w:val="32"/>
        </w:rPr>
        <w:t>度预算安排、预算追加、资金管理、经费支出、资产管理等相关文件资料和财务凭证。</w:t>
      </w:r>
    </w:p>
    <w:p w14:paraId="0F67F6DC">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3</w:t>
      </w:r>
      <w:r>
        <w:rPr>
          <w:color w:val="auto"/>
          <w:kern w:val="0"/>
          <w:szCs w:val="32"/>
        </w:rPr>
        <w:t>.</w:t>
      </w:r>
      <w:r>
        <w:rPr>
          <w:rFonts w:hint="eastAsia"/>
          <w:color w:val="auto"/>
          <w:kern w:val="0"/>
          <w:szCs w:val="32"/>
        </w:rPr>
        <w:t>实地查看。现场查看实物资产等。</w:t>
      </w:r>
    </w:p>
    <w:p w14:paraId="7F018A5F">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4</w:t>
      </w:r>
      <w:r>
        <w:rPr>
          <w:color w:val="auto"/>
          <w:kern w:val="0"/>
          <w:szCs w:val="32"/>
        </w:rPr>
        <w:t>.</w:t>
      </w:r>
      <w:r>
        <w:rPr>
          <w:rFonts w:hint="eastAsia"/>
          <w:color w:val="auto"/>
          <w:kern w:val="0"/>
          <w:szCs w:val="32"/>
        </w:rPr>
        <w:t>发放调查问卷。对部门履行职责情况的公众满意度进行调查。</w:t>
      </w:r>
    </w:p>
    <w:p w14:paraId="4663668A">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5</w:t>
      </w:r>
      <w:r>
        <w:rPr>
          <w:color w:val="auto"/>
          <w:kern w:val="0"/>
          <w:szCs w:val="32"/>
        </w:rPr>
        <w:t>.</w:t>
      </w:r>
      <w:r>
        <w:rPr>
          <w:rFonts w:hint="eastAsia"/>
          <w:color w:val="auto"/>
          <w:kern w:val="0"/>
          <w:szCs w:val="32"/>
        </w:rPr>
        <w:t>归纳汇总。对提供的材料及自评报告，结合现场评价情况进行综合分析、归纳汇总。</w:t>
      </w:r>
    </w:p>
    <w:p w14:paraId="3432FCD5">
      <w:pPr>
        <w:widowControl/>
        <w:spacing w:line="594" w:lineRule="exact"/>
        <w:ind w:firstLine="640" w:firstLineChars="200"/>
        <w:rPr>
          <w:color w:val="auto"/>
          <w:kern w:val="0"/>
          <w:szCs w:val="32"/>
        </w:rPr>
      </w:pPr>
      <w:r>
        <w:rPr>
          <w:rFonts w:hint="default" w:ascii="Times New Roman" w:hAnsi="Times New Roman" w:cs="Times New Roman"/>
          <w:color w:val="auto"/>
          <w:kern w:val="0"/>
          <w:sz w:val="32"/>
          <w:szCs w:val="32"/>
        </w:rPr>
        <w:t>6</w:t>
      </w:r>
      <w:r>
        <w:rPr>
          <w:color w:val="auto"/>
          <w:kern w:val="0"/>
          <w:szCs w:val="32"/>
        </w:rPr>
        <w:t>.</w:t>
      </w:r>
      <w:r>
        <w:rPr>
          <w:rFonts w:hint="eastAsia"/>
          <w:color w:val="auto"/>
          <w:kern w:val="0"/>
          <w:szCs w:val="32"/>
        </w:rPr>
        <w:t>评价组对各项评价指标进行分析讨论。</w:t>
      </w:r>
    </w:p>
    <w:p w14:paraId="2368F52C">
      <w:pPr>
        <w:widowControl/>
        <w:spacing w:line="594" w:lineRule="exact"/>
        <w:ind w:firstLine="640" w:firstLineChars="200"/>
        <w:rPr>
          <w:color w:val="auto"/>
          <w:kern w:val="0"/>
          <w:szCs w:val="32"/>
          <w:highlight w:val="none"/>
        </w:rPr>
      </w:pPr>
      <w:r>
        <w:rPr>
          <w:rFonts w:hint="default" w:ascii="Times New Roman" w:hAnsi="Times New Roman" w:cs="Times New Roman"/>
          <w:color w:val="auto"/>
          <w:kern w:val="0"/>
          <w:sz w:val="32"/>
          <w:szCs w:val="32"/>
        </w:rPr>
        <w:t>7</w:t>
      </w:r>
      <w:r>
        <w:rPr>
          <w:color w:val="auto"/>
          <w:kern w:val="0"/>
          <w:szCs w:val="32"/>
        </w:rPr>
        <w:t>.</w:t>
      </w:r>
      <w:r>
        <w:rPr>
          <w:rFonts w:hint="eastAsia"/>
          <w:color w:val="auto"/>
          <w:kern w:val="0"/>
          <w:szCs w:val="32"/>
        </w:rPr>
        <w:t>形成绩效评价报告。</w:t>
      </w:r>
    </w:p>
    <w:p w14:paraId="3D053A0D">
      <w:pPr>
        <w:widowControl/>
        <w:numPr>
          <w:ilvl w:val="0"/>
          <w:numId w:val="2"/>
        </w:numPr>
        <w:spacing w:line="594" w:lineRule="exact"/>
        <w:ind w:firstLine="640" w:firstLineChars="200"/>
        <w:rPr>
          <w:rFonts w:eastAsia="黑体"/>
          <w:bCs/>
          <w:color w:val="auto"/>
          <w:kern w:val="0"/>
          <w:szCs w:val="32"/>
          <w:highlight w:val="none"/>
        </w:rPr>
      </w:pPr>
      <w:r>
        <w:rPr>
          <w:rFonts w:hint="eastAsia" w:eastAsia="黑体"/>
          <w:bCs/>
          <w:color w:val="auto"/>
          <w:kern w:val="0"/>
          <w:szCs w:val="32"/>
          <w:highlight w:val="none"/>
        </w:rPr>
        <w:t>存在的主要问题</w:t>
      </w:r>
    </w:p>
    <w:p w14:paraId="50D6699C">
      <w:pPr>
        <w:widowControl/>
        <w:spacing w:line="594" w:lineRule="exact"/>
        <w:ind w:firstLine="640" w:firstLineChars="200"/>
        <w:rPr>
          <w:bCs/>
          <w:color w:val="auto"/>
          <w:kern w:val="0"/>
          <w:szCs w:val="32"/>
        </w:rPr>
      </w:pPr>
      <w:r>
        <w:rPr>
          <w:rFonts w:hint="default" w:ascii="Times New Roman" w:hAnsi="Times New Roman" w:cs="Times New Roman"/>
          <w:bCs/>
          <w:color w:val="auto"/>
          <w:kern w:val="0"/>
          <w:sz w:val="32"/>
          <w:szCs w:val="32"/>
        </w:rPr>
        <w:t>1</w:t>
      </w:r>
      <w:r>
        <w:rPr>
          <w:bCs/>
          <w:color w:val="auto"/>
          <w:kern w:val="0"/>
          <w:szCs w:val="32"/>
        </w:rPr>
        <w:t>.</w:t>
      </w:r>
      <w:r>
        <w:rPr>
          <w:rFonts w:hint="eastAsia"/>
          <w:bCs/>
          <w:color w:val="auto"/>
          <w:kern w:val="0"/>
          <w:szCs w:val="32"/>
        </w:rPr>
        <w:t>我单位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14:paraId="152A9B75">
      <w:pPr>
        <w:widowControl/>
        <w:spacing w:line="594" w:lineRule="exact"/>
        <w:ind w:firstLine="640" w:firstLineChars="200"/>
        <w:rPr>
          <w:rFonts w:hint="eastAsia"/>
          <w:bCs/>
          <w:color w:val="auto"/>
          <w:kern w:val="0"/>
          <w:szCs w:val="32"/>
        </w:rPr>
      </w:pPr>
      <w:r>
        <w:rPr>
          <w:rFonts w:hint="default" w:ascii="Times New Roman" w:hAnsi="Times New Roman" w:cs="Times New Roman"/>
          <w:bCs/>
          <w:color w:val="auto"/>
          <w:kern w:val="0"/>
          <w:sz w:val="32"/>
          <w:szCs w:val="32"/>
        </w:rPr>
        <w:t>2</w:t>
      </w:r>
      <w:r>
        <w:rPr>
          <w:bCs/>
          <w:color w:val="auto"/>
          <w:kern w:val="0"/>
          <w:szCs w:val="32"/>
        </w:rPr>
        <w:t>.</w:t>
      </w:r>
      <w:r>
        <w:rPr>
          <w:rFonts w:hint="eastAsia" w:ascii="仿宋_GB2312" w:hAnsi="宋体" w:eastAsia="仿宋_GB2312"/>
          <w:color w:val="auto"/>
          <w:sz w:val="32"/>
          <w:szCs w:val="32"/>
          <w:lang w:val="en-US" w:eastAsia="zh-CN"/>
        </w:rPr>
        <w:t>预算绩效评价工作的重要性认识有待进一步提高，绩效评价制度建设和规范化管理还有待加强。</w:t>
      </w:r>
    </w:p>
    <w:p w14:paraId="45358F94">
      <w:pPr>
        <w:widowControl/>
        <w:spacing w:line="594"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cs="Times New Roman"/>
          <w:bCs/>
          <w:color w:val="auto"/>
          <w:kern w:val="0"/>
          <w:sz w:val="32"/>
          <w:szCs w:val="32"/>
          <w:lang w:val="en-US" w:eastAsia="zh-CN"/>
        </w:rPr>
        <w:t>3</w:t>
      </w:r>
      <w:r>
        <w:rPr>
          <w:rFonts w:hint="eastAsia"/>
          <w:bCs/>
          <w:color w:val="auto"/>
          <w:kern w:val="0"/>
          <w:szCs w:val="32"/>
          <w:lang w:val="en-US" w:eastAsia="zh-CN"/>
        </w:rPr>
        <w:t>.</w:t>
      </w:r>
      <w:r>
        <w:rPr>
          <w:rFonts w:hint="eastAsia" w:ascii="仿宋_GB2312" w:hAnsi="仿宋_GB2312" w:eastAsia="仿宋_GB2312" w:cs="仿宋_GB2312"/>
          <w:color w:val="auto"/>
          <w:sz w:val="32"/>
          <w:szCs w:val="32"/>
          <w:highlight w:val="none"/>
        </w:rPr>
        <w:t>根据新政府会计制度改革的要求，要进一步强化财政资金使用效果的评价机制，牢固强化行政成本控制意识。</w:t>
      </w:r>
    </w:p>
    <w:p w14:paraId="714117AF">
      <w:pPr>
        <w:widowControl/>
        <w:spacing w:line="594" w:lineRule="exact"/>
        <w:ind w:firstLine="640" w:firstLineChars="200"/>
        <w:rPr>
          <w:rFonts w:eastAsia="黑体"/>
          <w:bCs/>
          <w:color w:val="auto"/>
          <w:kern w:val="0"/>
          <w:szCs w:val="32"/>
        </w:rPr>
      </w:pPr>
      <w:r>
        <w:rPr>
          <w:rFonts w:hint="eastAsia" w:eastAsia="黑体"/>
          <w:bCs/>
          <w:color w:val="auto"/>
          <w:kern w:val="0"/>
          <w:szCs w:val="32"/>
        </w:rPr>
        <w:t>七、改进措施和有关建议</w:t>
      </w:r>
    </w:p>
    <w:p w14:paraId="114DA9A4">
      <w:pPr>
        <w:widowControl/>
        <w:spacing w:line="594" w:lineRule="exact"/>
        <w:ind w:firstLine="640" w:firstLineChars="200"/>
        <w:rPr>
          <w:color w:val="auto"/>
          <w:kern w:val="0"/>
          <w:szCs w:val="32"/>
        </w:rPr>
      </w:pPr>
      <w:r>
        <w:rPr>
          <w:color w:val="auto"/>
          <w:kern w:val="0"/>
          <w:szCs w:val="32"/>
        </w:rPr>
        <w:t>1</w:t>
      </w:r>
      <w:r>
        <w:rPr>
          <w:rFonts w:hint="eastAsia"/>
          <w:color w:val="auto"/>
          <w:kern w:val="0"/>
          <w:szCs w:val="32"/>
        </w:rPr>
        <w:t>．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14:paraId="57228514">
      <w:pPr>
        <w:widowControl/>
        <w:spacing w:line="594" w:lineRule="exact"/>
        <w:ind w:firstLine="640" w:firstLineChars="200"/>
        <w:rPr>
          <w:color w:val="auto"/>
          <w:kern w:val="0"/>
          <w:szCs w:val="32"/>
        </w:rPr>
      </w:pPr>
      <w:r>
        <w:rPr>
          <w:color w:val="auto"/>
          <w:kern w:val="0"/>
          <w:szCs w:val="32"/>
        </w:rPr>
        <w:t>2</w:t>
      </w:r>
      <w:r>
        <w:rPr>
          <w:rFonts w:hint="eastAsia"/>
          <w:color w:val="auto"/>
          <w:kern w:val="0"/>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348928B0">
      <w:pPr>
        <w:widowControl/>
        <w:spacing w:line="594" w:lineRule="exact"/>
        <w:ind w:firstLine="640" w:firstLineChars="200"/>
        <w:rPr>
          <w:color w:val="auto"/>
          <w:kern w:val="0"/>
          <w:szCs w:val="32"/>
        </w:rPr>
      </w:pPr>
      <w:r>
        <w:rPr>
          <w:color w:val="auto"/>
          <w:kern w:val="0"/>
          <w:szCs w:val="32"/>
        </w:rPr>
        <w:t>3</w:t>
      </w:r>
      <w:r>
        <w:rPr>
          <w:rFonts w:hint="eastAsia"/>
          <w:color w:val="auto"/>
          <w:kern w:val="0"/>
          <w:szCs w:val="32"/>
        </w:rPr>
        <w:t>．按照财政支出绩效管理的要求，建立科学的财政资金效益考评体系，牢固树立行政成本意识，不断提高财政资金使用管理的水平和效率。</w:t>
      </w:r>
    </w:p>
    <w:p w14:paraId="2783AD4C">
      <w:pPr>
        <w:widowControl/>
        <w:spacing w:line="594" w:lineRule="exact"/>
        <w:ind w:firstLine="640" w:firstLineChars="200"/>
        <w:rPr>
          <w:color w:val="auto"/>
          <w:kern w:val="0"/>
          <w:szCs w:val="32"/>
        </w:rPr>
      </w:pPr>
      <w:r>
        <w:rPr>
          <w:color w:val="auto"/>
          <w:kern w:val="0"/>
          <w:szCs w:val="32"/>
        </w:rPr>
        <w:t>4</w:t>
      </w:r>
      <w:r>
        <w:rPr>
          <w:rFonts w:hint="eastAsia"/>
          <w:color w:val="auto"/>
          <w:kern w:val="0"/>
          <w:szCs w:val="32"/>
        </w:rPr>
        <w:t>．完善绩效评价工作制度，一是逐步建立和完善财政支出绩效评价相关制度。二是加强对乡镇相关业务人员的学习培训，提升业务能力，努力提高相关人员素质，才能真正将预算绩效管理工作落实到位，也才能将每一笔政府支出用在刀刃上，保障项目资金的及时有效拨付。</w:t>
      </w:r>
    </w:p>
    <w:p w14:paraId="71AFF9EA">
      <w:pPr>
        <w:widowControl/>
        <w:spacing w:line="594" w:lineRule="exact"/>
        <w:rPr>
          <w:bCs/>
          <w:color w:val="auto"/>
          <w:kern w:val="0"/>
          <w:szCs w:val="32"/>
        </w:rPr>
      </w:pPr>
    </w:p>
    <w:p w14:paraId="2DD172B8">
      <w:pPr>
        <w:widowControl/>
        <w:spacing w:line="594" w:lineRule="exact"/>
        <w:rPr>
          <w:bCs/>
          <w:color w:val="auto"/>
          <w:kern w:val="0"/>
          <w:szCs w:val="32"/>
        </w:rPr>
      </w:pPr>
    </w:p>
    <w:p w14:paraId="7C40D549">
      <w:pPr>
        <w:widowControl/>
        <w:spacing w:line="594" w:lineRule="exact"/>
        <w:jc w:val="right"/>
        <w:rPr>
          <w:bCs/>
          <w:color w:val="auto"/>
          <w:kern w:val="0"/>
          <w:szCs w:val="32"/>
        </w:rPr>
      </w:pPr>
      <w:r>
        <w:rPr>
          <w:rFonts w:hint="eastAsia"/>
          <w:bCs/>
          <w:color w:val="auto"/>
          <w:kern w:val="0"/>
          <w:szCs w:val="32"/>
        </w:rPr>
        <w:t>桃江</w:t>
      </w:r>
      <w:r>
        <w:rPr>
          <w:rFonts w:hint="eastAsia"/>
          <w:bCs/>
          <w:color w:val="auto"/>
          <w:kern w:val="0"/>
          <w:szCs w:val="32"/>
          <w:lang w:val="en-US" w:eastAsia="zh-CN"/>
        </w:rPr>
        <w:t>牛田镇人民政府</w:t>
      </w:r>
    </w:p>
    <w:p w14:paraId="2B40DC8D">
      <w:pPr>
        <w:widowControl/>
        <w:spacing w:line="594" w:lineRule="exact"/>
        <w:ind w:firstLine="640" w:firstLineChars="200"/>
        <w:jc w:val="right"/>
        <w:rPr>
          <w:bCs/>
          <w:color w:val="auto"/>
          <w:kern w:val="0"/>
          <w:sz w:val="44"/>
          <w:szCs w:val="44"/>
        </w:rPr>
      </w:pPr>
      <w:r>
        <w:rPr>
          <w:rFonts w:hint="default" w:ascii="Times New Roman" w:hAnsi="Times New Roman" w:cs="Times New Roman"/>
          <w:bCs/>
          <w:color w:val="auto"/>
          <w:kern w:val="0"/>
          <w:sz w:val="32"/>
          <w:szCs w:val="32"/>
        </w:rPr>
        <w:t>202</w:t>
      </w:r>
      <w:r>
        <w:rPr>
          <w:rFonts w:hint="eastAsia" w:cs="Times New Roman"/>
          <w:bCs/>
          <w:color w:val="auto"/>
          <w:kern w:val="0"/>
          <w:sz w:val="32"/>
          <w:szCs w:val="32"/>
          <w:lang w:val="en-US" w:eastAsia="zh-CN"/>
        </w:rPr>
        <w:t>5</w:t>
      </w:r>
      <w:r>
        <w:rPr>
          <w:rFonts w:hint="eastAsia"/>
          <w:bCs/>
          <w:color w:val="auto"/>
          <w:kern w:val="0"/>
          <w:szCs w:val="32"/>
        </w:rPr>
        <w:t>年</w:t>
      </w:r>
      <w:r>
        <w:rPr>
          <w:rFonts w:hint="eastAsia"/>
          <w:bCs/>
          <w:color w:val="auto"/>
          <w:kern w:val="0"/>
          <w:szCs w:val="32"/>
          <w:lang w:val="en-US" w:eastAsia="zh-CN"/>
        </w:rPr>
        <w:t>6</w:t>
      </w:r>
      <w:r>
        <w:rPr>
          <w:rFonts w:hint="eastAsia"/>
          <w:bCs/>
          <w:color w:val="auto"/>
          <w:kern w:val="0"/>
          <w:szCs w:val="32"/>
        </w:rPr>
        <w:t>月</w:t>
      </w:r>
      <w:r>
        <w:rPr>
          <w:rFonts w:hint="default" w:ascii="Times New Roman" w:hAnsi="Times New Roman" w:cs="Times New Roman"/>
          <w:bCs/>
          <w:color w:val="auto"/>
          <w:kern w:val="0"/>
          <w:sz w:val="32"/>
          <w:szCs w:val="32"/>
          <w:lang w:val="en-US" w:eastAsia="zh-CN"/>
        </w:rPr>
        <w:t>1</w:t>
      </w:r>
      <w:r>
        <w:rPr>
          <w:rFonts w:hint="eastAsia" w:cs="Times New Roman"/>
          <w:bCs/>
          <w:color w:val="auto"/>
          <w:kern w:val="0"/>
          <w:sz w:val="32"/>
          <w:szCs w:val="32"/>
          <w:lang w:val="en-US" w:eastAsia="zh-CN"/>
        </w:rPr>
        <w:t>6</w:t>
      </w:r>
      <w:r>
        <w:rPr>
          <w:rFonts w:hint="eastAsia"/>
          <w:bCs/>
          <w:color w:val="auto"/>
          <w:kern w:val="0"/>
          <w:szCs w:val="32"/>
        </w:rPr>
        <w:t>日</w:t>
      </w:r>
    </w:p>
    <w:sectPr>
      <w:footerReference r:id="rId3" w:type="default"/>
      <w:pgSz w:w="11906" w:h="16838"/>
      <w:pgMar w:top="1985" w:right="141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24CA">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E35C36">
                          <w:pPr>
                            <w:pStyle w:val="5"/>
                            <w:rPr>
                              <w:sz w:val="21"/>
                              <w:szCs w:val="21"/>
                            </w:rPr>
                          </w:pPr>
                          <w:r>
                            <w:rPr>
                              <w:sz w:val="21"/>
                              <w:szCs w:val="21"/>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rPr>
                              <w:sz w:val="21"/>
                              <w:szCs w:val="21"/>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6E35C36">
                    <w:pPr>
                      <w:pStyle w:val="5"/>
                      <w:rPr>
                        <w:sz w:val="21"/>
                        <w:szCs w:val="21"/>
                      </w:rPr>
                    </w:pPr>
                    <w:r>
                      <w:rPr>
                        <w:sz w:val="21"/>
                        <w:szCs w:val="21"/>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rPr>
                        <w:sz w:val="21"/>
                        <w:szCs w:val="21"/>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768ED"/>
    <w:multiLevelType w:val="singleLevel"/>
    <w:tmpl w:val="E73768ED"/>
    <w:lvl w:ilvl="0" w:tentative="0">
      <w:start w:val="1"/>
      <w:numFmt w:val="decimal"/>
      <w:suff w:val="nothing"/>
      <w:lvlText w:val="%1．"/>
      <w:lvlJc w:val="left"/>
      <w:pPr>
        <w:ind w:left="0" w:firstLine="400"/>
      </w:pPr>
      <w:rPr>
        <w:rFonts w:hint="default"/>
      </w:rPr>
    </w:lvl>
  </w:abstractNum>
  <w:abstractNum w:abstractNumId="1">
    <w:nsid w:val="58FF6A9A"/>
    <w:multiLevelType w:val="singleLevel"/>
    <w:tmpl w:val="58FF6A9A"/>
    <w:lvl w:ilvl="0" w:tentative="0">
      <w:start w:val="6"/>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OTBhMDYyMWE3NWFkYWE0MTg4ZWUyOWE4MWVlY2IifQ=="/>
  </w:docVars>
  <w:rsids>
    <w:rsidRoot w:val="079C0B7C"/>
    <w:rsid w:val="00123ED0"/>
    <w:rsid w:val="00162F28"/>
    <w:rsid w:val="001D323A"/>
    <w:rsid w:val="00280E64"/>
    <w:rsid w:val="002C2D94"/>
    <w:rsid w:val="0031568C"/>
    <w:rsid w:val="003C6385"/>
    <w:rsid w:val="004968EC"/>
    <w:rsid w:val="00592485"/>
    <w:rsid w:val="005C7B7F"/>
    <w:rsid w:val="005D47D6"/>
    <w:rsid w:val="00612116"/>
    <w:rsid w:val="00622400"/>
    <w:rsid w:val="006402AE"/>
    <w:rsid w:val="006B1969"/>
    <w:rsid w:val="006E60ED"/>
    <w:rsid w:val="00725179"/>
    <w:rsid w:val="00790EAD"/>
    <w:rsid w:val="007B2F27"/>
    <w:rsid w:val="007D2074"/>
    <w:rsid w:val="00900B81"/>
    <w:rsid w:val="0091209C"/>
    <w:rsid w:val="009F4D32"/>
    <w:rsid w:val="00A81E4D"/>
    <w:rsid w:val="00AA0041"/>
    <w:rsid w:val="00BA6A56"/>
    <w:rsid w:val="00BC7272"/>
    <w:rsid w:val="00BD5047"/>
    <w:rsid w:val="00C67CE6"/>
    <w:rsid w:val="00D01670"/>
    <w:rsid w:val="00DA21CC"/>
    <w:rsid w:val="00E45621"/>
    <w:rsid w:val="00E909F5"/>
    <w:rsid w:val="011B2068"/>
    <w:rsid w:val="0121759B"/>
    <w:rsid w:val="013B36B9"/>
    <w:rsid w:val="018F4641"/>
    <w:rsid w:val="01DA6F12"/>
    <w:rsid w:val="01DC20BA"/>
    <w:rsid w:val="02290B28"/>
    <w:rsid w:val="027066A3"/>
    <w:rsid w:val="02C411DA"/>
    <w:rsid w:val="030F18FB"/>
    <w:rsid w:val="03807FCB"/>
    <w:rsid w:val="03821717"/>
    <w:rsid w:val="03884228"/>
    <w:rsid w:val="03E72F44"/>
    <w:rsid w:val="04A51C56"/>
    <w:rsid w:val="05086350"/>
    <w:rsid w:val="05683530"/>
    <w:rsid w:val="05843D5D"/>
    <w:rsid w:val="05982AFF"/>
    <w:rsid w:val="05994534"/>
    <w:rsid w:val="05CE55FF"/>
    <w:rsid w:val="05EA09A0"/>
    <w:rsid w:val="0677667E"/>
    <w:rsid w:val="067B56CC"/>
    <w:rsid w:val="068B0E7E"/>
    <w:rsid w:val="06AC2D34"/>
    <w:rsid w:val="074E53C6"/>
    <w:rsid w:val="077458FA"/>
    <w:rsid w:val="079C0B7C"/>
    <w:rsid w:val="07B91EEF"/>
    <w:rsid w:val="08620FB6"/>
    <w:rsid w:val="087C518B"/>
    <w:rsid w:val="088D4A62"/>
    <w:rsid w:val="0A2B211E"/>
    <w:rsid w:val="0A76610D"/>
    <w:rsid w:val="0AE83E3E"/>
    <w:rsid w:val="0B326950"/>
    <w:rsid w:val="0BB258B2"/>
    <w:rsid w:val="0BBD27E5"/>
    <w:rsid w:val="0BCD4D32"/>
    <w:rsid w:val="0C312760"/>
    <w:rsid w:val="0C7A58BD"/>
    <w:rsid w:val="0CFB27F6"/>
    <w:rsid w:val="0DD67637"/>
    <w:rsid w:val="0E0760A7"/>
    <w:rsid w:val="0E2B4E2E"/>
    <w:rsid w:val="0E5709A7"/>
    <w:rsid w:val="0E612645"/>
    <w:rsid w:val="0F436924"/>
    <w:rsid w:val="0F446D3E"/>
    <w:rsid w:val="0F930914"/>
    <w:rsid w:val="0F996AE3"/>
    <w:rsid w:val="104A3CE5"/>
    <w:rsid w:val="10695A93"/>
    <w:rsid w:val="10CE0AC6"/>
    <w:rsid w:val="10D96B9B"/>
    <w:rsid w:val="112B2AB4"/>
    <w:rsid w:val="11926681"/>
    <w:rsid w:val="11B95DA0"/>
    <w:rsid w:val="11E17347"/>
    <w:rsid w:val="126B1937"/>
    <w:rsid w:val="12A06A9C"/>
    <w:rsid w:val="13A342A9"/>
    <w:rsid w:val="13D82151"/>
    <w:rsid w:val="13DF31BD"/>
    <w:rsid w:val="14027684"/>
    <w:rsid w:val="146F2716"/>
    <w:rsid w:val="149F3CA7"/>
    <w:rsid w:val="15256609"/>
    <w:rsid w:val="15686E53"/>
    <w:rsid w:val="15892B92"/>
    <w:rsid w:val="15A24D78"/>
    <w:rsid w:val="15C145EC"/>
    <w:rsid w:val="16260227"/>
    <w:rsid w:val="167A277B"/>
    <w:rsid w:val="16E26746"/>
    <w:rsid w:val="16F74690"/>
    <w:rsid w:val="17235475"/>
    <w:rsid w:val="17BC5FC1"/>
    <w:rsid w:val="18DA46B0"/>
    <w:rsid w:val="18FA70C2"/>
    <w:rsid w:val="19153696"/>
    <w:rsid w:val="196A2B50"/>
    <w:rsid w:val="1986688E"/>
    <w:rsid w:val="198E30B6"/>
    <w:rsid w:val="199C732A"/>
    <w:rsid w:val="19D775F0"/>
    <w:rsid w:val="1A2D60B0"/>
    <w:rsid w:val="1A3C63D0"/>
    <w:rsid w:val="1A6B0C34"/>
    <w:rsid w:val="1AB55B49"/>
    <w:rsid w:val="1B253059"/>
    <w:rsid w:val="1B280B3C"/>
    <w:rsid w:val="1BF752FE"/>
    <w:rsid w:val="1CCD5F18"/>
    <w:rsid w:val="1CFA56DC"/>
    <w:rsid w:val="1CFA7EE2"/>
    <w:rsid w:val="1D554C6A"/>
    <w:rsid w:val="1DAF5746"/>
    <w:rsid w:val="1E0A2EF5"/>
    <w:rsid w:val="1E290C93"/>
    <w:rsid w:val="1E3624E1"/>
    <w:rsid w:val="1E3A4E59"/>
    <w:rsid w:val="1E9C2C5B"/>
    <w:rsid w:val="1EEF2741"/>
    <w:rsid w:val="1F0254AE"/>
    <w:rsid w:val="1F2064A0"/>
    <w:rsid w:val="1F5C6B73"/>
    <w:rsid w:val="1FB507FA"/>
    <w:rsid w:val="1FC731C3"/>
    <w:rsid w:val="1FF418E9"/>
    <w:rsid w:val="1FF66FBA"/>
    <w:rsid w:val="20623305"/>
    <w:rsid w:val="20B42131"/>
    <w:rsid w:val="2133656B"/>
    <w:rsid w:val="216D2640"/>
    <w:rsid w:val="217B6FE3"/>
    <w:rsid w:val="22241EA3"/>
    <w:rsid w:val="2240102C"/>
    <w:rsid w:val="22512D95"/>
    <w:rsid w:val="22547E04"/>
    <w:rsid w:val="226072D7"/>
    <w:rsid w:val="22A35376"/>
    <w:rsid w:val="22CE31E0"/>
    <w:rsid w:val="231328A5"/>
    <w:rsid w:val="23491B07"/>
    <w:rsid w:val="236E46B4"/>
    <w:rsid w:val="23D26859"/>
    <w:rsid w:val="23FB7DB9"/>
    <w:rsid w:val="242F579E"/>
    <w:rsid w:val="24EB56C0"/>
    <w:rsid w:val="252F2CD1"/>
    <w:rsid w:val="25AB358D"/>
    <w:rsid w:val="25CE33A4"/>
    <w:rsid w:val="25E525A3"/>
    <w:rsid w:val="26761F45"/>
    <w:rsid w:val="26B43527"/>
    <w:rsid w:val="282976EC"/>
    <w:rsid w:val="290C4AD0"/>
    <w:rsid w:val="29B66227"/>
    <w:rsid w:val="29C431CE"/>
    <w:rsid w:val="2A9E6650"/>
    <w:rsid w:val="2AC23B49"/>
    <w:rsid w:val="2B0C15A9"/>
    <w:rsid w:val="2BC410D0"/>
    <w:rsid w:val="2CF52791"/>
    <w:rsid w:val="2D0350D3"/>
    <w:rsid w:val="2D611338"/>
    <w:rsid w:val="2DBF0622"/>
    <w:rsid w:val="2E030410"/>
    <w:rsid w:val="2ECB1F40"/>
    <w:rsid w:val="2F2A1D81"/>
    <w:rsid w:val="2F487132"/>
    <w:rsid w:val="30075091"/>
    <w:rsid w:val="30601AAB"/>
    <w:rsid w:val="31486A37"/>
    <w:rsid w:val="314C3C6F"/>
    <w:rsid w:val="314F79C9"/>
    <w:rsid w:val="319008CC"/>
    <w:rsid w:val="3215648D"/>
    <w:rsid w:val="327515E3"/>
    <w:rsid w:val="32BF6EBB"/>
    <w:rsid w:val="337863B0"/>
    <w:rsid w:val="33910B65"/>
    <w:rsid w:val="33A81C4F"/>
    <w:rsid w:val="341C1ACE"/>
    <w:rsid w:val="344774BB"/>
    <w:rsid w:val="35617E1A"/>
    <w:rsid w:val="360D1447"/>
    <w:rsid w:val="36350933"/>
    <w:rsid w:val="36BF119B"/>
    <w:rsid w:val="379600FD"/>
    <w:rsid w:val="37977B68"/>
    <w:rsid w:val="37F97BEE"/>
    <w:rsid w:val="381B0BC7"/>
    <w:rsid w:val="386877B1"/>
    <w:rsid w:val="39050547"/>
    <w:rsid w:val="39DD0A55"/>
    <w:rsid w:val="3A0507DA"/>
    <w:rsid w:val="3A2414BA"/>
    <w:rsid w:val="3AE3271A"/>
    <w:rsid w:val="3B425C51"/>
    <w:rsid w:val="3B485D50"/>
    <w:rsid w:val="3B5F7935"/>
    <w:rsid w:val="3B8A53BF"/>
    <w:rsid w:val="3B8A56C6"/>
    <w:rsid w:val="3BF62D64"/>
    <w:rsid w:val="3C7938BA"/>
    <w:rsid w:val="3C9F7AAD"/>
    <w:rsid w:val="3CD210F7"/>
    <w:rsid w:val="3CDF17C5"/>
    <w:rsid w:val="3CEE6EBF"/>
    <w:rsid w:val="3D3949E8"/>
    <w:rsid w:val="3D396C69"/>
    <w:rsid w:val="3DD60EEE"/>
    <w:rsid w:val="3E0B7EAE"/>
    <w:rsid w:val="3E32446F"/>
    <w:rsid w:val="3E4D0197"/>
    <w:rsid w:val="3EF421E4"/>
    <w:rsid w:val="3F774ED6"/>
    <w:rsid w:val="3FA117A6"/>
    <w:rsid w:val="41357970"/>
    <w:rsid w:val="41EE4F55"/>
    <w:rsid w:val="42B519E6"/>
    <w:rsid w:val="42EF2175"/>
    <w:rsid w:val="42FB01E3"/>
    <w:rsid w:val="434E41D4"/>
    <w:rsid w:val="43527CAF"/>
    <w:rsid w:val="43624601"/>
    <w:rsid w:val="43B84890"/>
    <w:rsid w:val="43B855F6"/>
    <w:rsid w:val="43D60DA8"/>
    <w:rsid w:val="43F04A2B"/>
    <w:rsid w:val="4402207E"/>
    <w:rsid w:val="44044C43"/>
    <w:rsid w:val="44A86006"/>
    <w:rsid w:val="44DB57CD"/>
    <w:rsid w:val="45227CA5"/>
    <w:rsid w:val="452977BF"/>
    <w:rsid w:val="453F357B"/>
    <w:rsid w:val="455351D0"/>
    <w:rsid w:val="456234C2"/>
    <w:rsid w:val="45654937"/>
    <w:rsid w:val="456F0816"/>
    <w:rsid w:val="45D85DAE"/>
    <w:rsid w:val="45FC3986"/>
    <w:rsid w:val="466375EB"/>
    <w:rsid w:val="46EA7F3E"/>
    <w:rsid w:val="47183535"/>
    <w:rsid w:val="479047FE"/>
    <w:rsid w:val="48442D21"/>
    <w:rsid w:val="48F4313A"/>
    <w:rsid w:val="490C3A99"/>
    <w:rsid w:val="49580C3D"/>
    <w:rsid w:val="49731B53"/>
    <w:rsid w:val="49DE4F99"/>
    <w:rsid w:val="4B0917F4"/>
    <w:rsid w:val="4B1E556E"/>
    <w:rsid w:val="4B7A46A4"/>
    <w:rsid w:val="4BE24773"/>
    <w:rsid w:val="4BF80EEB"/>
    <w:rsid w:val="4CAE741A"/>
    <w:rsid w:val="4CBE70DF"/>
    <w:rsid w:val="4CE90FE9"/>
    <w:rsid w:val="4D700FB9"/>
    <w:rsid w:val="4D7F54B3"/>
    <w:rsid w:val="4E841CA9"/>
    <w:rsid w:val="4E934C01"/>
    <w:rsid w:val="4F0D33EC"/>
    <w:rsid w:val="4F317529"/>
    <w:rsid w:val="4F3E78FF"/>
    <w:rsid w:val="4F976C9D"/>
    <w:rsid w:val="4FE56C94"/>
    <w:rsid w:val="500F3BE6"/>
    <w:rsid w:val="501066F5"/>
    <w:rsid w:val="50F80058"/>
    <w:rsid w:val="510245B1"/>
    <w:rsid w:val="515F6F1F"/>
    <w:rsid w:val="519B21D0"/>
    <w:rsid w:val="51AF23C2"/>
    <w:rsid w:val="51D61D2F"/>
    <w:rsid w:val="5213031F"/>
    <w:rsid w:val="533640E7"/>
    <w:rsid w:val="53527739"/>
    <w:rsid w:val="53565FF8"/>
    <w:rsid w:val="53B662E7"/>
    <w:rsid w:val="53CD2CE7"/>
    <w:rsid w:val="54781361"/>
    <w:rsid w:val="54822B8B"/>
    <w:rsid w:val="54C801B2"/>
    <w:rsid w:val="554D49A2"/>
    <w:rsid w:val="55F33A94"/>
    <w:rsid w:val="5609334C"/>
    <w:rsid w:val="564A6100"/>
    <w:rsid w:val="565E0795"/>
    <w:rsid w:val="56621ECC"/>
    <w:rsid w:val="57492024"/>
    <w:rsid w:val="575A3A5B"/>
    <w:rsid w:val="578504E7"/>
    <w:rsid w:val="57984F1C"/>
    <w:rsid w:val="57B43CB1"/>
    <w:rsid w:val="57C119C4"/>
    <w:rsid w:val="58314588"/>
    <w:rsid w:val="58AA61E0"/>
    <w:rsid w:val="59046675"/>
    <w:rsid w:val="596E2AC7"/>
    <w:rsid w:val="59701DDA"/>
    <w:rsid w:val="59900759"/>
    <w:rsid w:val="59AC0B58"/>
    <w:rsid w:val="59DA452D"/>
    <w:rsid w:val="5A4A559B"/>
    <w:rsid w:val="5ADE7B1C"/>
    <w:rsid w:val="5B0844E0"/>
    <w:rsid w:val="5BF90080"/>
    <w:rsid w:val="5C096BE7"/>
    <w:rsid w:val="5C2412FE"/>
    <w:rsid w:val="5C3D3D74"/>
    <w:rsid w:val="5C9A5961"/>
    <w:rsid w:val="5D030C08"/>
    <w:rsid w:val="5DD306F1"/>
    <w:rsid w:val="5E1366E8"/>
    <w:rsid w:val="5E407B2D"/>
    <w:rsid w:val="5E850C78"/>
    <w:rsid w:val="5ECE43A0"/>
    <w:rsid w:val="5F181BBC"/>
    <w:rsid w:val="5F1A22A2"/>
    <w:rsid w:val="5F7773CC"/>
    <w:rsid w:val="5F8A46F0"/>
    <w:rsid w:val="5F980447"/>
    <w:rsid w:val="5F9F7ABB"/>
    <w:rsid w:val="5FF749BD"/>
    <w:rsid w:val="60186FE5"/>
    <w:rsid w:val="605E5ABB"/>
    <w:rsid w:val="60754B6A"/>
    <w:rsid w:val="61533D19"/>
    <w:rsid w:val="61CD5DAB"/>
    <w:rsid w:val="62381635"/>
    <w:rsid w:val="624657F7"/>
    <w:rsid w:val="626A6D57"/>
    <w:rsid w:val="63374A98"/>
    <w:rsid w:val="637B2BE3"/>
    <w:rsid w:val="63B94DEF"/>
    <w:rsid w:val="63BF5459"/>
    <w:rsid w:val="64BC5170"/>
    <w:rsid w:val="64CA379A"/>
    <w:rsid w:val="65232FAA"/>
    <w:rsid w:val="65561E71"/>
    <w:rsid w:val="65563C60"/>
    <w:rsid w:val="65E4340B"/>
    <w:rsid w:val="65F057A5"/>
    <w:rsid w:val="66297C79"/>
    <w:rsid w:val="66320674"/>
    <w:rsid w:val="663E6E9A"/>
    <w:rsid w:val="66AF421E"/>
    <w:rsid w:val="66FD224A"/>
    <w:rsid w:val="670635FA"/>
    <w:rsid w:val="67197704"/>
    <w:rsid w:val="67BD0E7C"/>
    <w:rsid w:val="67C90AA4"/>
    <w:rsid w:val="681F02DD"/>
    <w:rsid w:val="6962155D"/>
    <w:rsid w:val="69B97A1E"/>
    <w:rsid w:val="69FD7CAB"/>
    <w:rsid w:val="6A023B93"/>
    <w:rsid w:val="6A892956"/>
    <w:rsid w:val="6A895B0A"/>
    <w:rsid w:val="6B274A2E"/>
    <w:rsid w:val="6B334227"/>
    <w:rsid w:val="6B4A03D7"/>
    <w:rsid w:val="6B9134EB"/>
    <w:rsid w:val="6C577FDA"/>
    <w:rsid w:val="6C9B28FB"/>
    <w:rsid w:val="6CA02565"/>
    <w:rsid w:val="6CB2167C"/>
    <w:rsid w:val="6CC7340F"/>
    <w:rsid w:val="6CD0732B"/>
    <w:rsid w:val="6D535020"/>
    <w:rsid w:val="6D730843"/>
    <w:rsid w:val="6DAB0AE5"/>
    <w:rsid w:val="6DC204C1"/>
    <w:rsid w:val="6DD036A4"/>
    <w:rsid w:val="6E025603"/>
    <w:rsid w:val="6E0571B5"/>
    <w:rsid w:val="6E856760"/>
    <w:rsid w:val="6F080D15"/>
    <w:rsid w:val="6F1600E5"/>
    <w:rsid w:val="6FDD4CB3"/>
    <w:rsid w:val="700A1D1E"/>
    <w:rsid w:val="70C85717"/>
    <w:rsid w:val="713F14AF"/>
    <w:rsid w:val="71516DE1"/>
    <w:rsid w:val="719E6C19"/>
    <w:rsid w:val="71C87A8A"/>
    <w:rsid w:val="71D73F8A"/>
    <w:rsid w:val="721016FE"/>
    <w:rsid w:val="72751351"/>
    <w:rsid w:val="72DA5670"/>
    <w:rsid w:val="72EC7BB7"/>
    <w:rsid w:val="72F11B8E"/>
    <w:rsid w:val="738A5DD3"/>
    <w:rsid w:val="73E21909"/>
    <w:rsid w:val="74202765"/>
    <w:rsid w:val="74B54D55"/>
    <w:rsid w:val="75111A02"/>
    <w:rsid w:val="759258B2"/>
    <w:rsid w:val="75CB1157"/>
    <w:rsid w:val="76274433"/>
    <w:rsid w:val="76B2146E"/>
    <w:rsid w:val="76D439AC"/>
    <w:rsid w:val="779C728A"/>
    <w:rsid w:val="77A54957"/>
    <w:rsid w:val="77D4759D"/>
    <w:rsid w:val="77EF419A"/>
    <w:rsid w:val="787D6FE7"/>
    <w:rsid w:val="78923CC7"/>
    <w:rsid w:val="78F21E16"/>
    <w:rsid w:val="78FB002B"/>
    <w:rsid w:val="7AFA2799"/>
    <w:rsid w:val="7AFB1571"/>
    <w:rsid w:val="7B0A2D9A"/>
    <w:rsid w:val="7B3D06F8"/>
    <w:rsid w:val="7B9D6ACE"/>
    <w:rsid w:val="7C460935"/>
    <w:rsid w:val="7C5508EE"/>
    <w:rsid w:val="7D322548"/>
    <w:rsid w:val="7D867457"/>
    <w:rsid w:val="7DBE3E90"/>
    <w:rsid w:val="7DC80A3D"/>
    <w:rsid w:val="7E0A455C"/>
    <w:rsid w:val="7E6663E0"/>
    <w:rsid w:val="7E68662D"/>
    <w:rsid w:val="7EAE5C4E"/>
    <w:rsid w:val="7F0F440E"/>
    <w:rsid w:val="7FAB5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qFormat/>
    <w:uiPriority w:val="99"/>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afterLines="0" w:afterAutospacing="0"/>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locked/>
    <w:uiPriority w:val="99"/>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w:basedOn w:val="3"/>
    <w:unhideWhenUsed/>
    <w:qFormat/>
    <w:uiPriority w:val="99"/>
    <w:pPr>
      <w:ind w:firstLine="420" w:firstLineChars="100"/>
    </w:pPr>
  </w:style>
  <w:style w:type="paragraph" w:styleId="10">
    <w:name w:val="Body Text First Indent 2"/>
    <w:basedOn w:val="4"/>
    <w:qFormat/>
    <w:uiPriority w:val="0"/>
    <w:pPr>
      <w:keepNext w:val="0"/>
      <w:keepLines w:val="0"/>
      <w:widowControl w:val="0"/>
      <w:suppressLineNumbers w:val="0"/>
      <w:tabs>
        <w:tab w:val="left" w:pos="630"/>
      </w:tabs>
      <w:adjustRightInd w:val="0"/>
      <w:snapToGrid w:val="0"/>
      <w:spacing w:before="0" w:beforeAutospacing="0" w:after="0" w:afterAutospacing="0" w:line="360" w:lineRule="auto"/>
      <w:ind w:left="0" w:right="0" w:firstLine="420" w:firstLineChars="200"/>
      <w:jc w:val="both"/>
    </w:pPr>
    <w:rPr>
      <w:rFonts w:hint="default" w:ascii="Times New Roman" w:hAnsi="Times New Roman" w:eastAsia="仿宋_GB2312" w:cs="Times New Roman"/>
      <w:kern w:val="0"/>
      <w:sz w:val="24"/>
      <w:szCs w:val="24"/>
      <w:lang w:val="en-US" w:eastAsia="zh-CN" w:bidi="ar"/>
    </w:rPr>
  </w:style>
  <w:style w:type="character" w:styleId="13">
    <w:name w:val="page number"/>
    <w:basedOn w:val="12"/>
    <w:qFormat/>
    <w:uiPriority w:val="99"/>
    <w:rPr>
      <w:rFonts w:cs="Times New Roman"/>
    </w:rPr>
  </w:style>
  <w:style w:type="character" w:customStyle="1" w:styleId="14">
    <w:name w:val="Footer Char"/>
    <w:basedOn w:val="12"/>
    <w:link w:val="5"/>
    <w:semiHidden/>
    <w:qFormat/>
    <w:locked/>
    <w:uiPriority w:val="99"/>
    <w:rPr>
      <w:rFonts w:eastAsia="仿宋_GB2312" w:cs="Times New Roman"/>
      <w:sz w:val="18"/>
      <w:szCs w:val="18"/>
    </w:rPr>
  </w:style>
  <w:style w:type="character" w:customStyle="1" w:styleId="15">
    <w:name w:val="Header Char"/>
    <w:basedOn w:val="12"/>
    <w:link w:val="6"/>
    <w:semiHidden/>
    <w:qFormat/>
    <w:locked/>
    <w:uiPriority w:val="99"/>
    <w:rPr>
      <w:rFonts w:eastAsia="仿宋_GB2312" w:cs="Times New Roman"/>
      <w:sz w:val="18"/>
      <w:szCs w:val="18"/>
    </w:rPr>
  </w:style>
  <w:style w:type="paragraph" w:customStyle="1" w:styleId="16">
    <w:name w:val="无间隔1"/>
    <w:basedOn w:val="9"/>
    <w:next w:val="1"/>
    <w:qFormat/>
    <w:uiPriority w:val="99"/>
    <w:rPr>
      <w:rFonts w:ascii="Calibri" w:hAnsi="Calibri"/>
      <w:sz w:val="21"/>
      <w:szCs w:val="21"/>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P R C</Company>
  <Pages>8</Pages>
  <Words>1384</Words>
  <Characters>1489</Characters>
  <Lines>0</Lines>
  <Paragraphs>0</Paragraphs>
  <TotalTime>1</TotalTime>
  <ScaleCrop>false</ScaleCrop>
  <LinksUpToDate>false</LinksUpToDate>
  <CharactersWithSpaces>1499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2018-08-15T12:53:00Z</dcterms:created>
  <dc:creator>Sylvia</dc:creator>
  <cp:lastModifiedBy>:D</cp:lastModifiedBy>
  <cp:lastPrinted>2019-05-07T00:45:00Z</cp:lastPrinted>
  <dcterms:modified xsi:type="dcterms:W3CDTF">2025-11-14T06:58:59Z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5E89602A510D45D3A5BC22A0F20748DF_13</vt:lpwstr>
  </property>
  <property fmtid="{D5CDD505-2E9C-101B-9397-08002B2CF9AE}" pid="4" name="KSOTemplateDocerSaveRecord">
    <vt:lpwstr>eyJoZGlkIjoiOWY2NTQ4NDFmY2NiZDhhYWQ4MTMwNjlhYjE1Y2FiYmIiLCJ1c2VySWQiOiIxMDAzMDYzNjE4In0=</vt:lpwstr>
  </property>
</Properties>
</file>