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附件1</w:t>
      </w:r>
    </w:p>
    <w:p>
      <w:pPr>
        <w:spacing w:line="594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桃江县2024年度部门整体支出绩效评价</w:t>
      </w:r>
    </w:p>
    <w:p>
      <w:pPr>
        <w:spacing w:line="594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基础数据表</w:t>
      </w:r>
    </w:p>
    <w:tbl>
      <w:tblPr>
        <w:tblStyle w:val="6"/>
        <w:tblpPr w:leftFromText="180" w:rightFromText="180" w:vertAnchor="text" w:horzAnchor="page" w:tblpX="1137" w:tblpY="181"/>
        <w:tblOverlap w:val="never"/>
        <w:tblW w:w="95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1180"/>
        <w:gridCol w:w="880"/>
        <w:gridCol w:w="1100"/>
        <w:gridCol w:w="1100"/>
        <w:gridCol w:w="1060"/>
        <w:gridCol w:w="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财政供养人员情况</w:t>
            </w:r>
            <w:r>
              <w:rPr>
                <w:rFonts w:eastAsia="宋体"/>
                <w:kern w:val="0"/>
                <w:sz w:val="21"/>
                <w:szCs w:val="21"/>
              </w:rPr>
              <w:t>（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人</w:t>
            </w:r>
            <w:r>
              <w:rPr>
                <w:rFonts w:eastAsia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2024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840" w:firstLineChars="4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      89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94.68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经费控制情况</w:t>
            </w:r>
            <w:r>
              <w:rPr>
                <w:rFonts w:eastAsia="宋体"/>
                <w:kern w:val="0"/>
                <w:sz w:val="21"/>
                <w:szCs w:val="21"/>
              </w:rPr>
              <w:t>（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万元</w:t>
            </w:r>
            <w:r>
              <w:rPr>
                <w:rFonts w:eastAsia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2023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2024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2024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三公经费：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、公务用车购置和维护经费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4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1050" w:firstLineChars="5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1050" w:firstLineChars="5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</w:t>
            </w: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公车购置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0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1260" w:firstLineChars="6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4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4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  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、出国经费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、公务接待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840" w:firstLineChars="4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18.3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1050" w:firstLineChars="5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项目支出：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、业务工作经费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544.24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3691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、运行维护经费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……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公用经费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165.64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79.36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234.67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64.42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54.26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56.62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1050" w:firstLineChars="5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水费、电费、差旅费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1050" w:firstLineChars="5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会议费、培训费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  <w:ind w:firstLine="720" w:firstLineChars="300"/>
              <w:jc w:val="both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4"/>
                <w:lang w:val="en-US" w:eastAsia="zh-CN"/>
              </w:rPr>
              <w:t>10.68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1195.15</w:t>
            </w: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16.57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部门基本支出预算调整</w:t>
            </w:r>
          </w:p>
        </w:tc>
        <w:tc>
          <w:tcPr>
            <w:tcW w:w="206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944.42</w:t>
            </w:r>
          </w:p>
        </w:tc>
        <w:tc>
          <w:tcPr>
            <w:tcW w:w="2020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1874.79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楼堂馆所控制情况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（2024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年完工项目</w:t>
            </w:r>
            <w:r>
              <w:rPr>
                <w:rFonts w:eastAsia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批复规模</w:t>
            </w:r>
          </w:p>
          <w:p>
            <w:pPr>
              <w:autoSpaceDE w:val="0"/>
              <w:autoSpaceDN w:val="0"/>
              <w:spacing w:before="20"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（m²）</w:t>
            </w:r>
          </w:p>
        </w:tc>
        <w:tc>
          <w:tcPr>
            <w:tcW w:w="88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实际规模</w:t>
            </w:r>
            <w:r>
              <w:rPr>
                <w:rFonts w:eastAsia="宋体"/>
                <w:kern w:val="0"/>
                <w:sz w:val="21"/>
                <w:szCs w:val="21"/>
              </w:rPr>
              <w:t>（m²）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预算投资</w:t>
            </w:r>
            <w:r>
              <w:rPr>
                <w:rFonts w:eastAsia="宋体"/>
                <w:kern w:val="0"/>
                <w:sz w:val="21"/>
                <w:szCs w:val="21"/>
              </w:rPr>
              <w:t>（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万元</w:t>
            </w:r>
            <w:r>
              <w:rPr>
                <w:rFonts w:eastAsia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106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实际投资</w:t>
            </w:r>
          </w:p>
          <w:p>
            <w:pPr>
              <w:autoSpaceDE w:val="0"/>
              <w:autoSpaceDN w:val="0"/>
              <w:spacing w:before="20"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万元</w:t>
            </w:r>
            <w:r>
              <w:rPr>
                <w:rFonts w:eastAsia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28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before="20" w:line="340" w:lineRule="atLeas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说明： “项目支出”需要填报基本支出以外的所有项目支出情况，“公用经费”填报基本支出中的一般商品和服务支出。</w:t>
      </w:r>
    </w:p>
    <w:p>
      <w:pPr>
        <w:pStyle w:val="2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94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附件2</w:t>
      </w:r>
    </w:p>
    <w:p>
      <w:pPr>
        <w:spacing w:line="594" w:lineRule="exact"/>
        <w:jc w:val="center"/>
        <w:rPr>
          <w:rFonts w:hint="eastAsia" w:ascii="方正小标宋简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桃江县2024年度部门整体支出绩效自评表</w:t>
      </w:r>
    </w:p>
    <w:tbl>
      <w:tblPr>
        <w:tblStyle w:val="6"/>
        <w:tblpPr w:leftFromText="180" w:rightFromText="180" w:vertAnchor="text" w:horzAnchor="page" w:tblpX="1140" w:tblpY="111"/>
        <w:tblOverlap w:val="never"/>
        <w:tblW w:w="98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2120"/>
        <w:gridCol w:w="1260"/>
        <w:gridCol w:w="1320"/>
        <w:gridCol w:w="1260"/>
        <w:gridCol w:w="720"/>
        <w:gridCol w:w="86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022" w:type="dxa"/>
            <w:gridSpan w:val="2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县级预算部门、单位名称</w:t>
            </w:r>
          </w:p>
        </w:tc>
        <w:tc>
          <w:tcPr>
            <w:tcW w:w="686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桃江县鸬鹚渡镇人民政府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2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年度预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算申请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1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0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1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1612.47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5571.19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5565.88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0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0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2881.05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1874.79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0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2690.14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3691.09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0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0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0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0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ind w:firstLine="630" w:firstLineChars="3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02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700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0" w:hRule="atLeast"/>
        </w:trPr>
        <w:tc>
          <w:tcPr>
            <w:tcW w:w="902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700" w:type="dxa"/>
            <w:gridSpan w:val="3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、制定和组织实施经济、科技和社会发展计划，制定资源开发技术改造和产业结构调整方案，组织指导好各业生产，搞好商品流通、协调好本乡与外地区的经济交流和合作，抓好招商引资，不断培育市场体系，组织经济运行，促进经济发展。2、制定并组织实施村镇建设规划，部署重点工程建设，地方道路建设及公共设施，水利设施的管理，负责土地、林木、水等自然资源和生态环境的保护、做好护林防火工作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、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4、按计划组织本机财政收入和地方税的征收，完成财政计划，不断培植税源，管好财政资金，增强财政实力。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5、抓好精神文明建设，丰富群众文化生活，提倡移风易俗，反对封建迷信，破除陈规陋习，树立社会主义新风尚。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6、完成上级政府交办的其他事项。</w:t>
            </w:r>
          </w:p>
        </w:tc>
        <w:tc>
          <w:tcPr>
            <w:tcW w:w="42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1、制定和组织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</w:t>
            </w:r>
            <w:r>
              <w:rPr>
                <w:rFonts w:hint="eastAsia" w:eastAsia="宋体"/>
                <w:kern w:val="0"/>
                <w:sz w:val="21"/>
                <w:szCs w:val="21"/>
              </w:rPr>
              <w:t>实施经济、科技和社会发展计划，制定资源开发技术改造和产业结构调整方案，组织指导好各业生产，搞好商品流通、协调好本乡与外地区的经济交流和合作，抓好招商引资，不断培育市场体系，组织经济运行，促进经济发展。2、制定并组织实施村镇建设规划，部署重点工程建设，地方道路建设及公共设施，水利设施的管理，负责土地、林木、水等自然资源和生态环境的保护、做好护林防火工作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3、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4、按计划组织本机财政收入和地方税的征收，完成财政计划，不断培植税源，管好财政资金，增强财政实力。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5、抓好精神文明建设，丰富群众文化生活，提倡移风易俗，反对封建迷信，破除陈规陋习，树立社会主义新风尚。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6、完成上级政府交办的其他事项。</w:t>
            </w:r>
          </w:p>
        </w:tc>
      </w:tr>
    </w:tbl>
    <w:tbl>
      <w:tblPr>
        <w:tblStyle w:val="6"/>
        <w:tblpPr w:leftFromText="180" w:rightFromText="180" w:vertAnchor="text" w:horzAnchor="page" w:tblpX="1110" w:tblpY="9352"/>
        <w:tblOverlap w:val="never"/>
        <w:tblW w:w="99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048"/>
        <w:gridCol w:w="1323"/>
        <w:gridCol w:w="1223"/>
        <w:gridCol w:w="1281"/>
        <w:gridCol w:w="1223"/>
        <w:gridCol w:w="699"/>
        <w:gridCol w:w="834"/>
        <w:gridCol w:w="13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951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04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（50分）</w:t>
            </w:r>
          </w:p>
        </w:tc>
        <w:tc>
          <w:tcPr>
            <w:tcW w:w="132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综合治理区域内的村（社区）数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重点项目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鸬板公路建设、牛鸬线、鸬鹚渡镇大桥建设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鸬板公路建设、牛鸬线、鸬鹚渡镇大桥建设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思源黑体" w:hAnsi="思源黑体" w:eastAsia="思源黑体" w:cs="思源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灾害防治、森林防火、防溺水、安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全生产等宣传到位村（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社区）数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每个村（社区）宣传到位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每个村（社区）宣传到位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项目验收合格率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税收任务完成率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240" w:lineRule="auto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tabs>
                <w:tab w:val="center" w:pos="628"/>
              </w:tabs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完成时间或者执行段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全年预算支出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5565.88万元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5565.88万元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效益指标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kern w:val="0"/>
                <w:sz w:val="21"/>
                <w:szCs w:val="21"/>
              </w:rPr>
              <w:t>0分）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经济效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带动鸬鹚渡镇经济增长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</w:rPr>
              <w:t>带动镇区基础设施建设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带动鸬鹚渡镇生态发展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10个村、2个社区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可持续影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响指标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可持续影响年度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</w:trPr>
        <w:tc>
          <w:tcPr>
            <w:tcW w:w="951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服务对象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服务对象满意程度</w:t>
            </w:r>
          </w:p>
        </w:tc>
        <w:tc>
          <w:tcPr>
            <w:tcW w:w="1281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23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99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04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34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before="20" w:line="340" w:lineRule="atLeast"/>
        <w:jc w:val="center"/>
        <w:rPr>
          <w:rFonts w:eastAsia="宋体"/>
          <w:kern w:val="0"/>
          <w:sz w:val="21"/>
          <w:szCs w:val="21"/>
        </w:rPr>
        <w:sectPr>
          <w:pgSz w:w="11907" w:h="16840"/>
          <w:pgMar w:top="1814" w:right="1361" w:bottom="1644" w:left="1588" w:header="851" w:footer="1304" w:gutter="0"/>
          <w:cols w:space="720" w:num="1"/>
          <w:docGrid w:linePitch="534" w:charSpace="704"/>
        </w:sect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hint="eastAsia" w:hAnsi="宋体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2025.03.25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01" w:wrap="around" w:vAnchor="text" w:hAnchor="margin" w:xAlign="outside" w:y="1"/>
      <w:jc w:val="center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5"/>
        <w:rFonts w:hint="eastAsia"/>
        <w:sz w:val="28"/>
        <w:szCs w:val="28"/>
      </w:rPr>
      <w:t>—</w:t>
    </w:r>
  </w:p>
  <w:p>
    <w:pPr>
      <w:pStyle w:val="3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17F54"/>
    <w:rsid w:val="02EA78C3"/>
    <w:rsid w:val="07F24777"/>
    <w:rsid w:val="09CB545A"/>
    <w:rsid w:val="1D745F6C"/>
    <w:rsid w:val="21EA1C91"/>
    <w:rsid w:val="28BA45B1"/>
    <w:rsid w:val="2A992208"/>
    <w:rsid w:val="2C3D00EB"/>
    <w:rsid w:val="2EFC20ED"/>
    <w:rsid w:val="2F7C351E"/>
    <w:rsid w:val="33357281"/>
    <w:rsid w:val="3C3E41C2"/>
    <w:rsid w:val="3F4A0242"/>
    <w:rsid w:val="40D3543C"/>
    <w:rsid w:val="41304CAC"/>
    <w:rsid w:val="4ACD66E9"/>
    <w:rsid w:val="4BD83738"/>
    <w:rsid w:val="4D634754"/>
    <w:rsid w:val="52201D75"/>
    <w:rsid w:val="54E80D5E"/>
    <w:rsid w:val="5FCC73F0"/>
    <w:rsid w:val="601801F2"/>
    <w:rsid w:val="63EE5301"/>
    <w:rsid w:val="679812F5"/>
    <w:rsid w:val="70817F54"/>
    <w:rsid w:val="7E96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2025-03-25T01:42:00Z</dcterms:created>
  <dc:creator>Administrator</dc:creator>
  <cp:lastModifiedBy>Administrator</cp:lastModifiedBy>
  <cp:lastPrinted>2025-04-17T06:56:01Z</cp:lastPrinted>
  <dcterms:modified xsi:type="dcterms:W3CDTF">2025-04-17T08:48:04Z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