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C256E">
      <w:pPr>
        <w:jc w:val="center"/>
        <w:rPr>
          <w:rFonts w:ascii="方正小标宋简体" w:eastAsia="方正小标宋简体"/>
          <w:sz w:val="72"/>
          <w:szCs w:val="72"/>
        </w:rPr>
      </w:pPr>
    </w:p>
    <w:p w14:paraId="6D63F566">
      <w:pPr>
        <w:jc w:val="center"/>
        <w:rPr>
          <w:rFonts w:ascii="方正小标宋简体" w:eastAsia="方正小标宋简体"/>
          <w:sz w:val="72"/>
          <w:szCs w:val="72"/>
        </w:rPr>
      </w:pPr>
    </w:p>
    <w:p w14:paraId="079E0661">
      <w:pPr>
        <w:jc w:val="center"/>
        <w:rPr>
          <w:rFonts w:ascii="方正小标宋简体" w:eastAsia="方正小标宋简体"/>
          <w:sz w:val="72"/>
          <w:szCs w:val="72"/>
        </w:rPr>
      </w:pPr>
    </w:p>
    <w:p w14:paraId="4BC2E69B">
      <w:pPr>
        <w:jc w:val="center"/>
        <w:rPr>
          <w:rFonts w:ascii="方正小标宋简体" w:eastAsia="方正小标宋简体"/>
          <w:sz w:val="72"/>
          <w:szCs w:val="72"/>
        </w:rPr>
      </w:pPr>
      <w:r>
        <w:rPr>
          <w:rFonts w:hint="eastAsia" w:ascii="方正小标宋简体" w:eastAsia="方正小标宋简体"/>
          <w:sz w:val="72"/>
          <w:szCs w:val="72"/>
        </w:rPr>
        <w:t>桃江县投资促进服务中心</w:t>
      </w:r>
    </w:p>
    <w:p w14:paraId="4AB8854A">
      <w:pPr>
        <w:jc w:val="center"/>
        <w:rPr>
          <w:rFonts w:ascii="方正小标宋简体" w:eastAsia="方正小标宋简体"/>
          <w:sz w:val="72"/>
          <w:szCs w:val="72"/>
        </w:rPr>
      </w:pPr>
      <w:r>
        <w:rPr>
          <w:rFonts w:hint="eastAsia" w:ascii="方正小标宋简体" w:eastAsia="方正小标宋简体"/>
          <w:sz w:val="72"/>
          <w:szCs w:val="72"/>
        </w:rPr>
        <w:t>202</w:t>
      </w:r>
      <w:r>
        <w:rPr>
          <w:rFonts w:hint="eastAsia" w:ascii="方正小标宋简体" w:eastAsia="方正小标宋简体"/>
          <w:sz w:val="72"/>
          <w:szCs w:val="72"/>
          <w:lang w:val="en-US" w:eastAsia="zh-CN"/>
        </w:rPr>
        <w:t>4</w:t>
      </w:r>
      <w:r>
        <w:rPr>
          <w:rFonts w:hint="eastAsia" w:ascii="方正小标宋简体" w:eastAsia="方正小标宋简体"/>
          <w:sz w:val="72"/>
          <w:szCs w:val="72"/>
        </w:rPr>
        <w:t>年专项支出（招商引资）绩效自评报告</w:t>
      </w:r>
    </w:p>
    <w:p w14:paraId="3C7F3BC3">
      <w:pPr>
        <w:jc w:val="center"/>
        <w:rPr>
          <w:rFonts w:ascii="黑体" w:hAnsi="黑体" w:eastAsia="黑体"/>
          <w:sz w:val="44"/>
          <w:szCs w:val="44"/>
        </w:rPr>
      </w:pPr>
      <w:r>
        <w:rPr>
          <w:rFonts w:ascii="黑体" w:hAnsi="黑体" w:eastAsia="黑体"/>
          <w:b/>
          <w:sz w:val="72"/>
          <w:szCs w:val="72"/>
        </w:rPr>
        <w:br w:type="page"/>
      </w:r>
      <w:r>
        <w:rPr>
          <w:rFonts w:hint="eastAsia" w:ascii="黑体" w:hAnsi="黑体" w:eastAsia="黑体"/>
          <w:sz w:val="44"/>
          <w:szCs w:val="44"/>
        </w:rPr>
        <w:t>目  录</w:t>
      </w:r>
    </w:p>
    <w:p w14:paraId="56AA1F4B">
      <w:pPr>
        <w:rPr>
          <w:rFonts w:ascii="黑体" w:hAnsi="黑体" w:eastAsia="黑体"/>
          <w:b/>
          <w:szCs w:val="32"/>
        </w:rPr>
      </w:pPr>
    </w:p>
    <w:p w14:paraId="05361166">
      <w:pPr>
        <w:spacing w:line="580" w:lineRule="exact"/>
        <w:ind w:firstLine="640" w:firstLineChars="200"/>
        <w:rPr>
          <w:rFonts w:ascii="黑体" w:hAnsi="宋体" w:eastAsia="黑体"/>
          <w:b/>
          <w:bCs/>
          <w:szCs w:val="32"/>
        </w:rPr>
      </w:pPr>
      <w:r>
        <w:rPr>
          <w:rFonts w:hint="eastAsia" w:ascii="黑体" w:hAnsi="宋体" w:eastAsia="黑体"/>
          <w:szCs w:val="32"/>
        </w:rPr>
        <w:t>一、项目概况</w:t>
      </w:r>
    </w:p>
    <w:p w14:paraId="1E3D5B08">
      <w:pPr>
        <w:spacing w:line="580" w:lineRule="exact"/>
        <w:ind w:firstLine="640" w:firstLineChars="200"/>
        <w:rPr>
          <w:rFonts w:ascii="仿宋_GB2312"/>
          <w:szCs w:val="32"/>
        </w:rPr>
      </w:pPr>
      <w:r>
        <w:rPr>
          <w:rFonts w:hint="eastAsia" w:ascii="仿宋_GB2312"/>
          <w:szCs w:val="32"/>
        </w:rPr>
        <w:t>（一）项目单位基本情况</w:t>
      </w:r>
    </w:p>
    <w:p w14:paraId="7A5ED71F">
      <w:pPr>
        <w:spacing w:line="580" w:lineRule="exact"/>
        <w:ind w:firstLine="480" w:firstLineChars="150"/>
        <w:rPr>
          <w:rFonts w:ascii="仿宋_GB2312"/>
          <w:szCs w:val="32"/>
        </w:rPr>
      </w:pPr>
      <w:r>
        <w:rPr>
          <w:rFonts w:hint="eastAsia" w:ascii="仿宋_GB2312"/>
          <w:szCs w:val="32"/>
        </w:rPr>
        <w:t xml:space="preserve"> （二）项目绩效目标设立情况</w:t>
      </w:r>
    </w:p>
    <w:p w14:paraId="042FD556">
      <w:pPr>
        <w:spacing w:line="580" w:lineRule="exact"/>
        <w:ind w:firstLine="640" w:firstLineChars="200"/>
        <w:rPr>
          <w:rFonts w:ascii="黑体" w:hAnsi="宋体" w:eastAsia="黑体"/>
          <w:szCs w:val="32"/>
        </w:rPr>
      </w:pPr>
      <w:r>
        <w:rPr>
          <w:rFonts w:hint="eastAsia" w:ascii="黑体" w:hAnsi="宋体" w:eastAsia="黑体"/>
          <w:szCs w:val="32"/>
        </w:rPr>
        <w:t>二、项目资金使用管理及使用情况</w:t>
      </w:r>
    </w:p>
    <w:p w14:paraId="6AFC39C5">
      <w:pPr>
        <w:spacing w:line="580" w:lineRule="exact"/>
        <w:ind w:firstLine="640" w:firstLineChars="200"/>
        <w:rPr>
          <w:rFonts w:ascii="仿宋_GB2312"/>
          <w:szCs w:val="32"/>
        </w:rPr>
      </w:pPr>
      <w:r>
        <w:rPr>
          <w:rFonts w:hint="eastAsia" w:ascii="仿宋_GB2312"/>
          <w:szCs w:val="32"/>
        </w:rPr>
        <w:t>（一）项目支出</w:t>
      </w:r>
    </w:p>
    <w:p w14:paraId="56DEB477">
      <w:pPr>
        <w:numPr>
          <w:ilvl w:val="0"/>
          <w:numId w:val="1"/>
        </w:numPr>
        <w:spacing w:line="580" w:lineRule="exact"/>
        <w:rPr>
          <w:rFonts w:ascii="仿宋_GB2312"/>
          <w:szCs w:val="32"/>
        </w:rPr>
      </w:pPr>
      <w:r>
        <w:rPr>
          <w:rFonts w:hint="eastAsia" w:ascii="仿宋_GB2312"/>
          <w:szCs w:val="32"/>
        </w:rPr>
        <w:t>专项资金管理情况</w:t>
      </w:r>
    </w:p>
    <w:p w14:paraId="3A076E51">
      <w:pPr>
        <w:spacing w:line="580" w:lineRule="exact"/>
        <w:ind w:left="160" w:firstLine="480" w:firstLineChars="150"/>
        <w:rPr>
          <w:rFonts w:ascii="黑体" w:hAnsi="宋体" w:eastAsia="黑体"/>
          <w:szCs w:val="32"/>
        </w:rPr>
      </w:pPr>
      <w:r>
        <w:rPr>
          <w:rFonts w:hint="eastAsia" w:ascii="黑体" w:hAnsi="宋体" w:eastAsia="黑体"/>
          <w:szCs w:val="32"/>
        </w:rPr>
        <w:t>三、项目组织实施情况分析</w:t>
      </w:r>
    </w:p>
    <w:p w14:paraId="44BAB760">
      <w:pPr>
        <w:spacing w:line="580" w:lineRule="exact"/>
        <w:ind w:firstLine="640" w:firstLineChars="200"/>
        <w:rPr>
          <w:rFonts w:ascii="黑体" w:hAnsi="宋体" w:eastAsia="黑体"/>
          <w:szCs w:val="32"/>
        </w:rPr>
      </w:pPr>
      <w:r>
        <w:rPr>
          <w:rFonts w:hint="eastAsia" w:ascii="黑体" w:hAnsi="宋体" w:eastAsia="黑体"/>
          <w:szCs w:val="32"/>
        </w:rPr>
        <w:t>四、项目绩效情况分析</w:t>
      </w:r>
    </w:p>
    <w:p w14:paraId="5415A071">
      <w:pPr>
        <w:spacing w:line="580" w:lineRule="exact"/>
        <w:ind w:firstLine="640" w:firstLineChars="200"/>
        <w:rPr>
          <w:rFonts w:ascii="黑体" w:hAnsi="宋体" w:eastAsia="黑体"/>
          <w:szCs w:val="32"/>
        </w:rPr>
      </w:pPr>
      <w:r>
        <w:rPr>
          <w:rFonts w:hint="eastAsia" w:ascii="黑体" w:hAnsi="宋体" w:eastAsia="黑体"/>
          <w:szCs w:val="32"/>
        </w:rPr>
        <w:t>五、绩效评价工作开展情况</w:t>
      </w:r>
    </w:p>
    <w:p w14:paraId="0FC8AFB2">
      <w:pPr>
        <w:pStyle w:val="2"/>
        <w:spacing w:line="594" w:lineRule="exact"/>
        <w:ind w:firstLine="640" w:firstLineChars="200"/>
        <w:rPr>
          <w:rFonts w:ascii="仿宋_GB2312" w:hAnsi="仿宋_GB2312" w:cs="仿宋_GB2312"/>
        </w:rPr>
      </w:pPr>
      <w:r>
        <w:rPr>
          <w:rFonts w:hint="eastAsia" w:ascii="仿宋_GB2312" w:hAnsi="仿宋_GB2312" w:cs="仿宋_GB2312"/>
        </w:rPr>
        <w:t>（一）绩效评价目的</w:t>
      </w:r>
    </w:p>
    <w:p w14:paraId="60FBC666">
      <w:pPr>
        <w:pStyle w:val="2"/>
        <w:spacing w:line="594" w:lineRule="exact"/>
        <w:ind w:firstLine="640" w:firstLineChars="200"/>
        <w:rPr>
          <w:rFonts w:ascii="仿宋_GB2312" w:hAnsi="仿宋_GB2312" w:cs="仿宋_GB2312"/>
        </w:rPr>
      </w:pPr>
      <w:r>
        <w:rPr>
          <w:rFonts w:hint="eastAsia" w:ascii="仿宋_GB2312"/>
          <w:szCs w:val="32"/>
        </w:rPr>
        <w:t>（二）</w:t>
      </w:r>
      <w:r>
        <w:rPr>
          <w:rFonts w:hint="eastAsia" w:ascii="仿宋_GB2312" w:hAnsi="仿宋_GB2312" w:cs="仿宋_GB2312"/>
        </w:rPr>
        <w:t>自评结果</w:t>
      </w:r>
    </w:p>
    <w:p w14:paraId="0DBC5A97">
      <w:pPr>
        <w:spacing w:line="580" w:lineRule="exact"/>
        <w:ind w:firstLine="640" w:firstLineChars="200"/>
        <w:rPr>
          <w:rFonts w:ascii="黑体" w:hAnsi="宋体" w:eastAsia="黑体"/>
          <w:szCs w:val="32"/>
        </w:rPr>
      </w:pPr>
      <w:r>
        <w:rPr>
          <w:rFonts w:hint="eastAsia" w:ascii="黑体" w:hAnsi="宋体" w:eastAsia="黑体"/>
          <w:szCs w:val="32"/>
        </w:rPr>
        <w:t>六、202</w:t>
      </w:r>
      <w:r>
        <w:rPr>
          <w:rFonts w:hint="eastAsia" w:ascii="黑体" w:hAnsi="宋体" w:eastAsia="黑体"/>
          <w:szCs w:val="32"/>
          <w:lang w:val="en-US" w:eastAsia="zh-CN"/>
        </w:rPr>
        <w:t>5</w:t>
      </w:r>
      <w:r>
        <w:rPr>
          <w:rFonts w:hint="eastAsia" w:ascii="黑体" w:hAnsi="宋体" w:eastAsia="黑体"/>
          <w:szCs w:val="32"/>
        </w:rPr>
        <w:t>年工作计划</w:t>
      </w:r>
    </w:p>
    <w:p w14:paraId="2B883DD5">
      <w:pPr>
        <w:spacing w:line="594" w:lineRule="exact"/>
        <w:rPr>
          <w:rFonts w:eastAsia="黑体"/>
          <w:bCs/>
          <w:kern w:val="0"/>
          <w:szCs w:val="32"/>
        </w:rPr>
      </w:pPr>
      <w:r>
        <w:rPr>
          <w:rFonts w:ascii="黑体" w:hAnsi="宋体" w:eastAsia="黑体"/>
          <w:szCs w:val="32"/>
        </w:rPr>
        <w:br w:type="page"/>
      </w:r>
      <w:r>
        <w:rPr>
          <w:rFonts w:eastAsia="黑体"/>
          <w:bCs/>
          <w:kern w:val="0"/>
          <w:szCs w:val="32"/>
        </w:rPr>
        <w:t>附件</w:t>
      </w:r>
      <w:r>
        <w:rPr>
          <w:rFonts w:hint="eastAsia" w:eastAsia="黑体"/>
          <w:bCs/>
          <w:kern w:val="0"/>
          <w:szCs w:val="32"/>
        </w:rPr>
        <w:t>5</w:t>
      </w:r>
    </w:p>
    <w:p w14:paraId="79600509">
      <w:pPr>
        <w:spacing w:line="594" w:lineRule="exact"/>
        <w:jc w:val="center"/>
        <w:rPr>
          <w:rFonts w:eastAsia="方正小标宋简体"/>
          <w:bCs/>
          <w:kern w:val="0"/>
          <w:sz w:val="44"/>
          <w:szCs w:val="44"/>
        </w:rPr>
      </w:pPr>
      <w:r>
        <w:rPr>
          <w:rFonts w:hint="eastAsia" w:eastAsia="方正小标宋简体"/>
          <w:bCs/>
          <w:kern w:val="0"/>
          <w:sz w:val="44"/>
          <w:szCs w:val="44"/>
        </w:rPr>
        <w:t>202</w:t>
      </w:r>
      <w:r>
        <w:rPr>
          <w:rFonts w:hint="eastAsia" w:eastAsia="方正小标宋简体"/>
          <w:bCs/>
          <w:kern w:val="0"/>
          <w:sz w:val="44"/>
          <w:szCs w:val="44"/>
          <w:lang w:val="en-US" w:eastAsia="zh-CN"/>
        </w:rPr>
        <w:t>4</w:t>
      </w:r>
      <w:bookmarkStart w:id="0" w:name="_GoBack"/>
      <w:bookmarkEnd w:id="0"/>
      <w:r>
        <w:rPr>
          <w:rFonts w:hint="eastAsia" w:eastAsia="方正小标宋简体"/>
          <w:bCs/>
          <w:kern w:val="0"/>
          <w:sz w:val="44"/>
          <w:szCs w:val="44"/>
        </w:rPr>
        <w:t>年度</w:t>
      </w:r>
      <w:r>
        <w:rPr>
          <w:rFonts w:eastAsia="方正小标宋简体"/>
          <w:bCs/>
          <w:kern w:val="0"/>
          <w:sz w:val="44"/>
          <w:szCs w:val="44"/>
        </w:rPr>
        <w:t>项目支出绩效报告</w:t>
      </w:r>
    </w:p>
    <w:p w14:paraId="7BC24F69">
      <w:pPr>
        <w:spacing w:line="594" w:lineRule="exact"/>
        <w:rPr>
          <w:b/>
          <w:bCs/>
          <w:kern w:val="0"/>
          <w:szCs w:val="32"/>
        </w:rPr>
      </w:pPr>
    </w:p>
    <w:p w14:paraId="749F9003">
      <w:pPr>
        <w:spacing w:line="594" w:lineRule="exact"/>
        <w:ind w:firstLine="640" w:firstLineChars="200"/>
        <w:rPr>
          <w:rFonts w:eastAsia="黑体"/>
          <w:kern w:val="0"/>
          <w:szCs w:val="32"/>
        </w:rPr>
      </w:pPr>
      <w:r>
        <w:rPr>
          <w:rFonts w:eastAsia="黑体"/>
          <w:bCs/>
          <w:kern w:val="0"/>
          <w:szCs w:val="32"/>
        </w:rPr>
        <w:t>一、项目概况</w:t>
      </w:r>
    </w:p>
    <w:p w14:paraId="55F64661">
      <w:pPr>
        <w:spacing w:line="594" w:lineRule="exact"/>
        <w:ind w:firstLine="643" w:firstLineChars="200"/>
        <w:rPr>
          <w:rFonts w:ascii="仿宋_GB2312"/>
        </w:rPr>
      </w:pPr>
      <w:r>
        <w:rPr>
          <w:rFonts w:hint="eastAsia" w:ascii="楷体_GB2312" w:hAnsi="楷体_GB2312" w:eastAsia="楷体_GB2312" w:cs="楷体_GB2312"/>
          <w:b/>
          <w:bCs/>
        </w:rPr>
        <w:t>（一）项目单位基本情况</w:t>
      </w:r>
    </w:p>
    <w:p w14:paraId="7739F098">
      <w:pPr>
        <w:spacing w:line="594" w:lineRule="exact"/>
        <w:ind w:firstLine="640" w:firstLineChars="200"/>
        <w:rPr>
          <w:rFonts w:ascii="仿宋_GB2312"/>
        </w:rPr>
      </w:pPr>
      <w:r>
        <w:rPr>
          <w:rFonts w:hint="eastAsia" w:ascii="仿宋_GB2312"/>
        </w:rPr>
        <w:t>桃江县投资促进服务中心成立于2015年12月，为县商务局所属副科级公益一类事业单位，划入原县经济合作局的全额拨款事业编制和班子人员以外的人员，核定编制25名，现有编制2</w:t>
      </w:r>
      <w:r>
        <w:rPr>
          <w:rFonts w:hint="eastAsia" w:ascii="仿宋_GB2312"/>
          <w:lang w:val="en-US" w:eastAsia="zh-CN"/>
        </w:rPr>
        <w:t>2</w:t>
      </w:r>
      <w:r>
        <w:rPr>
          <w:rFonts w:hint="eastAsia" w:ascii="仿宋_GB2312"/>
        </w:rPr>
        <w:t>名，设主任1名，副主任2名。其主要职责：负责投资项目的开发论证、包装和推介工作；负责收集、汇总、建立招商引资客户档案；协调参与重大招商引资活动的策划、组织和信息管理；负责外来投资者的接待、联络、洽谈、考察等具体工作；负责外出考察项目的对接联络工作；负责县一级重点招商引资项目的跟踪调度和协调推进；为投资者提供咨询服务及代办县级政府权限内有关行政审批事项和服务性事项。</w:t>
      </w:r>
    </w:p>
    <w:p w14:paraId="7C40F761">
      <w:pPr>
        <w:spacing w:line="594" w:lineRule="exact"/>
        <w:rPr>
          <w:rFonts w:ascii="仿宋_GB2312"/>
        </w:rPr>
      </w:pPr>
      <w:r>
        <w:rPr>
          <w:rFonts w:hint="eastAsia" w:ascii="仿宋_GB2312"/>
        </w:rPr>
        <w:t xml:space="preserve">    </w:t>
      </w:r>
      <w:r>
        <w:rPr>
          <w:rFonts w:hint="eastAsia" w:ascii="楷体_GB2312" w:hAnsi="楷体_GB2312" w:eastAsia="楷体_GB2312" w:cs="楷体_GB2312"/>
          <w:b/>
          <w:bCs/>
        </w:rPr>
        <w:t>（二）项目绩效目标设立情况</w:t>
      </w:r>
    </w:p>
    <w:p w14:paraId="2495202E">
      <w:pPr>
        <w:spacing w:line="594" w:lineRule="exact"/>
        <w:ind w:firstLine="640" w:firstLineChars="200"/>
        <w:rPr>
          <w:kern w:val="0"/>
          <w:szCs w:val="32"/>
        </w:rPr>
      </w:pPr>
      <w:r>
        <w:rPr>
          <w:rFonts w:hint="eastAsia" w:ascii="仿宋_GB2312"/>
        </w:rPr>
        <w:t>202</w:t>
      </w:r>
      <w:r>
        <w:rPr>
          <w:rFonts w:hint="eastAsia" w:ascii="仿宋_GB2312"/>
          <w:lang w:val="en-US" w:eastAsia="zh-CN"/>
        </w:rPr>
        <w:t>4</w:t>
      </w:r>
      <w:r>
        <w:rPr>
          <w:rFonts w:hint="eastAsia" w:ascii="仿宋_GB2312"/>
        </w:rPr>
        <w:t>年我中心设立专项长期绩效目标为招大商、招好商，发展桃江经济；</w:t>
      </w:r>
      <w:r>
        <w:rPr>
          <w:rFonts w:ascii="Times New Roman" w:hAnsi="Times New Roman" w:cs="Times New Roman"/>
          <w:color w:val="000000"/>
          <w:szCs w:val="32"/>
        </w:rPr>
        <w:t>全年引进“三类500强”项目1个、投资过亿元项目</w:t>
      </w:r>
      <w:r>
        <w:rPr>
          <w:rFonts w:hint="eastAsia" w:ascii="Times New Roman" w:hAnsi="Times New Roman" w:cs="Times New Roman"/>
          <w:color w:val="000000"/>
          <w:szCs w:val="32"/>
        </w:rPr>
        <w:t>8</w:t>
      </w:r>
      <w:r>
        <w:rPr>
          <w:rFonts w:ascii="Times New Roman" w:hAnsi="Times New Roman" w:cs="Times New Roman"/>
          <w:color w:val="000000"/>
          <w:szCs w:val="32"/>
        </w:rPr>
        <w:t>个、过5000万元项目</w:t>
      </w:r>
      <w:r>
        <w:rPr>
          <w:rFonts w:hint="eastAsia" w:ascii="Times New Roman" w:hAnsi="Times New Roman" w:cs="Times New Roman"/>
          <w:color w:val="000000"/>
          <w:szCs w:val="32"/>
        </w:rPr>
        <w:t>10</w:t>
      </w:r>
      <w:r>
        <w:rPr>
          <w:rFonts w:ascii="Times New Roman" w:hAnsi="Times New Roman" w:cs="Times New Roman"/>
          <w:color w:val="000000"/>
          <w:szCs w:val="32"/>
        </w:rPr>
        <w:t>个的工作任务</w:t>
      </w:r>
      <w:r>
        <w:rPr>
          <w:rFonts w:hint="eastAsia"/>
          <w:color w:val="000000"/>
          <w:szCs w:val="32"/>
        </w:rPr>
        <w:t>。</w:t>
      </w:r>
    </w:p>
    <w:p w14:paraId="31588C3D">
      <w:pPr>
        <w:spacing w:line="594" w:lineRule="exact"/>
        <w:ind w:firstLine="640" w:firstLineChars="200"/>
        <w:rPr>
          <w:rFonts w:eastAsia="黑体"/>
          <w:bCs/>
          <w:kern w:val="0"/>
          <w:szCs w:val="32"/>
        </w:rPr>
      </w:pPr>
      <w:r>
        <w:rPr>
          <w:rFonts w:eastAsia="黑体"/>
          <w:bCs/>
          <w:kern w:val="0"/>
          <w:szCs w:val="32"/>
        </w:rPr>
        <w:t>二、项目资金使用及管理情况分析</w:t>
      </w:r>
    </w:p>
    <w:p w14:paraId="39142638">
      <w:pPr>
        <w:spacing w:line="594" w:lineRule="exact"/>
        <w:ind w:firstLine="643" w:firstLineChars="200"/>
        <w:rPr>
          <w:rFonts w:ascii="楷体_GB2312" w:hAnsi="楷体_GB2312" w:eastAsia="楷体_GB2312" w:cs="楷体_GB2312"/>
          <w:b/>
          <w:bCs/>
          <w:color w:val="000000"/>
        </w:rPr>
      </w:pPr>
      <w:r>
        <w:rPr>
          <w:rFonts w:hint="eastAsia" w:ascii="楷体_GB2312" w:hAnsi="楷体_GB2312" w:eastAsia="楷体_GB2312" w:cs="楷体_GB2312"/>
          <w:b/>
          <w:bCs/>
          <w:color w:val="000000"/>
        </w:rPr>
        <w:t>（一）项目支出</w:t>
      </w:r>
    </w:p>
    <w:p w14:paraId="50562481">
      <w:pPr>
        <w:spacing w:line="594" w:lineRule="exact"/>
        <w:ind w:firstLine="640" w:firstLineChars="200"/>
        <w:rPr>
          <w:rFonts w:ascii="仿宋_GB2312"/>
          <w:color w:val="000000" w:themeColor="text1"/>
        </w:rPr>
      </w:pPr>
      <w:r>
        <w:rPr>
          <w:rFonts w:hint="eastAsia" w:ascii="仿宋_GB2312"/>
          <w:color w:val="000000" w:themeColor="text1"/>
        </w:rPr>
        <w:t>202</w:t>
      </w:r>
      <w:r>
        <w:rPr>
          <w:rFonts w:hint="eastAsia" w:ascii="仿宋_GB2312"/>
          <w:color w:val="000000" w:themeColor="text1"/>
          <w:lang w:val="en-US" w:eastAsia="zh-CN"/>
        </w:rPr>
        <w:t>4</w:t>
      </w:r>
      <w:r>
        <w:rPr>
          <w:rFonts w:hint="eastAsia" w:ascii="仿宋_GB2312"/>
          <w:color w:val="000000" w:themeColor="text1"/>
        </w:rPr>
        <w:t>年项目支出</w:t>
      </w:r>
      <w:r>
        <w:rPr>
          <w:rFonts w:hint="eastAsia" w:ascii="仿宋_GB2312"/>
          <w:color w:val="000000" w:themeColor="text1"/>
          <w:lang w:val="en-US" w:eastAsia="zh-CN"/>
        </w:rPr>
        <w:t>302.01</w:t>
      </w:r>
      <w:r>
        <w:rPr>
          <w:rFonts w:hint="eastAsia" w:ascii="仿宋_GB2312"/>
          <w:color w:val="000000" w:themeColor="text1"/>
        </w:rPr>
        <w:t>万元，其中办公费支出10.</w:t>
      </w:r>
      <w:r>
        <w:rPr>
          <w:rFonts w:hint="eastAsia" w:ascii="仿宋_GB2312"/>
          <w:color w:val="000000" w:themeColor="text1"/>
          <w:lang w:val="en-US" w:eastAsia="zh-CN"/>
        </w:rPr>
        <w:t>76</w:t>
      </w:r>
      <w:r>
        <w:rPr>
          <w:rFonts w:hint="eastAsia" w:ascii="仿宋_GB2312"/>
          <w:color w:val="000000" w:themeColor="text1"/>
        </w:rPr>
        <w:t>万元、印刷费支出</w:t>
      </w:r>
      <w:r>
        <w:rPr>
          <w:rFonts w:hint="eastAsia" w:ascii="仿宋_GB2312"/>
          <w:color w:val="000000" w:themeColor="text1"/>
          <w:lang w:val="en-US" w:eastAsia="zh-CN"/>
        </w:rPr>
        <w:t>40.07</w:t>
      </w:r>
      <w:r>
        <w:rPr>
          <w:rFonts w:hint="eastAsia" w:ascii="仿宋_GB2312"/>
          <w:color w:val="000000" w:themeColor="text1"/>
        </w:rPr>
        <w:t>万元、差旅费支出</w:t>
      </w:r>
      <w:r>
        <w:rPr>
          <w:rFonts w:hint="eastAsia" w:ascii="仿宋_GB2312"/>
          <w:color w:val="000000" w:themeColor="text1"/>
          <w:lang w:val="en-US" w:eastAsia="zh-CN"/>
        </w:rPr>
        <w:t>56.2</w:t>
      </w:r>
      <w:r>
        <w:rPr>
          <w:rFonts w:hint="eastAsia" w:ascii="仿宋_GB2312"/>
          <w:color w:val="000000" w:themeColor="text1"/>
        </w:rPr>
        <w:t>万元、租赁费支出</w:t>
      </w:r>
      <w:r>
        <w:rPr>
          <w:rFonts w:hint="eastAsia" w:ascii="仿宋_GB2312"/>
          <w:color w:val="000000" w:themeColor="text1"/>
          <w:lang w:val="en-US" w:eastAsia="zh-CN"/>
        </w:rPr>
        <w:t>17.9</w:t>
      </w:r>
      <w:r>
        <w:rPr>
          <w:rFonts w:hint="eastAsia" w:ascii="仿宋_GB2312"/>
          <w:color w:val="000000" w:themeColor="text1"/>
        </w:rPr>
        <w:t>万元、劳务费支出</w:t>
      </w:r>
      <w:r>
        <w:rPr>
          <w:rFonts w:hint="eastAsia" w:ascii="仿宋_GB2312"/>
          <w:color w:val="000000" w:themeColor="text1"/>
          <w:lang w:val="en-US" w:eastAsia="zh-CN"/>
        </w:rPr>
        <w:t>72.76</w:t>
      </w:r>
      <w:r>
        <w:rPr>
          <w:rFonts w:hint="eastAsia" w:ascii="仿宋_GB2312"/>
          <w:color w:val="000000" w:themeColor="text1"/>
        </w:rPr>
        <w:t>万元、委托业务费</w:t>
      </w:r>
      <w:r>
        <w:rPr>
          <w:rFonts w:hint="eastAsia" w:ascii="仿宋_GB2312"/>
          <w:color w:val="000000" w:themeColor="text1"/>
          <w:lang w:val="en-US" w:eastAsia="zh-CN"/>
        </w:rPr>
        <w:t>16.8</w:t>
      </w:r>
      <w:r>
        <w:rPr>
          <w:rFonts w:hint="eastAsia" w:ascii="仿宋_GB2312"/>
          <w:color w:val="000000" w:themeColor="text1"/>
        </w:rPr>
        <w:t>万元、其他商品和服务支出约</w:t>
      </w:r>
      <w:r>
        <w:rPr>
          <w:rFonts w:hint="eastAsia" w:ascii="仿宋_GB2312"/>
          <w:color w:val="000000" w:themeColor="text1"/>
          <w:lang w:val="en-US" w:eastAsia="zh-CN"/>
        </w:rPr>
        <w:t>87.52</w:t>
      </w:r>
      <w:r>
        <w:rPr>
          <w:rFonts w:hint="eastAsia" w:ascii="仿宋_GB2312"/>
          <w:color w:val="000000" w:themeColor="text1"/>
        </w:rPr>
        <w:t>万元。</w:t>
      </w:r>
    </w:p>
    <w:p w14:paraId="04AE4B08">
      <w:pPr>
        <w:spacing w:line="594" w:lineRule="exact"/>
        <w:rPr>
          <w:rFonts w:ascii="楷体_GB2312" w:hAnsi="楷体_GB2312" w:eastAsia="楷体_GB2312" w:cs="楷体_GB2312"/>
          <w:b/>
          <w:bCs/>
        </w:rPr>
      </w:pPr>
      <w:r>
        <w:rPr>
          <w:rFonts w:hint="eastAsia" w:ascii="楷体_GB2312" w:hAnsi="楷体_GB2312" w:eastAsia="楷体_GB2312" w:cs="楷体_GB2312"/>
          <w:b/>
          <w:bCs/>
        </w:rPr>
        <w:t xml:space="preserve">    （二）专项资金管理情况</w:t>
      </w:r>
    </w:p>
    <w:p w14:paraId="3D62A514">
      <w:pPr>
        <w:spacing w:line="594" w:lineRule="exact"/>
        <w:jc w:val="left"/>
        <w:rPr>
          <w:kern w:val="0"/>
          <w:szCs w:val="32"/>
        </w:rPr>
      </w:pPr>
      <w:r>
        <w:rPr>
          <w:rFonts w:hint="eastAsia" w:ascii="仿宋_GB2312"/>
        </w:rPr>
        <w:t xml:space="preserve">    我中心专项资金主要用于招商引资活动，招商引资活动严格按照《党政机关厉行节约反对浪费条例》、《湖南省党政机关国内公务接待管理办法》、《桃江县招商引资专项资金管理使用规定》等条例规定，根据活动规模、活动地点、活动形式、活动内容，实事求是地编制活动预算方案，并报同级财政部门审核。招商引资活动使用财政资金采购货物、工程和服务达到限额标准的，实行政府采购。加强了经费支出管理。严格执行预算，严禁超预算或者无预算安排支出；严格支出报销审核，不得报销任何超范围、超标准以及与招商引资活动无关的费用；执行公务卡结算制度，活动期间发生的交通费、住宿费、餐饮费、会议费等经费支出，除按规定实行财政直接支付或者银行转账外，须使用公务卡结算，不得以现金方式支付。</w:t>
      </w:r>
    </w:p>
    <w:p w14:paraId="475EC315">
      <w:pPr>
        <w:spacing w:line="594" w:lineRule="exact"/>
        <w:ind w:firstLine="640" w:firstLineChars="200"/>
        <w:rPr>
          <w:rFonts w:eastAsia="黑体"/>
          <w:bCs/>
          <w:kern w:val="0"/>
          <w:szCs w:val="32"/>
        </w:rPr>
      </w:pPr>
      <w:r>
        <w:rPr>
          <w:rFonts w:eastAsia="黑体"/>
          <w:bCs/>
          <w:kern w:val="0"/>
          <w:szCs w:val="32"/>
        </w:rPr>
        <w:t>三、项目组织实施情况分析</w:t>
      </w:r>
    </w:p>
    <w:p w14:paraId="3487AB97">
      <w:pPr>
        <w:spacing w:line="594" w:lineRule="exact"/>
        <w:ind w:firstLine="640" w:firstLineChars="200"/>
        <w:rPr>
          <w:rFonts w:ascii="仿宋_GB2312"/>
        </w:rPr>
      </w:pPr>
      <w:r>
        <w:rPr>
          <w:rFonts w:hint="eastAsia" w:ascii="仿宋_GB2312"/>
        </w:rPr>
        <w:t>我中心严格控制大规模、综合性招商引资活动，取消没有明确目标和实际效果的招商引资活动。大力开展小分队招商、驻点招商等行之有效的招商引资活动。充分利用各地驻外机构、商协会组织、乡友资源等开展招商引资活动，挖掘客商资源，以产业为主线开展考察、对接、洽谈等活动。围绕重点园区、重点产业，举办针对性强、形式灵活的小型专题招商引资活动。</w:t>
      </w:r>
    </w:p>
    <w:p w14:paraId="79C18014">
      <w:pPr>
        <w:spacing w:line="594" w:lineRule="exact"/>
        <w:ind w:firstLine="640" w:firstLineChars="200"/>
        <w:rPr>
          <w:rFonts w:ascii="仿宋_GB2312"/>
        </w:rPr>
      </w:pPr>
      <w:r>
        <w:rPr>
          <w:rFonts w:hint="eastAsia" w:ascii="仿宋_GB2312"/>
        </w:rPr>
        <w:t>招商引资活动内容安排遵循厉行节约、注重实效的原则，严禁搞形式主义、追求排场、铺张浪费，不片面追求会议规模、规格档次，邀请与活动主题无关的嘉宾客商参会；不举行无实质意义的签约仪式，签约项目必须签订正式合同，协议项目或意向性项目不签约；不租用豪华会场；严禁入住豪华酒店、举办奢侈宴请、赠送高档礼品；不组织文艺演出、烟花燃放；不以公款邀请明星、名人参加招商活动；不安排与招商活动主题无关或无实质性内容的活动；不以活动为由安排公务人员旅游。</w:t>
      </w:r>
    </w:p>
    <w:p w14:paraId="77843F3A">
      <w:pPr>
        <w:numPr>
          <w:ilvl w:val="0"/>
          <w:numId w:val="2"/>
        </w:numPr>
        <w:spacing w:line="594" w:lineRule="exact"/>
        <w:ind w:firstLine="640" w:firstLineChars="200"/>
        <w:rPr>
          <w:rFonts w:eastAsia="黑体"/>
          <w:bCs/>
          <w:kern w:val="0"/>
          <w:szCs w:val="32"/>
        </w:rPr>
      </w:pPr>
      <w:r>
        <w:rPr>
          <w:rFonts w:eastAsia="黑体"/>
          <w:bCs/>
          <w:kern w:val="0"/>
          <w:szCs w:val="32"/>
        </w:rPr>
        <w:t>项目绩效情况分析</w:t>
      </w:r>
    </w:p>
    <w:p w14:paraId="435E88EE">
      <w:pPr>
        <w:spacing w:line="594" w:lineRule="exact"/>
        <w:ind w:firstLine="643" w:firstLineChars="200"/>
        <w:rPr>
          <w:rFonts w:ascii="楷体_GB2312" w:eastAsia="楷体_GB2312"/>
          <w:b/>
          <w:szCs w:val="32"/>
        </w:rPr>
      </w:pPr>
      <w:r>
        <w:rPr>
          <w:rFonts w:hint="eastAsia" w:ascii="楷体_GB2312" w:eastAsia="楷体_GB2312"/>
          <w:b/>
          <w:szCs w:val="32"/>
        </w:rPr>
        <w:t>（一）202</w:t>
      </w:r>
      <w:r>
        <w:rPr>
          <w:rFonts w:hint="eastAsia" w:ascii="楷体_GB2312" w:eastAsia="楷体_GB2312"/>
          <w:b/>
          <w:szCs w:val="32"/>
          <w:lang w:val="en-US" w:eastAsia="zh-CN"/>
        </w:rPr>
        <w:t>4</w:t>
      </w:r>
      <w:r>
        <w:rPr>
          <w:rFonts w:hint="eastAsia" w:ascii="楷体_GB2312" w:eastAsia="楷体_GB2312"/>
          <w:b/>
          <w:szCs w:val="32"/>
        </w:rPr>
        <w:t>年招商引资目标任务完成情况</w:t>
      </w:r>
    </w:p>
    <w:p w14:paraId="330F8303">
      <w:pPr>
        <w:numPr>
          <w:ilvl w:val="0"/>
          <w:numId w:val="0"/>
        </w:numPr>
        <w:spacing w:line="594" w:lineRule="exact"/>
        <w:ind w:firstLine="640" w:firstLineChars="200"/>
        <w:rPr>
          <w:rFonts w:hint="default" w:ascii="Times New Roman" w:hAnsi="Times New Roman" w:eastAsia="仿宋_GB2312" w:cs="Times New Roman"/>
          <w:b w:val="0"/>
          <w:bCs w:val="0"/>
          <w:sz w:val="32"/>
          <w:szCs w:val="28"/>
          <w:lang w:val="en-US" w:eastAsia="zh-CN"/>
        </w:rPr>
      </w:pPr>
      <w:r>
        <w:rPr>
          <w:rFonts w:hint="eastAsia" w:ascii="Times New Roman" w:hAnsi="Times New Roman" w:eastAsia="仿宋_GB2312" w:cs="Times New Roman"/>
          <w:b w:val="0"/>
          <w:bCs w:val="0"/>
          <w:sz w:val="32"/>
          <w:szCs w:val="28"/>
          <w:lang w:val="en-US" w:eastAsia="zh-CN"/>
        </w:rPr>
        <w:t>全年</w:t>
      </w:r>
      <w:r>
        <w:rPr>
          <w:rFonts w:hint="default" w:ascii="Times New Roman" w:hAnsi="Times New Roman" w:eastAsia="仿宋_GB2312" w:cs="Times New Roman"/>
          <w:b w:val="0"/>
          <w:bCs w:val="0"/>
          <w:sz w:val="32"/>
          <w:szCs w:val="28"/>
          <w:lang w:val="en-US" w:eastAsia="zh-CN"/>
        </w:rPr>
        <w:t>引进省外境内资金12</w:t>
      </w:r>
      <w:r>
        <w:rPr>
          <w:rFonts w:hint="eastAsia" w:ascii="Times New Roman" w:hAnsi="Times New Roman" w:eastAsia="仿宋_GB2312" w:cs="Times New Roman"/>
          <w:b w:val="0"/>
          <w:bCs w:val="0"/>
          <w:sz w:val="32"/>
          <w:szCs w:val="28"/>
          <w:lang w:val="en-US" w:eastAsia="zh-CN"/>
        </w:rPr>
        <w:t>5</w:t>
      </w:r>
      <w:r>
        <w:rPr>
          <w:rFonts w:hint="default" w:ascii="Times New Roman" w:hAnsi="Times New Roman" w:eastAsia="仿宋_GB2312" w:cs="Times New Roman"/>
          <w:b w:val="0"/>
          <w:bCs w:val="0"/>
          <w:sz w:val="32"/>
          <w:szCs w:val="28"/>
          <w:lang w:val="en-US" w:eastAsia="zh-CN"/>
        </w:rPr>
        <w:t>.</w:t>
      </w:r>
      <w:r>
        <w:rPr>
          <w:rFonts w:hint="eastAsia" w:ascii="Times New Roman" w:hAnsi="Times New Roman" w:eastAsia="仿宋_GB2312" w:cs="Times New Roman"/>
          <w:b w:val="0"/>
          <w:bCs w:val="0"/>
          <w:sz w:val="32"/>
          <w:szCs w:val="28"/>
          <w:lang w:val="en-US" w:eastAsia="zh-CN"/>
        </w:rPr>
        <w:t>62</w:t>
      </w:r>
      <w:r>
        <w:rPr>
          <w:rFonts w:hint="default" w:ascii="Times New Roman" w:hAnsi="Times New Roman" w:eastAsia="仿宋_GB2312" w:cs="Times New Roman"/>
          <w:b w:val="0"/>
          <w:bCs w:val="0"/>
          <w:sz w:val="32"/>
          <w:szCs w:val="28"/>
          <w:lang w:val="en-US" w:eastAsia="zh-CN"/>
        </w:rPr>
        <w:t>亿元，完成市级下达任务125亿元的</w:t>
      </w:r>
      <w:r>
        <w:rPr>
          <w:rFonts w:hint="eastAsia" w:ascii="Times New Roman" w:hAnsi="Times New Roman" w:eastAsia="仿宋_GB2312" w:cs="Times New Roman"/>
          <w:b w:val="0"/>
          <w:bCs w:val="0"/>
          <w:sz w:val="32"/>
          <w:szCs w:val="28"/>
          <w:lang w:val="en-US" w:eastAsia="zh-CN"/>
        </w:rPr>
        <w:t>100.5</w:t>
      </w:r>
      <w:r>
        <w:rPr>
          <w:rFonts w:hint="default" w:ascii="Times New Roman" w:hAnsi="Times New Roman" w:eastAsia="仿宋_GB2312" w:cs="Times New Roman"/>
          <w:b w:val="0"/>
          <w:bCs w:val="0"/>
          <w:sz w:val="32"/>
          <w:szCs w:val="28"/>
          <w:lang w:val="en-US" w:eastAsia="zh-CN"/>
        </w:rPr>
        <w:t>%；引进域外省内资金5.</w:t>
      </w:r>
      <w:r>
        <w:rPr>
          <w:rFonts w:hint="eastAsia" w:ascii="Times New Roman" w:hAnsi="Times New Roman" w:eastAsia="仿宋_GB2312" w:cs="Times New Roman"/>
          <w:b w:val="0"/>
          <w:bCs w:val="0"/>
          <w:sz w:val="32"/>
          <w:szCs w:val="28"/>
          <w:lang w:val="en-US" w:eastAsia="zh-CN"/>
        </w:rPr>
        <w:t>54</w:t>
      </w:r>
      <w:r>
        <w:rPr>
          <w:rFonts w:hint="default" w:ascii="Times New Roman" w:hAnsi="Times New Roman" w:eastAsia="仿宋_GB2312" w:cs="Times New Roman"/>
          <w:b w:val="0"/>
          <w:bCs w:val="0"/>
          <w:sz w:val="32"/>
          <w:szCs w:val="28"/>
          <w:lang w:val="en-US" w:eastAsia="zh-CN"/>
        </w:rPr>
        <w:t>亿元，完成市下达任务5.5亿元的</w:t>
      </w:r>
      <w:r>
        <w:rPr>
          <w:rFonts w:hint="eastAsia" w:ascii="Times New Roman" w:hAnsi="Times New Roman" w:eastAsia="仿宋_GB2312" w:cs="Times New Roman"/>
          <w:b w:val="0"/>
          <w:bCs w:val="0"/>
          <w:sz w:val="32"/>
          <w:szCs w:val="28"/>
          <w:lang w:val="en-US" w:eastAsia="zh-CN"/>
        </w:rPr>
        <w:t>100.73</w:t>
      </w:r>
      <w:r>
        <w:rPr>
          <w:rFonts w:hint="default" w:ascii="Times New Roman" w:hAnsi="Times New Roman" w:eastAsia="仿宋_GB2312" w:cs="Times New Roman"/>
          <w:b w:val="0"/>
          <w:bCs w:val="0"/>
          <w:sz w:val="32"/>
          <w:szCs w:val="28"/>
          <w:lang w:val="en-US" w:eastAsia="zh-CN"/>
        </w:rPr>
        <w:t>%；引进湘商回湘新注册企业1</w:t>
      </w:r>
      <w:r>
        <w:rPr>
          <w:rFonts w:hint="eastAsia" w:ascii="Times New Roman" w:hAnsi="Times New Roman" w:eastAsia="仿宋_GB2312" w:cs="Times New Roman"/>
          <w:b w:val="0"/>
          <w:bCs w:val="0"/>
          <w:sz w:val="32"/>
          <w:szCs w:val="28"/>
          <w:lang w:val="en-US" w:eastAsia="zh-CN"/>
        </w:rPr>
        <w:t>6</w:t>
      </w:r>
      <w:r>
        <w:rPr>
          <w:rFonts w:hint="default" w:ascii="Times New Roman" w:hAnsi="Times New Roman" w:eastAsia="仿宋_GB2312" w:cs="Times New Roman"/>
          <w:b w:val="0"/>
          <w:bCs w:val="0"/>
          <w:sz w:val="32"/>
          <w:szCs w:val="28"/>
          <w:lang w:val="en-US" w:eastAsia="zh-CN"/>
        </w:rPr>
        <w:t>家，完成市下达任务8家的</w:t>
      </w:r>
      <w:r>
        <w:rPr>
          <w:rFonts w:hint="eastAsia" w:ascii="Times New Roman" w:hAnsi="Times New Roman" w:eastAsia="仿宋_GB2312" w:cs="Times New Roman"/>
          <w:b w:val="0"/>
          <w:bCs w:val="0"/>
          <w:sz w:val="32"/>
          <w:szCs w:val="28"/>
          <w:lang w:val="en-US" w:eastAsia="zh-CN"/>
        </w:rPr>
        <w:t>200</w:t>
      </w:r>
      <w:r>
        <w:rPr>
          <w:rFonts w:hint="default" w:ascii="Times New Roman" w:hAnsi="Times New Roman" w:eastAsia="仿宋_GB2312" w:cs="Times New Roman"/>
          <w:b w:val="0"/>
          <w:bCs w:val="0"/>
          <w:sz w:val="32"/>
          <w:szCs w:val="28"/>
          <w:lang w:val="en-US" w:eastAsia="zh-CN"/>
        </w:rPr>
        <w:t>%，涉税主体8家；新签约项目42个，完成市下达任务41个的102.44%；新开工项目</w:t>
      </w:r>
      <w:r>
        <w:rPr>
          <w:rFonts w:hint="eastAsia" w:ascii="Times New Roman" w:hAnsi="Times New Roman" w:eastAsia="仿宋_GB2312" w:cs="Times New Roman"/>
          <w:b w:val="0"/>
          <w:bCs w:val="0"/>
          <w:sz w:val="32"/>
          <w:szCs w:val="28"/>
          <w:lang w:val="en-US" w:eastAsia="zh-CN"/>
        </w:rPr>
        <w:t>37</w:t>
      </w:r>
      <w:r>
        <w:rPr>
          <w:rFonts w:hint="default" w:ascii="Times New Roman" w:hAnsi="Times New Roman" w:eastAsia="仿宋_GB2312" w:cs="Times New Roman"/>
          <w:b w:val="0"/>
          <w:bCs w:val="0"/>
          <w:sz w:val="32"/>
          <w:szCs w:val="28"/>
          <w:lang w:val="en-US" w:eastAsia="zh-CN"/>
        </w:rPr>
        <w:t>个，完成市下达任务34个的</w:t>
      </w:r>
      <w:r>
        <w:rPr>
          <w:rFonts w:hint="eastAsia" w:ascii="Times New Roman" w:hAnsi="Times New Roman" w:eastAsia="仿宋_GB2312" w:cs="Times New Roman"/>
          <w:b w:val="0"/>
          <w:bCs w:val="0"/>
          <w:sz w:val="32"/>
          <w:szCs w:val="28"/>
          <w:lang w:val="en-US" w:eastAsia="zh-CN"/>
        </w:rPr>
        <w:t>108.82</w:t>
      </w:r>
      <w:r>
        <w:rPr>
          <w:rFonts w:hint="default" w:ascii="Times New Roman" w:hAnsi="Times New Roman" w:eastAsia="仿宋_GB2312" w:cs="Times New Roman"/>
          <w:b w:val="0"/>
          <w:bCs w:val="0"/>
          <w:sz w:val="32"/>
          <w:szCs w:val="28"/>
          <w:lang w:val="en-US" w:eastAsia="zh-CN"/>
        </w:rPr>
        <w:t>%；新投产项目28个，完成市下达任务27个的103.7%。新引进“三类500强”企业投资项目2个，完成市下达任务1个的200%；</w:t>
      </w:r>
      <w:r>
        <w:rPr>
          <w:rFonts w:hint="default" w:ascii="Times New Roman" w:hAnsi="Times New Roman" w:eastAsia="仿宋_GB2312" w:cs="Times New Roman"/>
          <w:color w:val="000000"/>
          <w:sz w:val="32"/>
          <w:szCs w:val="28"/>
          <w:lang w:val="en-US" w:eastAsia="zh-CN"/>
        </w:rPr>
        <w:t>新注册外资企业1家，完成市下达任务1家的100%，外资企业到资25万美元。</w:t>
      </w:r>
    </w:p>
    <w:p w14:paraId="667D87A8">
      <w:pPr>
        <w:spacing w:line="594" w:lineRule="exact"/>
        <w:ind w:firstLine="643" w:firstLineChars="200"/>
        <w:rPr>
          <w:rFonts w:hint="eastAsia" w:ascii="楷体_GB2312" w:hAnsi="Times New Roman" w:eastAsia="楷体_GB2312" w:cs="Times New Roman"/>
          <w:b/>
          <w:szCs w:val="32"/>
          <w:lang w:val="en-US" w:eastAsia="zh-CN"/>
        </w:rPr>
      </w:pPr>
      <w:r>
        <w:rPr>
          <w:rFonts w:hint="eastAsia" w:ascii="楷体_GB2312" w:hAnsi="Times New Roman" w:eastAsia="楷体_GB2312" w:cs="Times New Roman"/>
          <w:b/>
          <w:szCs w:val="32"/>
          <w:lang w:val="en-US" w:eastAsia="zh-CN"/>
        </w:rPr>
        <w:t>（二）</w:t>
      </w:r>
      <w:r>
        <w:rPr>
          <w:rFonts w:hint="eastAsia" w:ascii="楷体_GB2312" w:hAnsi="Times New Roman" w:eastAsia="楷体_GB2312" w:cs="Times New Roman"/>
          <w:b/>
          <w:szCs w:val="32"/>
          <w:lang w:eastAsia="zh-CN"/>
        </w:rPr>
        <w:t>强化统筹，优化招商引资工作机制。</w:t>
      </w:r>
    </w:p>
    <w:p w14:paraId="1BF639F8">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sz w:val="32"/>
          <w:szCs w:val="32"/>
          <w:lang w:val="en-US" w:eastAsia="zh-CN"/>
        </w:rPr>
        <w:t>一是加强制度建设，打牢招商引资基础。</w:t>
      </w:r>
      <w:r>
        <w:rPr>
          <w:rFonts w:hint="eastAsia" w:ascii="Times New Roman" w:hAnsi="Times New Roman" w:eastAsia="仿宋_GB2312" w:cs="Times New Roman"/>
          <w:sz w:val="32"/>
          <w:szCs w:val="32"/>
          <w:lang w:val="en-US" w:eastAsia="zh-CN"/>
        </w:rPr>
        <w:t>出台了《2024年桃江县发展开放型经济和湘商回归目标管理考核办法》《桃江县招商引资重点在谈项目调度评审制度》《桃江县2024年招商引资固本增效实施方案》等文件。</w:t>
      </w:r>
      <w:r>
        <w:rPr>
          <w:rFonts w:hint="eastAsia" w:ascii="Times New Roman" w:hAnsi="Times New Roman" w:cs="Times New Roman"/>
          <w:sz w:val="32"/>
          <w:szCs w:val="32"/>
          <w:lang w:val="en-US" w:eastAsia="zh-CN"/>
        </w:rPr>
        <w:t>二</w:t>
      </w:r>
      <w:r>
        <w:rPr>
          <w:rFonts w:hint="eastAsia" w:ascii="Times New Roman" w:hAnsi="Times New Roman" w:eastAsia="仿宋_GB2312" w:cs="Times New Roman"/>
          <w:b/>
          <w:bCs/>
          <w:kern w:val="2"/>
          <w:sz w:val="32"/>
          <w:szCs w:val="32"/>
          <w:lang w:val="en-US" w:eastAsia="zh-CN" w:bidi="ar-SA"/>
        </w:rPr>
        <w:t>是坚持周会制度，把握重要工作进度。</w:t>
      </w:r>
      <w:r>
        <w:rPr>
          <w:rFonts w:hint="eastAsia" w:ascii="Times New Roman" w:hAnsi="Times New Roman" w:eastAsia="仿宋_GB2312" w:cs="Times New Roman"/>
          <w:b w:val="0"/>
          <w:bCs w:val="0"/>
          <w:kern w:val="2"/>
          <w:sz w:val="32"/>
          <w:szCs w:val="32"/>
          <w:lang w:val="en-US" w:eastAsia="zh-CN" w:bidi="ar-SA"/>
        </w:rPr>
        <w:t>每周一设置为周会时间，</w:t>
      </w:r>
      <w:r>
        <w:rPr>
          <w:rFonts w:hint="eastAsia" w:ascii="仿宋_GB2312" w:hAnsi="仿宋_GB2312" w:eastAsia="仿宋_GB2312" w:cs="仿宋_GB2312"/>
          <w:b w:val="0"/>
          <w:bCs w:val="0"/>
          <w:kern w:val="2"/>
          <w:sz w:val="32"/>
          <w:szCs w:val="32"/>
          <w:lang w:val="en-US" w:eastAsia="zh-CN" w:bidi="ar-SA"/>
        </w:rPr>
        <w:t>听取各股室总结上一周的工作内容，汇报重要工作事项进度、重点事项办理进展，对工作事项、办理进行分析研判，精准施策，加快工作进度。</w:t>
      </w:r>
    </w:p>
    <w:p w14:paraId="0B9BC000">
      <w:pPr>
        <w:spacing w:line="594" w:lineRule="exact"/>
        <w:ind w:firstLine="640" w:firstLineChars="200"/>
        <w:rPr>
          <w:rFonts w:ascii="黑体" w:hAnsi="黑体" w:eastAsia="黑体" w:cs="黑体"/>
          <w:kern w:val="0"/>
          <w:szCs w:val="32"/>
        </w:rPr>
      </w:pPr>
      <w:r>
        <w:rPr>
          <w:rFonts w:hint="eastAsia" w:ascii="黑体" w:hAnsi="黑体" w:eastAsia="黑体" w:cs="黑体"/>
          <w:bCs/>
          <w:kern w:val="0"/>
          <w:szCs w:val="32"/>
        </w:rPr>
        <w:t>五、绩效评价工作开展情况</w:t>
      </w:r>
    </w:p>
    <w:p w14:paraId="0865C87B">
      <w:pPr>
        <w:pStyle w:val="2"/>
        <w:spacing w:line="594" w:lineRule="exact"/>
        <w:ind w:firstLine="643" w:firstLineChars="200"/>
        <w:rPr>
          <w:rFonts w:ascii="楷体_GB2312" w:hAnsi="楷体_GB2312" w:eastAsia="楷体_GB2312" w:cs="楷体_GB2312"/>
          <w:b/>
          <w:bCs/>
        </w:rPr>
      </w:pPr>
      <w:r>
        <w:rPr>
          <w:rFonts w:hint="eastAsia" w:ascii="楷体_GB2312" w:hAnsi="楷体_GB2312" w:eastAsia="楷体_GB2312" w:cs="楷体_GB2312"/>
          <w:b/>
          <w:bCs/>
        </w:rPr>
        <w:t>（一）绩效评价目的</w:t>
      </w:r>
    </w:p>
    <w:p w14:paraId="1B9EE305">
      <w:pPr>
        <w:pStyle w:val="2"/>
        <w:spacing w:line="594" w:lineRule="exact"/>
        <w:ind w:firstLine="640" w:firstLineChars="200"/>
        <w:rPr>
          <w:rFonts w:ascii="仿宋_GB2312" w:hAnsi="仿宋_GB2312" w:cs="仿宋_GB2312"/>
        </w:rPr>
      </w:pPr>
      <w:r>
        <w:rPr>
          <w:rFonts w:hint="eastAsia" w:ascii="仿宋_GB2312" w:hAnsi="仿宋_GB2312" w:cs="仿宋_GB2312"/>
        </w:rPr>
        <w:t xml:space="preserve"> 一是通过开展项目绩效评价工作，使预算单位树立绩效意识、成本意识和责任意识，提高财政专项资金的使用效益和管理水平；二是全面了解项目进展、资金使用、执行情况以及取得的成绩和综合效果，有利于预算单位总结经验、发现问题、加强管理，保证财政资金使用管理的规范性、安全性和有效性。总的来讲，绩效评价工作的目的就是预算编制有目标、预算执行有监控、预算完成有评价、评价结果有反馈、反馈结果有应用。</w:t>
      </w:r>
    </w:p>
    <w:p w14:paraId="41B5DDD6">
      <w:pPr>
        <w:pStyle w:val="2"/>
        <w:spacing w:line="594" w:lineRule="exact"/>
        <w:ind w:firstLine="643" w:firstLineChars="200"/>
        <w:rPr>
          <w:rFonts w:ascii="楷体_GB2312" w:hAnsi="楷体_GB2312" w:eastAsia="楷体_GB2312" w:cs="楷体_GB2312"/>
          <w:b/>
          <w:bCs/>
        </w:rPr>
      </w:pPr>
      <w:r>
        <w:rPr>
          <w:rFonts w:hint="eastAsia" w:ascii="楷体_GB2312" w:hAnsi="楷体_GB2312" w:eastAsia="楷体_GB2312" w:cs="楷体_GB2312"/>
          <w:b/>
          <w:bCs/>
        </w:rPr>
        <w:t>(二)自评结果</w:t>
      </w:r>
    </w:p>
    <w:p w14:paraId="7B5705B0">
      <w:pPr>
        <w:pStyle w:val="2"/>
        <w:spacing w:line="594" w:lineRule="exact"/>
        <w:ind w:firstLine="640" w:firstLineChars="200"/>
        <w:rPr>
          <w:rFonts w:ascii="仿宋_GB2312" w:hAnsi="仿宋_GB2312" w:cs="仿宋_GB2312"/>
        </w:rPr>
      </w:pPr>
      <w:r>
        <w:rPr>
          <w:rFonts w:hint="eastAsia" w:ascii="仿宋_GB2312" w:hAnsi="仿宋_GB2312" w:cs="仿宋_GB2312"/>
        </w:rPr>
        <w:t>自评材料报送时间为202</w:t>
      </w:r>
      <w:r>
        <w:rPr>
          <w:rFonts w:hint="eastAsia" w:ascii="仿宋_GB2312" w:hAnsi="仿宋_GB2312" w:cs="仿宋_GB2312"/>
          <w:lang w:val="en-US" w:eastAsia="zh-CN"/>
        </w:rPr>
        <w:t>5</w:t>
      </w:r>
      <w:r>
        <w:rPr>
          <w:rFonts w:hint="eastAsia" w:ascii="仿宋_GB2312" w:hAnsi="仿宋_GB2312" w:cs="仿宋_GB2312"/>
        </w:rPr>
        <w:t>年4月，自评材料真实，表格填写内容齐全，自评报告全面详实，自评分数客观、真实。</w:t>
      </w:r>
    </w:p>
    <w:p w14:paraId="4A09FEA5">
      <w:pPr>
        <w:spacing w:line="594" w:lineRule="exact"/>
        <w:rPr>
          <w:rFonts w:eastAsia="黑体"/>
          <w:bCs/>
          <w:kern w:val="0"/>
          <w:szCs w:val="32"/>
        </w:rPr>
      </w:pPr>
      <w:r>
        <w:rPr>
          <w:rFonts w:hint="eastAsia" w:ascii="仿宋_GB2312" w:hAnsi="仿宋_GB2312" w:cs="仿宋_GB2312"/>
        </w:rPr>
        <w:t>自评材料一是按相关规定、制度，规范基本支出、项目支出资金管理；二是项目支出安排合理;自评分数为100分，等级为优秀。</w:t>
      </w:r>
    </w:p>
    <w:p w14:paraId="66E590B4">
      <w:pPr>
        <w:spacing w:line="594" w:lineRule="exact"/>
        <w:ind w:firstLine="640" w:firstLineChars="200"/>
        <w:rPr>
          <w:rFonts w:eastAsia="黑体"/>
          <w:szCs w:val="32"/>
        </w:rPr>
      </w:pPr>
      <w:r>
        <w:rPr>
          <w:rFonts w:hint="eastAsia" w:eastAsia="黑体"/>
          <w:bCs/>
          <w:kern w:val="0"/>
          <w:szCs w:val="32"/>
        </w:rPr>
        <w:t>六</w:t>
      </w:r>
      <w:r>
        <w:rPr>
          <w:rFonts w:eastAsia="黑体"/>
          <w:bCs/>
          <w:kern w:val="0"/>
          <w:szCs w:val="32"/>
        </w:rPr>
        <w:t>、</w:t>
      </w:r>
      <w:r>
        <w:rPr>
          <w:szCs w:val="32"/>
        </w:rPr>
        <w:t>202</w:t>
      </w:r>
      <w:r>
        <w:rPr>
          <w:rFonts w:hint="eastAsia"/>
          <w:szCs w:val="32"/>
          <w:lang w:val="en-US" w:eastAsia="zh-CN"/>
        </w:rPr>
        <w:t>5</w:t>
      </w:r>
      <w:r>
        <w:rPr>
          <w:rFonts w:eastAsia="黑体"/>
          <w:szCs w:val="32"/>
        </w:rPr>
        <w:t>年工作计划</w:t>
      </w:r>
    </w:p>
    <w:p w14:paraId="54F614DD">
      <w:pPr>
        <w:pStyle w:val="2"/>
        <w:spacing w:line="594" w:lineRule="exact"/>
        <w:ind w:firstLine="640" w:firstLineChars="200"/>
        <w:rPr>
          <w:rFonts w:ascii="Times New Roman" w:hAnsi="Times New Roman" w:cs="Times New Roman"/>
          <w:color w:val="000000"/>
          <w:szCs w:val="32"/>
        </w:rPr>
      </w:pPr>
      <w:r>
        <w:rPr>
          <w:rFonts w:hint="eastAsia" w:ascii="仿宋_GB2312" w:hAnsi="Times New Roman" w:cs="Times New Roman"/>
          <w:szCs w:val="32"/>
        </w:rPr>
        <w:t>（一）全力完成工作任务。</w:t>
      </w:r>
      <w:r>
        <w:rPr>
          <w:rFonts w:ascii="Times New Roman" w:hAnsi="Times New Roman" w:cs="Times New Roman"/>
          <w:color w:val="000000"/>
          <w:szCs w:val="32"/>
        </w:rPr>
        <w:t>为完成</w:t>
      </w:r>
      <w:r>
        <w:rPr>
          <w:rFonts w:hint="eastAsia" w:ascii="Times New Roman" w:hAnsi="Times New Roman" w:cs="Times New Roman"/>
          <w:color w:val="000000"/>
          <w:szCs w:val="32"/>
          <w:lang w:val="en-US" w:eastAsia="zh-CN"/>
        </w:rPr>
        <w:t>全县</w:t>
      </w:r>
      <w:r>
        <w:rPr>
          <w:rFonts w:ascii="Times New Roman" w:hAnsi="Times New Roman" w:cs="Times New Roman"/>
          <w:color w:val="000000"/>
          <w:szCs w:val="32"/>
        </w:rPr>
        <w:t>全年引进“三类500强”项目1个、投资过亿元项目</w:t>
      </w:r>
      <w:r>
        <w:rPr>
          <w:rFonts w:hint="eastAsia" w:ascii="Times New Roman" w:hAnsi="Times New Roman" w:cs="Times New Roman"/>
          <w:color w:val="000000"/>
          <w:szCs w:val="32"/>
          <w:lang w:val="en-US" w:eastAsia="zh-CN"/>
        </w:rPr>
        <w:t>7</w:t>
      </w:r>
      <w:r>
        <w:rPr>
          <w:rFonts w:ascii="Times New Roman" w:hAnsi="Times New Roman" w:cs="Times New Roman"/>
          <w:color w:val="000000"/>
          <w:szCs w:val="32"/>
        </w:rPr>
        <w:t>个、过5000万元项目</w:t>
      </w:r>
      <w:r>
        <w:rPr>
          <w:rFonts w:hint="eastAsia" w:ascii="Times New Roman" w:hAnsi="Times New Roman" w:cs="Times New Roman"/>
          <w:color w:val="000000"/>
          <w:szCs w:val="32"/>
          <w:lang w:val="en-US" w:eastAsia="zh-CN"/>
        </w:rPr>
        <w:t>15</w:t>
      </w:r>
      <w:r>
        <w:rPr>
          <w:rFonts w:ascii="Times New Roman" w:hAnsi="Times New Roman" w:cs="Times New Roman"/>
          <w:color w:val="000000"/>
          <w:szCs w:val="32"/>
        </w:rPr>
        <w:t>个的工作任务，科学下发目标任务至各乡镇、园区、县直招商引资责任单位，并完善招商考核机制，进一步发动全员招商，争创全市开放型经济先进县。</w:t>
      </w:r>
    </w:p>
    <w:p w14:paraId="10F4E42D">
      <w:pPr>
        <w:pStyle w:val="2"/>
        <w:spacing w:line="594" w:lineRule="exact"/>
        <w:ind w:firstLine="640" w:firstLineChars="200"/>
        <w:rPr>
          <w:rFonts w:ascii="Times New Roman" w:hAnsi="Times New Roman" w:cs="Times New Roman"/>
          <w:color w:val="000000"/>
          <w:szCs w:val="32"/>
        </w:rPr>
      </w:pPr>
      <w:r>
        <w:rPr>
          <w:rFonts w:ascii="Times New Roman" w:hAnsi="Times New Roman" w:cs="Times New Roman"/>
          <w:color w:val="000000"/>
          <w:szCs w:val="32"/>
        </w:rPr>
        <w:t>（二）在条件允许的情况，增强</w:t>
      </w:r>
      <w:r>
        <w:rPr>
          <w:rFonts w:hint="eastAsia" w:ascii="Times New Roman" w:hAnsi="Times New Roman" w:cs="Times New Roman"/>
          <w:color w:val="000000"/>
          <w:szCs w:val="32"/>
        </w:rPr>
        <w:t>中心</w:t>
      </w:r>
      <w:r>
        <w:rPr>
          <w:rFonts w:ascii="Times New Roman" w:hAnsi="Times New Roman" w:cs="Times New Roman"/>
          <w:color w:val="000000"/>
          <w:szCs w:val="32"/>
        </w:rPr>
        <w:t>财务计划执行情况，进</w:t>
      </w:r>
      <w:r>
        <w:rPr>
          <w:rFonts w:hint="eastAsia" w:ascii="Times New Roman" w:hAnsi="Times New Roman" w:cs="Times New Roman"/>
          <w:color w:val="000000"/>
          <w:szCs w:val="32"/>
        </w:rPr>
        <w:t>一</w:t>
      </w:r>
      <w:r>
        <w:rPr>
          <w:rFonts w:ascii="Times New Roman" w:hAnsi="Times New Roman" w:cs="Times New Roman"/>
          <w:color w:val="000000"/>
          <w:szCs w:val="32"/>
        </w:rPr>
        <w:t>步加强</w:t>
      </w:r>
      <w:r>
        <w:rPr>
          <w:rFonts w:hint="eastAsia" w:ascii="Times New Roman" w:hAnsi="Times New Roman" w:cs="Times New Roman"/>
          <w:color w:val="000000"/>
          <w:szCs w:val="32"/>
        </w:rPr>
        <w:t>中心</w:t>
      </w:r>
      <w:r>
        <w:rPr>
          <w:rFonts w:ascii="Times New Roman" w:hAnsi="Times New Roman" w:cs="Times New Roman"/>
          <w:color w:val="000000"/>
          <w:szCs w:val="32"/>
        </w:rPr>
        <w:t>的财务、会计核算工作，将</w:t>
      </w:r>
      <w:r>
        <w:rPr>
          <w:rFonts w:hint="eastAsia" w:ascii="Times New Roman" w:hAnsi="Times New Roman" w:cs="Times New Roman"/>
          <w:color w:val="000000"/>
          <w:szCs w:val="32"/>
        </w:rPr>
        <w:t>中心</w:t>
      </w:r>
      <w:r>
        <w:rPr>
          <w:rFonts w:ascii="Times New Roman" w:hAnsi="Times New Roman" w:cs="Times New Roman"/>
          <w:color w:val="000000"/>
          <w:szCs w:val="32"/>
        </w:rPr>
        <w:t>的财务基础工作进一步做实。</w:t>
      </w:r>
    </w:p>
    <w:p w14:paraId="00B2D268">
      <w:pPr>
        <w:pStyle w:val="2"/>
        <w:spacing w:line="594" w:lineRule="exact"/>
        <w:ind w:firstLine="640" w:firstLineChars="200"/>
        <w:rPr>
          <w:color w:val="000000"/>
          <w:szCs w:val="32"/>
        </w:rPr>
        <w:sectPr>
          <w:pgSz w:w="11906" w:h="16838"/>
          <w:pgMar w:top="1440" w:right="1800" w:bottom="1440" w:left="1800" w:header="851" w:footer="992" w:gutter="0"/>
          <w:cols w:space="425" w:num="1"/>
          <w:docGrid w:type="lines" w:linePitch="312" w:charSpace="0"/>
        </w:sectPr>
      </w:pPr>
      <w:r>
        <w:rPr>
          <w:rFonts w:hint="eastAsia" w:ascii="Times New Roman" w:hAnsi="Times New Roman" w:cs="Times New Roman"/>
          <w:color w:val="000000"/>
          <w:szCs w:val="32"/>
        </w:rPr>
        <w:t>（三）</w:t>
      </w:r>
      <w:r>
        <w:rPr>
          <w:rFonts w:ascii="Times New Roman" w:hAnsi="Times New Roman" w:cs="Times New Roman"/>
          <w:color w:val="000000"/>
          <w:szCs w:val="32"/>
        </w:rPr>
        <w:t>增强财务计划的管理，从源头做好财务管理工作，为领导决策提供有用的决策信息。</w:t>
      </w:r>
    </w:p>
    <w:p w14:paraId="5762C3D6"/>
    <w:sectPr>
      <w:pgSz w:w="16838" w:h="11906" w:orient="landscape"/>
      <w:pgMar w:top="1803" w:right="1440" w:bottom="1803" w:left="1440" w:header="851" w:footer="992" w:gutter="0"/>
      <w:cols w:space="0" w:num="1"/>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E64D71-3D5C-4A4E-AE06-83C0C0BB3F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embedRegular r:id="rId2" w:fontKey="{64505707-8DFE-482A-8084-87304D7861C6}"/>
  </w:font>
  <w:font w:name="Courier New">
    <w:panose1 w:val="02070309020205020404"/>
    <w:charset w:val="00"/>
    <w:family w:val="modern"/>
    <w:pitch w:val="default"/>
    <w:sig w:usb0="E0002EFF" w:usb1="C0007843" w:usb2="00000009" w:usb3="00000000" w:csb0="400001FF" w:csb1="FFFF0000"/>
  </w:font>
  <w:font w:name="方正小标宋简体">
    <w:panose1 w:val="02010600010101010101"/>
    <w:charset w:val="86"/>
    <w:family w:val="auto"/>
    <w:pitch w:val="default"/>
    <w:sig w:usb0="00000001" w:usb1="080E0000" w:usb2="00000000" w:usb3="00000000" w:csb0="00040000" w:csb1="00000000"/>
    <w:embedRegular r:id="rId3" w:fontKey="{48FD1C07-56DF-4BD8-8C7B-25A104F863BF}"/>
  </w:font>
  <w:font w:name="楷体_GB2312">
    <w:altName w:val="楷体"/>
    <w:panose1 w:val="02010609030101010101"/>
    <w:charset w:val="86"/>
    <w:family w:val="modern"/>
    <w:pitch w:val="default"/>
    <w:sig w:usb0="00000000" w:usb1="00000000" w:usb2="00000010" w:usb3="00000000" w:csb0="00040000" w:csb1="00000000"/>
    <w:embedRegular r:id="rId4" w:fontKey="{3790FD8B-4077-480B-9372-B6A237A57D26}"/>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楷体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031F9"/>
    <w:multiLevelType w:val="multilevel"/>
    <w:tmpl w:val="02C031F9"/>
    <w:lvl w:ilvl="0" w:tentative="0">
      <w:start w:val="2"/>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74E4478E"/>
    <w:multiLevelType w:val="singleLevel"/>
    <w:tmpl w:val="74E4478E"/>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218"/>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RjNWI2OTBiYWI5Y2NlOTdjZTNhZTFkN2ZhZThlYjQifQ=="/>
  </w:docVars>
  <w:rsids>
    <w:rsidRoot w:val="00A873AB"/>
    <w:rsid w:val="000C2624"/>
    <w:rsid w:val="00160F83"/>
    <w:rsid w:val="00171571"/>
    <w:rsid w:val="00172566"/>
    <w:rsid w:val="001C3EA5"/>
    <w:rsid w:val="00396778"/>
    <w:rsid w:val="004B1D21"/>
    <w:rsid w:val="00520716"/>
    <w:rsid w:val="00595F43"/>
    <w:rsid w:val="005B46EC"/>
    <w:rsid w:val="006342CB"/>
    <w:rsid w:val="006A6984"/>
    <w:rsid w:val="007762B3"/>
    <w:rsid w:val="00851EA3"/>
    <w:rsid w:val="00A84A63"/>
    <w:rsid w:val="00A873AB"/>
    <w:rsid w:val="00B322B0"/>
    <w:rsid w:val="00BF4B6F"/>
    <w:rsid w:val="00E70544"/>
    <w:rsid w:val="00F340FE"/>
    <w:rsid w:val="088C2B61"/>
    <w:rsid w:val="2EC21951"/>
    <w:rsid w:val="4D0B6C19"/>
    <w:rsid w:val="593D25EC"/>
    <w:rsid w:val="70365181"/>
    <w:rsid w:val="73193A79"/>
    <w:rsid w:val="782201E3"/>
    <w:rsid w:val="7F8A1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3">
    <w:name w:val="footer"/>
    <w:basedOn w:val="1"/>
    <w:link w:val="12"/>
    <w:uiPriority w:val="0"/>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character" w:customStyle="1" w:styleId="7">
    <w:name w:val="font41"/>
    <w:basedOn w:val="6"/>
    <w:uiPriority w:val="0"/>
    <w:rPr>
      <w:rFonts w:hint="default" w:ascii="Times New Roman" w:hAnsi="Times New Roman" w:cs="Times New Roman"/>
      <w:b/>
      <w:bCs/>
      <w:color w:val="000000"/>
      <w:sz w:val="22"/>
      <w:szCs w:val="22"/>
      <w:u w:val="none"/>
    </w:rPr>
  </w:style>
  <w:style w:type="character" w:customStyle="1" w:styleId="8">
    <w:name w:val="font01"/>
    <w:basedOn w:val="6"/>
    <w:uiPriority w:val="0"/>
    <w:rPr>
      <w:rFonts w:hint="eastAsia" w:ascii="宋体" w:hAnsi="宋体" w:eastAsia="宋体" w:cs="宋体"/>
      <w:b/>
      <w:bCs/>
      <w:color w:val="000000"/>
      <w:sz w:val="22"/>
      <w:szCs w:val="22"/>
      <w:u w:val="none"/>
    </w:rPr>
  </w:style>
  <w:style w:type="character" w:customStyle="1" w:styleId="9">
    <w:name w:val="font61"/>
    <w:basedOn w:val="6"/>
    <w:uiPriority w:val="0"/>
    <w:rPr>
      <w:rFonts w:hint="default" w:ascii="Times New Roman" w:hAnsi="Times New Roman" w:cs="Times New Roman"/>
      <w:color w:val="000000"/>
      <w:sz w:val="22"/>
      <w:szCs w:val="22"/>
      <w:u w:val="none"/>
    </w:rPr>
  </w:style>
  <w:style w:type="character" w:customStyle="1" w:styleId="10">
    <w:name w:val="font11"/>
    <w:basedOn w:val="6"/>
    <w:uiPriority w:val="0"/>
    <w:rPr>
      <w:rFonts w:hint="eastAsia" w:ascii="宋体" w:hAnsi="宋体" w:eastAsia="宋体" w:cs="宋体"/>
      <w:color w:val="000000"/>
      <w:sz w:val="22"/>
      <w:szCs w:val="22"/>
      <w:u w:val="none"/>
    </w:rPr>
  </w:style>
  <w:style w:type="character" w:customStyle="1" w:styleId="11">
    <w:name w:val="页眉 Char"/>
    <w:basedOn w:val="6"/>
    <w:link w:val="4"/>
    <w:uiPriority w:val="0"/>
    <w:rPr>
      <w:rFonts w:eastAsia="仿宋_GB2312"/>
      <w:kern w:val="2"/>
      <w:sz w:val="18"/>
      <w:szCs w:val="18"/>
    </w:rPr>
  </w:style>
  <w:style w:type="character" w:customStyle="1" w:styleId="12">
    <w:name w:val="页脚 Char"/>
    <w:basedOn w:val="6"/>
    <w:link w:val="3"/>
    <w:qFormat/>
    <w:uiPriority w:val="0"/>
    <w:rPr>
      <w:rFonts w:eastAsia="仿宋_GB2312"/>
      <w:kern w:val="2"/>
      <w:sz w:val="18"/>
      <w:szCs w:val="18"/>
    </w:rPr>
  </w:style>
  <w:style w:type="character" w:customStyle="1" w:styleId="13">
    <w:name w:val="NormalCharacter"/>
    <w:autoRedefine/>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928898-C837-4606-A5A2-D87C1E86944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2878</Words>
  <Characters>3039</Characters>
  <Lines>22</Lines>
  <Paragraphs>6</Paragraphs>
  <TotalTime>3</TotalTime>
  <ScaleCrop>false</ScaleCrop>
  <LinksUpToDate>false</LinksUpToDate>
  <CharactersWithSpaces>3055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2024-04-25T07:51:00Z</dcterms:created>
  <dc:creator>Administrator</dc:creator>
  <cp:lastModifiedBy>桃江县商务局</cp:lastModifiedBy>
  <cp:lastPrinted>2024-04-29T08:11:00Z</cp:lastPrinted>
  <dcterms:modified xsi:type="dcterms:W3CDTF">2025-05-28T09:23:14Z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4351497DCE894D808C469AB4E2787904_12</vt:lpwstr>
  </property>
  <property fmtid="{D5CDD505-2E9C-101B-9397-08002B2CF9AE}" pid="4" name="KSOTemplateDocerSaveRecord">
    <vt:lpwstr>eyJoZGlkIjoiY2RjNWI2OTBiYWI5Y2NlOTdjZTNhZTFkN2ZhZThlYjQiLCJ1c2VySWQiOiI1MTMwMDQ5MDcifQ==</vt:lpwstr>
  </property>
</Properties>
</file>