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DA5A36">
      <w:pPr>
        <w:keepNext w:val="0"/>
        <w:keepLines w:val="0"/>
        <w:pageBreakBefore w:val="0"/>
        <w:kinsoku/>
        <w:wordWrap/>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桃江县司法局</w:t>
      </w:r>
      <w:r>
        <w:rPr>
          <w:rFonts w:hint="eastAsia" w:eastAsia="方正小标宋简体" w:cs="Times New Roman"/>
          <w:sz w:val="44"/>
          <w:szCs w:val="44"/>
          <w:lang w:eastAsia="zh-CN"/>
        </w:rPr>
        <w:t>2024年</w:t>
      </w:r>
      <w:r>
        <w:rPr>
          <w:rFonts w:hint="default" w:ascii="Times New Roman" w:hAnsi="Times New Roman" w:eastAsia="方正小标宋简体" w:cs="Times New Roman"/>
          <w:sz w:val="44"/>
          <w:szCs w:val="44"/>
          <w:lang w:eastAsia="zh-CN"/>
        </w:rPr>
        <w:t>度</w:t>
      </w:r>
      <w:r>
        <w:rPr>
          <w:rFonts w:hint="default" w:ascii="Times New Roman" w:hAnsi="Times New Roman" w:eastAsia="方正小标宋简体" w:cs="Times New Roman"/>
          <w:sz w:val="44"/>
          <w:szCs w:val="44"/>
        </w:rPr>
        <w:t>部门整体支出</w:t>
      </w:r>
    </w:p>
    <w:p w14:paraId="58CA097D">
      <w:pPr>
        <w:keepNext w:val="0"/>
        <w:keepLines w:val="0"/>
        <w:pageBreakBefore w:val="0"/>
        <w:kinsoku/>
        <w:wordWrap/>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绩效报告</w:t>
      </w:r>
    </w:p>
    <w:p w14:paraId="76BB52C3">
      <w:pPr>
        <w:keepNext w:val="0"/>
        <w:keepLines w:val="0"/>
        <w:pageBreakBefore w:val="0"/>
        <w:kinsoku/>
        <w:wordWrap/>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p>
    <w:p w14:paraId="2DDF8392">
      <w:pPr>
        <w:keepNext w:val="0"/>
        <w:keepLines w:val="0"/>
        <w:pageBreakBefore w:val="0"/>
        <w:kinsoku/>
        <w:wordWrap/>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为进一步规范单位预算绩效目标管理，规范支出预算执行，提高财政资金使用效率，我局对</w:t>
      </w:r>
      <w:r>
        <w:rPr>
          <w:rFonts w:hint="eastAsia" w:eastAsia="仿宋_GB2312" w:cs="Times New Roman"/>
          <w:sz w:val="32"/>
          <w:szCs w:val="32"/>
          <w:lang w:eastAsia="zh-CN"/>
        </w:rPr>
        <w:t>2024年</w:t>
      </w:r>
      <w:r>
        <w:rPr>
          <w:rFonts w:hint="default" w:ascii="Times New Roman" w:hAnsi="Times New Roman" w:eastAsia="仿宋_GB2312" w:cs="Times New Roman"/>
          <w:sz w:val="32"/>
          <w:szCs w:val="32"/>
        </w:rPr>
        <w:t>度</w:t>
      </w:r>
      <w:r>
        <w:rPr>
          <w:rFonts w:hint="default" w:ascii="Times New Roman" w:hAnsi="Times New Roman" w:eastAsia="仿宋_GB2312" w:cs="Times New Roman"/>
          <w:sz w:val="32"/>
          <w:szCs w:val="32"/>
          <w:lang w:eastAsia="zh-CN"/>
        </w:rPr>
        <w:t>部门整体支出</w:t>
      </w:r>
      <w:r>
        <w:rPr>
          <w:rFonts w:hint="default" w:ascii="Times New Roman" w:hAnsi="Times New Roman" w:eastAsia="仿宋_GB2312" w:cs="Times New Roman"/>
          <w:sz w:val="32"/>
          <w:szCs w:val="32"/>
        </w:rPr>
        <w:t>情况进行了绩效自评，现将有关情况报告如下：</w:t>
      </w:r>
    </w:p>
    <w:p w14:paraId="2F38F96B">
      <w:pPr>
        <w:keepNext w:val="0"/>
        <w:keepLines w:val="0"/>
        <w:pageBreakBefore w:val="0"/>
        <w:kinsoku/>
        <w:wordWrap/>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一、部门概况</w:t>
      </w:r>
    </w:p>
    <w:p w14:paraId="4ED02E77">
      <w:pPr>
        <w:keepNext w:val="0"/>
        <w:keepLines w:val="0"/>
        <w:pageBreakBefore w:val="0"/>
        <w:kinsoku/>
        <w:wordWrap/>
        <w:overflowPunct w:val="0"/>
        <w:topLinePunct w:val="0"/>
        <w:autoSpaceDE/>
        <w:autoSpaceDN/>
        <w:bidi w:val="0"/>
        <w:adjustRightInd/>
        <w:snapToGrid/>
        <w:spacing w:line="594"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（一）部门基本情况：</w:t>
      </w:r>
      <w:r>
        <w:rPr>
          <w:rFonts w:hint="default" w:ascii="Times New Roman" w:hAnsi="Times New Roman" w:eastAsia="仿宋_GB2312" w:cs="Times New Roman"/>
          <w:sz w:val="32"/>
          <w:szCs w:val="32"/>
        </w:rPr>
        <w:t>桃江县司法局是主管全县司法行政工作的政府组成部门，为财政预算全额拨款正科级行政单位，</w:t>
      </w:r>
      <w:r>
        <w:rPr>
          <w:rFonts w:hint="default" w:ascii="Times New Roman" w:hAnsi="Times New Roman" w:eastAsia="仿宋_GB2312" w:cs="Times New Roman"/>
          <w:sz w:val="32"/>
          <w:szCs w:val="32"/>
          <w:lang w:eastAsia="zh-CN"/>
        </w:rPr>
        <w:t>承担全面依法治县、法治政府建设、普法宣传、法律援助、人民调解、社区矫正、律师公证、法律服务等工作职能。内设</w:t>
      </w:r>
      <w:r>
        <w:rPr>
          <w:rFonts w:hint="default" w:ascii="Times New Roman" w:hAnsi="Times New Roman" w:eastAsia="仿宋_GB2312" w:cs="Times New Roman"/>
          <w:sz w:val="32"/>
          <w:szCs w:val="32"/>
          <w:lang w:val="en-US" w:eastAsia="zh-CN"/>
        </w:rPr>
        <w:t>12个职能股室，下辖16个基层司法所，2个事业单位（县法律援助中心、县公证处），行业管理2个司法鉴定所、2个律师事务所和6个基层法律服务所。2024年实有编制95个，其中政法专项编制81个、全额事业编制9个、自收自支事业编制5个。年末实有在职在编人员87人，其中行政编制人员74人、机关工勤人员1人、全额事业编人员7人、自收自支人员5人。退休人员44人</w:t>
      </w:r>
      <w:r>
        <w:rPr>
          <w:rFonts w:hint="eastAsia" w:ascii="Times New Roman" w:hAnsi="Times New Roman" w:eastAsia="仿宋_GB2312" w:cs="Times New Roman"/>
          <w:sz w:val="32"/>
          <w:szCs w:val="32"/>
          <w:lang w:val="en-US" w:eastAsia="zh-CN"/>
        </w:rPr>
        <w:t>。</w:t>
      </w:r>
    </w:p>
    <w:p w14:paraId="3647387E">
      <w:pPr>
        <w:keepNext w:val="0"/>
        <w:keepLines w:val="0"/>
        <w:pageBreakBefore w:val="0"/>
        <w:kinsoku/>
        <w:wordWrap/>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（二）部门主要职能：</w:t>
      </w:r>
      <w:r>
        <w:rPr>
          <w:rFonts w:hint="default" w:ascii="Times New Roman" w:hAnsi="Times New Roman" w:eastAsia="仿宋_GB2312" w:cs="Times New Roman"/>
          <w:sz w:val="32"/>
          <w:szCs w:val="32"/>
        </w:rPr>
        <w:t>贯彻执行</w:t>
      </w:r>
      <w:r>
        <w:rPr>
          <w:rFonts w:hint="default" w:ascii="Times New Roman" w:hAnsi="Times New Roman" w:eastAsia="仿宋_GB2312" w:cs="Times New Roman"/>
          <w:sz w:val="32"/>
          <w:szCs w:val="32"/>
          <w:lang w:eastAsia="zh-CN"/>
        </w:rPr>
        <w:t>党和国家</w:t>
      </w:r>
      <w:r>
        <w:rPr>
          <w:rFonts w:hint="default" w:ascii="Times New Roman" w:hAnsi="Times New Roman" w:eastAsia="仿宋_GB2312" w:cs="Times New Roman"/>
          <w:sz w:val="32"/>
          <w:szCs w:val="32"/>
        </w:rPr>
        <w:t>有关司法行政工作的法律、法规和方针、政策；</w:t>
      </w:r>
      <w:r>
        <w:rPr>
          <w:rFonts w:hint="default" w:ascii="Times New Roman" w:hAnsi="Times New Roman" w:eastAsia="仿宋_GB2312" w:cs="Times New Roman"/>
          <w:sz w:val="32"/>
          <w:szCs w:val="32"/>
          <w:lang w:eastAsia="zh-CN"/>
        </w:rPr>
        <w:t>制定</w:t>
      </w:r>
      <w:r>
        <w:rPr>
          <w:rFonts w:hint="default" w:ascii="Times New Roman" w:hAnsi="Times New Roman" w:eastAsia="仿宋_GB2312" w:cs="Times New Roman"/>
          <w:sz w:val="32"/>
          <w:szCs w:val="32"/>
        </w:rPr>
        <w:t>全县司法行政工作中长期发展规划和年度计划并组织实施；</w:t>
      </w:r>
      <w:r>
        <w:rPr>
          <w:rFonts w:hint="default" w:ascii="Times New Roman" w:hAnsi="Times New Roman" w:eastAsia="仿宋_GB2312" w:cs="Times New Roman"/>
          <w:sz w:val="32"/>
          <w:szCs w:val="32"/>
          <w:lang w:eastAsia="zh-CN"/>
        </w:rPr>
        <w:t>统筹推进全面依法治县</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全面推进法治政府建设；对规范性文件及重大行政决策进行合法性审查；指导、监督全县行政执法工作；办理行政复议和行政应诉案件；开展法治宣传教育；开展社区矫正和刑满释放人员的安置帮教工作；指导管理律师、公证、司法鉴定和基层法律服务等工作；开展法律援助服务；化解各类矛盾纠纷；</w:t>
      </w:r>
      <w:r>
        <w:rPr>
          <w:rFonts w:hint="default" w:ascii="Times New Roman" w:hAnsi="Times New Roman" w:eastAsia="仿宋_GB2312" w:cs="Times New Roman"/>
          <w:sz w:val="32"/>
          <w:szCs w:val="32"/>
        </w:rPr>
        <w:t>指导管理全系统党的建设、队伍建设和思想政治建设工作；指导管理全系统的计划财务、服装和警用车辆等物资装备工作；承办县委、县人民政府和上级司法行政部门的其他事项。</w:t>
      </w:r>
    </w:p>
    <w:p w14:paraId="6FC472D8">
      <w:pPr>
        <w:pStyle w:val="7"/>
        <w:keepNext w:val="0"/>
        <w:keepLines w:val="0"/>
        <w:pageBreakBefore w:val="0"/>
        <w:widowControl/>
        <w:kinsoku/>
        <w:wordWrap/>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kern w:val="2"/>
          <w:sz w:val="32"/>
          <w:szCs w:val="32"/>
          <w:u w:val="none"/>
        </w:rPr>
      </w:pPr>
      <w:r>
        <w:rPr>
          <w:rFonts w:hint="default" w:ascii="Times New Roman" w:hAnsi="Times New Roman" w:eastAsia="楷体_GB2312" w:cs="Times New Roman"/>
          <w:color w:val="auto"/>
          <w:kern w:val="2"/>
          <w:sz w:val="32"/>
          <w:szCs w:val="32"/>
          <w:u w:val="none"/>
        </w:rPr>
        <w:t>（三）部门整体支出规模与使用方向：</w:t>
      </w:r>
      <w:r>
        <w:rPr>
          <w:rFonts w:hint="eastAsia" w:ascii="Times New Roman" w:hAnsi="Times New Roman" w:eastAsia="仿宋_GB2312" w:cs="Times New Roman"/>
          <w:color w:val="auto"/>
          <w:kern w:val="2"/>
          <w:sz w:val="32"/>
          <w:szCs w:val="32"/>
          <w:u w:val="none"/>
          <w:lang w:eastAsia="zh-CN"/>
        </w:rPr>
        <w:t>2024年</w:t>
      </w:r>
      <w:r>
        <w:rPr>
          <w:rFonts w:hint="default" w:ascii="Times New Roman" w:hAnsi="Times New Roman" w:eastAsia="仿宋_GB2312" w:cs="Times New Roman"/>
          <w:color w:val="auto"/>
          <w:kern w:val="2"/>
          <w:sz w:val="32"/>
          <w:szCs w:val="32"/>
          <w:u w:val="none"/>
        </w:rPr>
        <w:t>总支出</w:t>
      </w:r>
      <w:r>
        <w:rPr>
          <w:rFonts w:hint="eastAsia" w:ascii="Times New Roman" w:hAnsi="Times New Roman" w:eastAsia="仿宋_GB2312" w:cs="Times New Roman"/>
          <w:color w:val="auto"/>
          <w:kern w:val="2"/>
          <w:sz w:val="32"/>
          <w:szCs w:val="32"/>
          <w:u w:val="none"/>
          <w:lang w:val="en-US" w:eastAsia="zh-CN"/>
        </w:rPr>
        <w:t>1746.75</w:t>
      </w:r>
      <w:r>
        <w:rPr>
          <w:rFonts w:hint="default" w:ascii="Times New Roman" w:hAnsi="Times New Roman" w:eastAsia="仿宋_GB2312" w:cs="Times New Roman"/>
          <w:color w:val="auto"/>
          <w:kern w:val="2"/>
          <w:sz w:val="32"/>
          <w:szCs w:val="32"/>
          <w:u w:val="none"/>
        </w:rPr>
        <w:t>万元。其中：基本支出</w:t>
      </w:r>
      <w:r>
        <w:rPr>
          <w:rFonts w:hint="eastAsia" w:ascii="Times New Roman" w:hAnsi="Times New Roman" w:eastAsia="仿宋_GB2312" w:cs="Times New Roman"/>
          <w:color w:val="auto"/>
          <w:kern w:val="2"/>
          <w:sz w:val="32"/>
          <w:szCs w:val="32"/>
          <w:u w:val="none"/>
          <w:lang w:val="en-US" w:eastAsia="zh-CN"/>
        </w:rPr>
        <w:t>1063.49</w:t>
      </w:r>
      <w:r>
        <w:rPr>
          <w:rFonts w:hint="default" w:ascii="Times New Roman" w:hAnsi="Times New Roman" w:eastAsia="仿宋_GB2312" w:cs="Times New Roman"/>
          <w:color w:val="auto"/>
          <w:kern w:val="2"/>
          <w:sz w:val="32"/>
          <w:szCs w:val="32"/>
          <w:u w:val="none"/>
        </w:rPr>
        <w:t>万元，主要用于保障</w:t>
      </w:r>
      <w:r>
        <w:rPr>
          <w:rFonts w:hint="default" w:ascii="Times New Roman" w:hAnsi="Times New Roman" w:eastAsia="仿宋_GB2312" w:cs="Times New Roman"/>
          <w:color w:val="auto"/>
          <w:kern w:val="2"/>
          <w:sz w:val="32"/>
          <w:szCs w:val="32"/>
          <w:u w:val="none"/>
          <w:lang w:eastAsia="zh-CN"/>
        </w:rPr>
        <w:t>部门</w:t>
      </w:r>
      <w:r>
        <w:rPr>
          <w:rFonts w:hint="default" w:ascii="Times New Roman" w:hAnsi="Times New Roman" w:eastAsia="仿宋_GB2312" w:cs="Times New Roman"/>
          <w:color w:val="auto"/>
          <w:kern w:val="2"/>
          <w:sz w:val="32"/>
          <w:szCs w:val="32"/>
          <w:u w:val="none"/>
        </w:rPr>
        <w:t>正常运转、完成日常工作任务而发生的支出，包括基本工资、津贴补贴等人员经费</w:t>
      </w:r>
      <w:r>
        <w:rPr>
          <w:rFonts w:hint="default" w:ascii="Times New Roman" w:hAnsi="Times New Roman" w:eastAsia="仿宋_GB2312" w:cs="Times New Roman"/>
          <w:color w:val="auto"/>
          <w:kern w:val="2"/>
          <w:sz w:val="32"/>
          <w:szCs w:val="32"/>
          <w:u w:val="none"/>
          <w:lang w:eastAsia="zh-CN"/>
        </w:rPr>
        <w:t>和</w:t>
      </w:r>
      <w:r>
        <w:rPr>
          <w:rFonts w:hint="default" w:ascii="Times New Roman" w:hAnsi="Times New Roman" w:eastAsia="仿宋_GB2312" w:cs="Times New Roman"/>
          <w:color w:val="auto"/>
          <w:kern w:val="2"/>
          <w:sz w:val="32"/>
          <w:szCs w:val="32"/>
          <w:u w:val="none"/>
        </w:rPr>
        <w:t>办公费、印刷费、水电费、办公设备购置等日常公用经费，占总支出的</w:t>
      </w:r>
      <w:r>
        <w:rPr>
          <w:rFonts w:hint="eastAsia" w:ascii="Times New Roman" w:hAnsi="Times New Roman" w:eastAsia="仿宋_GB2312" w:cs="Times New Roman"/>
          <w:color w:val="auto"/>
          <w:kern w:val="2"/>
          <w:sz w:val="32"/>
          <w:szCs w:val="32"/>
          <w:u w:val="none"/>
          <w:lang w:val="en-US" w:eastAsia="zh-CN"/>
        </w:rPr>
        <w:t>60.88</w:t>
      </w:r>
      <w:r>
        <w:rPr>
          <w:rFonts w:hint="default" w:ascii="Times New Roman" w:hAnsi="Times New Roman" w:eastAsia="仿宋_GB2312" w:cs="Times New Roman"/>
          <w:color w:val="auto"/>
          <w:kern w:val="2"/>
          <w:sz w:val="32"/>
          <w:szCs w:val="32"/>
          <w:u w:val="none"/>
        </w:rPr>
        <w:t>％；项目支出</w:t>
      </w:r>
      <w:r>
        <w:rPr>
          <w:rFonts w:hint="eastAsia" w:ascii="Times New Roman" w:hAnsi="Times New Roman" w:eastAsia="仿宋_GB2312" w:cs="Times New Roman"/>
          <w:color w:val="auto"/>
          <w:kern w:val="2"/>
          <w:sz w:val="32"/>
          <w:szCs w:val="32"/>
          <w:u w:val="none"/>
          <w:lang w:val="en-US" w:eastAsia="zh-CN"/>
        </w:rPr>
        <w:t>683.26</w:t>
      </w:r>
      <w:r>
        <w:rPr>
          <w:rFonts w:hint="default" w:ascii="Times New Roman" w:hAnsi="Times New Roman" w:eastAsia="仿宋_GB2312" w:cs="Times New Roman"/>
          <w:color w:val="auto"/>
          <w:kern w:val="2"/>
          <w:sz w:val="32"/>
          <w:szCs w:val="32"/>
          <w:u w:val="none"/>
        </w:rPr>
        <w:t>万元，是用于保障完成特定的工作任务或发展目标</w:t>
      </w:r>
      <w:r>
        <w:rPr>
          <w:rFonts w:hint="default" w:ascii="Times New Roman" w:hAnsi="Times New Roman" w:eastAsia="仿宋_GB2312" w:cs="Times New Roman"/>
          <w:color w:val="auto"/>
          <w:kern w:val="2"/>
          <w:sz w:val="32"/>
          <w:szCs w:val="32"/>
          <w:u w:val="none"/>
          <w:lang w:eastAsia="zh-CN"/>
        </w:rPr>
        <w:t>的</w:t>
      </w:r>
      <w:r>
        <w:rPr>
          <w:rFonts w:hint="default" w:ascii="Times New Roman" w:hAnsi="Times New Roman" w:eastAsia="仿宋_GB2312" w:cs="Times New Roman"/>
          <w:color w:val="auto"/>
          <w:kern w:val="2"/>
          <w:sz w:val="32"/>
          <w:szCs w:val="32"/>
          <w:u w:val="none"/>
        </w:rPr>
        <w:t>专项业务经费支出，主要包括：普法宣传、人民调解</w:t>
      </w:r>
      <w:r>
        <w:rPr>
          <w:rFonts w:hint="default" w:ascii="Times New Roman" w:hAnsi="Times New Roman" w:eastAsia="仿宋_GB2312" w:cs="Times New Roman"/>
          <w:color w:val="auto"/>
          <w:kern w:val="2"/>
          <w:sz w:val="32"/>
          <w:szCs w:val="32"/>
          <w:u w:val="none"/>
          <w:lang w:eastAsia="zh-CN"/>
        </w:rPr>
        <w:t>、以奖代补</w:t>
      </w:r>
      <w:r>
        <w:rPr>
          <w:rFonts w:hint="default" w:ascii="Times New Roman" w:hAnsi="Times New Roman" w:eastAsia="仿宋_GB2312" w:cs="Times New Roman"/>
          <w:color w:val="auto"/>
          <w:kern w:val="2"/>
          <w:sz w:val="32"/>
          <w:szCs w:val="32"/>
          <w:u w:val="none"/>
        </w:rPr>
        <w:t>、社区矫正</w:t>
      </w:r>
      <w:r>
        <w:rPr>
          <w:rFonts w:hint="default" w:ascii="Times New Roman" w:hAnsi="Times New Roman" w:eastAsia="仿宋_GB2312" w:cs="Times New Roman"/>
          <w:color w:val="auto"/>
          <w:kern w:val="2"/>
          <w:sz w:val="32"/>
          <w:szCs w:val="32"/>
          <w:u w:val="none"/>
          <w:lang w:eastAsia="zh-CN"/>
        </w:rPr>
        <w:t>、安置帮教</w:t>
      </w:r>
      <w:r>
        <w:rPr>
          <w:rFonts w:hint="default" w:ascii="Times New Roman" w:hAnsi="Times New Roman" w:eastAsia="仿宋_GB2312" w:cs="Times New Roman"/>
          <w:color w:val="auto"/>
          <w:kern w:val="2"/>
          <w:sz w:val="32"/>
          <w:szCs w:val="32"/>
          <w:u w:val="none"/>
        </w:rPr>
        <w:t>、法律援助、行政执法</w:t>
      </w:r>
      <w:r>
        <w:rPr>
          <w:rFonts w:hint="default" w:ascii="Times New Roman" w:hAnsi="Times New Roman" w:eastAsia="仿宋_GB2312" w:cs="Times New Roman"/>
          <w:color w:val="auto"/>
          <w:kern w:val="2"/>
          <w:sz w:val="32"/>
          <w:szCs w:val="32"/>
          <w:u w:val="none"/>
          <w:lang w:eastAsia="zh-CN"/>
        </w:rPr>
        <w:t>、法治建设</w:t>
      </w:r>
      <w:r>
        <w:rPr>
          <w:rFonts w:hint="default" w:ascii="Times New Roman" w:hAnsi="Times New Roman" w:eastAsia="仿宋_GB2312" w:cs="Times New Roman"/>
          <w:color w:val="auto"/>
          <w:kern w:val="2"/>
          <w:sz w:val="32"/>
          <w:szCs w:val="32"/>
          <w:u w:val="none"/>
        </w:rPr>
        <w:t>等工作，占总支出的</w:t>
      </w:r>
      <w:r>
        <w:rPr>
          <w:rFonts w:hint="eastAsia" w:ascii="Times New Roman" w:hAnsi="Times New Roman" w:eastAsia="仿宋_GB2312" w:cs="Times New Roman"/>
          <w:color w:val="auto"/>
          <w:kern w:val="2"/>
          <w:sz w:val="32"/>
          <w:szCs w:val="32"/>
          <w:u w:val="none"/>
          <w:lang w:val="en-US" w:eastAsia="zh-CN"/>
        </w:rPr>
        <w:t>39.12</w:t>
      </w:r>
      <w:r>
        <w:rPr>
          <w:rFonts w:hint="default" w:ascii="Times New Roman" w:hAnsi="Times New Roman" w:eastAsia="仿宋_GB2312" w:cs="Times New Roman"/>
          <w:color w:val="auto"/>
          <w:kern w:val="2"/>
          <w:sz w:val="32"/>
          <w:szCs w:val="32"/>
          <w:u w:val="none"/>
        </w:rPr>
        <w:t>％。</w:t>
      </w:r>
    </w:p>
    <w:p w14:paraId="382146B6">
      <w:pPr>
        <w:pStyle w:val="7"/>
        <w:keepNext w:val="0"/>
        <w:keepLines w:val="0"/>
        <w:pageBreakBefore w:val="0"/>
        <w:widowControl/>
        <w:kinsoku/>
        <w:wordWrap/>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kern w:val="2"/>
          <w:sz w:val="32"/>
          <w:szCs w:val="32"/>
          <w:u w:val="none"/>
          <w:lang w:val="en-US" w:eastAsia="zh-CN"/>
        </w:rPr>
      </w:pPr>
      <w:r>
        <w:rPr>
          <w:rFonts w:hint="default" w:ascii="Times New Roman" w:hAnsi="Times New Roman" w:eastAsia="楷体_GB2312" w:cs="Times New Roman"/>
          <w:color w:val="auto"/>
          <w:kern w:val="2"/>
          <w:sz w:val="32"/>
          <w:szCs w:val="32"/>
          <w:u w:val="none"/>
        </w:rPr>
        <w:t>（四）绩效目标设立情况</w:t>
      </w:r>
      <w:r>
        <w:rPr>
          <w:rFonts w:hint="default" w:ascii="Times New Roman" w:hAnsi="Times New Roman" w:eastAsia="楷体_GB2312" w:cs="Times New Roman"/>
          <w:color w:val="auto"/>
          <w:kern w:val="2"/>
          <w:sz w:val="32"/>
          <w:szCs w:val="32"/>
          <w:u w:val="none"/>
          <w:lang w:eastAsia="zh-CN"/>
        </w:rPr>
        <w:t>：</w:t>
      </w:r>
      <w:r>
        <w:rPr>
          <w:rFonts w:hint="default" w:ascii="Times New Roman" w:hAnsi="Times New Roman" w:eastAsia="仿宋_GB2312" w:cs="Times New Roman"/>
          <w:color w:val="auto"/>
          <w:kern w:val="2"/>
          <w:sz w:val="32"/>
          <w:szCs w:val="32"/>
          <w:u w:val="none"/>
          <w:lang w:eastAsia="zh-CN"/>
        </w:rPr>
        <w:t>根据预算绩效目标管理相关规定，结合年度目标任务，</w:t>
      </w:r>
      <w:r>
        <w:rPr>
          <w:rFonts w:hint="eastAsia" w:ascii="Times New Roman" w:hAnsi="Times New Roman" w:eastAsia="仿宋_GB2312" w:cs="Times New Roman"/>
          <w:color w:val="auto"/>
          <w:kern w:val="2"/>
          <w:sz w:val="32"/>
          <w:szCs w:val="32"/>
          <w:u w:val="none"/>
          <w:lang w:val="en-US" w:eastAsia="zh-CN"/>
        </w:rPr>
        <w:t>2024年</w:t>
      </w:r>
      <w:r>
        <w:rPr>
          <w:rFonts w:hint="default" w:ascii="Times New Roman" w:hAnsi="Times New Roman" w:eastAsia="仿宋_GB2312" w:cs="Times New Roman"/>
          <w:color w:val="auto"/>
          <w:kern w:val="2"/>
          <w:sz w:val="32"/>
          <w:szCs w:val="32"/>
          <w:u w:val="none"/>
          <w:lang w:eastAsia="zh-CN"/>
        </w:rPr>
        <w:t>主要绩效目标为：持续抓好“八五”普法工作，</w:t>
      </w:r>
      <w:r>
        <w:rPr>
          <w:rFonts w:hint="eastAsia" w:ascii="Times New Roman" w:hAnsi="Times New Roman" w:eastAsia="仿宋_GB2312" w:cs="Times New Roman"/>
          <w:color w:val="auto"/>
          <w:kern w:val="2"/>
          <w:sz w:val="32"/>
          <w:szCs w:val="32"/>
          <w:u w:val="none"/>
          <w:lang w:val="en-US" w:eastAsia="zh-CN"/>
        </w:rPr>
        <w:t>保证“八五”普法工作有力有序，精准普法有方有成</w:t>
      </w:r>
      <w:r>
        <w:rPr>
          <w:rFonts w:hint="default" w:ascii="Times New Roman" w:hAnsi="Times New Roman" w:eastAsia="仿宋_GB2312" w:cs="Times New Roman"/>
          <w:color w:val="auto"/>
          <w:kern w:val="2"/>
          <w:sz w:val="32"/>
          <w:szCs w:val="32"/>
          <w:u w:val="none"/>
          <w:lang w:eastAsia="zh-CN"/>
        </w:rPr>
        <w:t>；</w:t>
      </w:r>
      <w:r>
        <w:rPr>
          <w:rFonts w:hint="default" w:ascii="Times New Roman" w:hAnsi="Times New Roman" w:eastAsia="仿宋_GB2312" w:cs="Times New Roman"/>
          <w:color w:val="auto"/>
          <w:kern w:val="2"/>
          <w:sz w:val="32"/>
          <w:szCs w:val="32"/>
          <w:u w:val="none"/>
          <w:lang w:val="en-US" w:eastAsia="zh-CN"/>
        </w:rPr>
        <w:t>开展法治政府建设，组织开展专项督察1次；</w:t>
      </w:r>
      <w:r>
        <w:rPr>
          <w:rFonts w:hint="default" w:ascii="Times New Roman" w:hAnsi="Times New Roman" w:eastAsia="仿宋_GB2312" w:cs="Times New Roman"/>
          <w:color w:val="auto"/>
          <w:kern w:val="2"/>
          <w:sz w:val="32"/>
          <w:szCs w:val="32"/>
          <w:u w:val="none"/>
          <w:lang w:eastAsia="zh-CN"/>
        </w:rPr>
        <w:t>组织开展全面依法治县工作业务培训</w:t>
      </w:r>
      <w:r>
        <w:rPr>
          <w:rFonts w:hint="default" w:ascii="Times New Roman" w:hAnsi="Times New Roman" w:eastAsia="仿宋_GB2312" w:cs="Times New Roman"/>
          <w:color w:val="auto"/>
          <w:kern w:val="2"/>
          <w:sz w:val="32"/>
          <w:szCs w:val="32"/>
          <w:u w:val="none"/>
          <w:lang w:val="en-US" w:eastAsia="zh-CN"/>
        </w:rPr>
        <w:t>1期；加强规范性文件清理，完成全县规范性文件清理工作；开展“乡村振兴 法治同行”“法润三湘”公共法律服务活动不少于3次；承办法律援助案件不少于200件；</w:t>
      </w:r>
      <w:r>
        <w:rPr>
          <w:rFonts w:hint="eastAsia" w:ascii="Times New Roman" w:hAnsi="Times New Roman" w:eastAsia="仿宋_GB2312" w:cs="Times New Roman"/>
          <w:color w:val="auto"/>
          <w:kern w:val="2"/>
          <w:sz w:val="32"/>
          <w:szCs w:val="32"/>
          <w:u w:val="none"/>
          <w:lang w:val="en-US" w:eastAsia="zh-CN"/>
        </w:rPr>
        <w:t>开展法律援助、公证、司法鉴定案件质量评估活动1次以上；</w:t>
      </w:r>
      <w:r>
        <w:rPr>
          <w:rFonts w:hint="default" w:ascii="Times New Roman" w:hAnsi="Times New Roman" w:eastAsia="仿宋_GB2312" w:cs="Times New Roman"/>
          <w:color w:val="auto"/>
          <w:kern w:val="2"/>
          <w:sz w:val="32"/>
          <w:szCs w:val="32"/>
          <w:u w:val="none"/>
          <w:lang w:val="en-US" w:eastAsia="zh-CN"/>
        </w:rPr>
        <w:t>切实加强社矫对象管理，确保不因执行机关的原因出现社矫对象脱管、漏管；办理监狱服刑人员家属视频会见不少于50人次；开展社区矛盾纠纷集中排查调处活动，及时化解重大矛盾纠纷，指导调处积案3起以上，组织开展人民调解员培训1期；组织指导开展农村法治宣传月、宪法宣传周等普法宣传活动；办理行政复议案件15件以上，办理行政应诉案件6件以上，将行政复议案件按时间节点要求录入全国行政复议工作平台；</w:t>
      </w:r>
      <w:r>
        <w:rPr>
          <w:rFonts w:hint="default" w:ascii="Times New Roman" w:hAnsi="Times New Roman" w:eastAsia="仿宋_GB2312" w:cs="Times New Roman"/>
          <w:color w:val="auto"/>
          <w:kern w:val="2"/>
          <w:sz w:val="32"/>
          <w:szCs w:val="32"/>
          <w:u w:val="none"/>
          <w:lang w:eastAsia="zh-CN"/>
        </w:rPr>
        <w:t>督促落实行政执法“三项制度”，年度开展行政执法监督检查</w:t>
      </w:r>
      <w:r>
        <w:rPr>
          <w:rFonts w:hint="default" w:ascii="Times New Roman" w:hAnsi="Times New Roman" w:eastAsia="仿宋_GB2312" w:cs="Times New Roman"/>
          <w:color w:val="auto"/>
          <w:kern w:val="2"/>
          <w:sz w:val="32"/>
          <w:szCs w:val="32"/>
          <w:u w:val="none"/>
          <w:lang w:val="en-US" w:eastAsia="zh-CN"/>
        </w:rPr>
        <w:t>1</w:t>
      </w:r>
      <w:r>
        <w:rPr>
          <w:rFonts w:hint="default" w:ascii="Times New Roman" w:hAnsi="Times New Roman" w:eastAsia="仿宋_GB2312" w:cs="Times New Roman"/>
          <w:color w:val="auto"/>
          <w:kern w:val="2"/>
          <w:sz w:val="32"/>
          <w:szCs w:val="32"/>
          <w:u w:val="none"/>
          <w:lang w:eastAsia="zh-CN"/>
        </w:rPr>
        <w:t>次以上、行政执法案卷评查</w:t>
      </w:r>
      <w:r>
        <w:rPr>
          <w:rFonts w:hint="default" w:ascii="Times New Roman" w:hAnsi="Times New Roman" w:eastAsia="仿宋_GB2312" w:cs="Times New Roman"/>
          <w:color w:val="auto"/>
          <w:kern w:val="2"/>
          <w:sz w:val="32"/>
          <w:szCs w:val="32"/>
          <w:u w:val="none"/>
          <w:lang w:val="en-US" w:eastAsia="zh-CN"/>
        </w:rPr>
        <w:t>1次以上。</w:t>
      </w:r>
    </w:p>
    <w:p w14:paraId="53BFCC85">
      <w:pPr>
        <w:keepNext w:val="0"/>
        <w:keepLines w:val="0"/>
        <w:pageBreakBefore w:val="0"/>
        <w:kinsoku/>
        <w:wordWrap/>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二、部门整体支出管理及使用情况分析</w:t>
      </w:r>
    </w:p>
    <w:p w14:paraId="787C0A56">
      <w:pPr>
        <w:pStyle w:val="7"/>
        <w:keepNext w:val="0"/>
        <w:keepLines w:val="0"/>
        <w:pageBreakBefore w:val="0"/>
        <w:widowControl/>
        <w:kinsoku/>
        <w:wordWrap/>
        <w:topLinePunct w:val="0"/>
        <w:autoSpaceDE/>
        <w:autoSpaceDN/>
        <w:bidi w:val="0"/>
        <w:adjustRightInd/>
        <w:snapToGrid/>
        <w:spacing w:line="600" w:lineRule="exact"/>
        <w:ind w:firstLine="640" w:firstLineChars="200"/>
        <w:jc w:val="both"/>
        <w:textAlignment w:val="auto"/>
        <w:rPr>
          <w:rFonts w:hint="default" w:ascii="Times New Roman" w:hAnsi="Times New Roman" w:eastAsia="楷体_GB2312" w:cs="Times New Roman"/>
          <w:color w:val="auto"/>
          <w:kern w:val="2"/>
          <w:sz w:val="32"/>
          <w:szCs w:val="32"/>
          <w:u w:val="none"/>
          <w:lang w:val="en-US" w:eastAsia="zh-CN" w:bidi="ar-SA"/>
        </w:rPr>
      </w:pPr>
      <w:r>
        <w:rPr>
          <w:rFonts w:hint="default" w:ascii="Times New Roman" w:hAnsi="Times New Roman" w:eastAsia="楷体_GB2312" w:cs="Times New Roman"/>
          <w:color w:val="auto"/>
          <w:kern w:val="2"/>
          <w:sz w:val="32"/>
          <w:szCs w:val="32"/>
          <w:u w:val="none"/>
          <w:lang w:val="en-US" w:eastAsia="zh-CN" w:bidi="ar-SA"/>
        </w:rPr>
        <w:t>（一）基本支出</w:t>
      </w:r>
    </w:p>
    <w:p w14:paraId="5D096A98">
      <w:pPr>
        <w:pStyle w:val="7"/>
        <w:keepNext w:val="0"/>
        <w:keepLines w:val="0"/>
        <w:pageBreakBefore w:val="0"/>
        <w:widowControl/>
        <w:kinsoku/>
        <w:wordWrap/>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kern w:val="2"/>
          <w:sz w:val="32"/>
          <w:szCs w:val="32"/>
          <w:u w:val="none"/>
        </w:rPr>
      </w:pPr>
      <w:r>
        <w:rPr>
          <w:rFonts w:hint="default" w:ascii="Times New Roman" w:hAnsi="Times New Roman" w:eastAsia="仿宋_GB2312" w:cs="Times New Roman"/>
          <w:color w:val="auto"/>
          <w:kern w:val="2"/>
          <w:sz w:val="32"/>
          <w:szCs w:val="32"/>
          <w:u w:val="none"/>
          <w:lang w:eastAsia="zh-CN"/>
        </w:rPr>
        <w:t>基本支出主要用于：</w:t>
      </w:r>
      <w:r>
        <w:rPr>
          <w:rFonts w:hint="default" w:ascii="Times New Roman" w:hAnsi="Times New Roman" w:eastAsia="仿宋_GB2312" w:cs="Times New Roman"/>
          <w:color w:val="auto"/>
          <w:kern w:val="2"/>
          <w:sz w:val="32"/>
          <w:szCs w:val="32"/>
          <w:u w:val="none"/>
        </w:rPr>
        <w:t>工资福利支出</w:t>
      </w:r>
      <w:r>
        <w:rPr>
          <w:rFonts w:hint="eastAsia" w:ascii="Times New Roman" w:hAnsi="Times New Roman" w:eastAsia="仿宋_GB2312" w:cs="Times New Roman"/>
          <w:color w:val="auto"/>
          <w:kern w:val="2"/>
          <w:sz w:val="32"/>
          <w:szCs w:val="32"/>
          <w:u w:val="none"/>
          <w:lang w:val="en-US" w:eastAsia="zh-CN"/>
        </w:rPr>
        <w:t>936.99</w:t>
      </w:r>
      <w:r>
        <w:rPr>
          <w:rFonts w:hint="default" w:ascii="Times New Roman" w:hAnsi="Times New Roman" w:eastAsia="仿宋_GB2312" w:cs="Times New Roman"/>
          <w:color w:val="auto"/>
          <w:kern w:val="2"/>
          <w:sz w:val="32"/>
          <w:szCs w:val="32"/>
          <w:u w:val="none"/>
        </w:rPr>
        <w:t>万元，对个人和家庭的补助</w:t>
      </w:r>
      <w:r>
        <w:rPr>
          <w:rFonts w:hint="eastAsia" w:ascii="Times New Roman" w:hAnsi="Times New Roman" w:eastAsia="仿宋_GB2312" w:cs="Times New Roman"/>
          <w:color w:val="auto"/>
          <w:kern w:val="2"/>
          <w:sz w:val="32"/>
          <w:szCs w:val="32"/>
          <w:u w:val="none"/>
          <w:lang w:val="en-US" w:eastAsia="zh-CN"/>
        </w:rPr>
        <w:t>22.87</w:t>
      </w:r>
      <w:r>
        <w:rPr>
          <w:rFonts w:hint="default" w:ascii="Times New Roman" w:hAnsi="Times New Roman" w:eastAsia="仿宋_GB2312" w:cs="Times New Roman"/>
          <w:color w:val="auto"/>
          <w:kern w:val="2"/>
          <w:sz w:val="32"/>
          <w:szCs w:val="32"/>
          <w:u w:val="none"/>
        </w:rPr>
        <w:t>万元，三公经费</w:t>
      </w:r>
      <w:r>
        <w:rPr>
          <w:rFonts w:hint="eastAsia" w:ascii="Times New Roman" w:hAnsi="Times New Roman" w:eastAsia="仿宋_GB2312" w:cs="Times New Roman"/>
          <w:color w:val="auto"/>
          <w:kern w:val="2"/>
          <w:sz w:val="32"/>
          <w:szCs w:val="32"/>
          <w:u w:val="none"/>
          <w:lang w:val="en-US" w:eastAsia="zh-CN"/>
        </w:rPr>
        <w:t>5.95</w:t>
      </w:r>
      <w:r>
        <w:rPr>
          <w:rFonts w:hint="default" w:ascii="Times New Roman" w:hAnsi="Times New Roman" w:eastAsia="仿宋_GB2312" w:cs="Times New Roman"/>
          <w:color w:val="auto"/>
          <w:kern w:val="2"/>
          <w:sz w:val="32"/>
          <w:szCs w:val="32"/>
          <w:u w:val="none"/>
        </w:rPr>
        <w:t>万元</w:t>
      </w:r>
      <w:r>
        <w:rPr>
          <w:rFonts w:hint="default" w:ascii="Times New Roman" w:hAnsi="Times New Roman" w:eastAsia="仿宋_GB2312" w:cs="Times New Roman"/>
          <w:color w:val="auto"/>
          <w:kern w:val="2"/>
          <w:sz w:val="32"/>
          <w:szCs w:val="32"/>
          <w:u w:val="none"/>
          <w:lang w:eastAsia="zh-CN"/>
        </w:rPr>
        <w:t>（其中公务接待</w:t>
      </w:r>
      <w:r>
        <w:rPr>
          <w:rFonts w:hint="default" w:ascii="Times New Roman" w:hAnsi="Times New Roman" w:eastAsia="仿宋_GB2312" w:cs="Times New Roman"/>
          <w:color w:val="auto"/>
          <w:kern w:val="2"/>
          <w:sz w:val="32"/>
          <w:szCs w:val="32"/>
          <w:u w:val="none"/>
          <w:lang w:val="en-US" w:eastAsia="zh-CN"/>
        </w:rPr>
        <w:t>1.2万元，公务用车4.7</w:t>
      </w:r>
      <w:r>
        <w:rPr>
          <w:rFonts w:hint="eastAsia" w:ascii="Times New Roman" w:hAnsi="Times New Roman" w:eastAsia="仿宋_GB2312" w:cs="Times New Roman"/>
          <w:color w:val="auto"/>
          <w:kern w:val="2"/>
          <w:sz w:val="32"/>
          <w:szCs w:val="32"/>
          <w:u w:val="none"/>
          <w:lang w:val="en-US" w:eastAsia="zh-CN"/>
        </w:rPr>
        <w:t>5</w:t>
      </w:r>
      <w:r>
        <w:rPr>
          <w:rFonts w:hint="default" w:ascii="Times New Roman" w:hAnsi="Times New Roman" w:eastAsia="仿宋_GB2312" w:cs="Times New Roman"/>
          <w:color w:val="auto"/>
          <w:kern w:val="2"/>
          <w:sz w:val="32"/>
          <w:szCs w:val="32"/>
          <w:u w:val="none"/>
          <w:lang w:val="en-US" w:eastAsia="zh-CN"/>
        </w:rPr>
        <w:t>万元</w:t>
      </w:r>
      <w:r>
        <w:rPr>
          <w:rFonts w:hint="default" w:ascii="Times New Roman" w:hAnsi="Times New Roman" w:eastAsia="仿宋_GB2312" w:cs="Times New Roman"/>
          <w:color w:val="auto"/>
          <w:kern w:val="2"/>
          <w:sz w:val="32"/>
          <w:szCs w:val="32"/>
          <w:u w:val="none"/>
          <w:lang w:eastAsia="zh-CN"/>
        </w:rPr>
        <w:t>）</w:t>
      </w:r>
      <w:r>
        <w:rPr>
          <w:rFonts w:hint="default" w:ascii="Times New Roman" w:hAnsi="Times New Roman" w:eastAsia="仿宋_GB2312" w:cs="Times New Roman"/>
          <w:color w:val="auto"/>
          <w:kern w:val="2"/>
          <w:sz w:val="32"/>
          <w:szCs w:val="32"/>
          <w:u w:val="none"/>
        </w:rPr>
        <w:t>，商品和服务支出</w:t>
      </w:r>
      <w:r>
        <w:rPr>
          <w:rFonts w:hint="eastAsia" w:ascii="Times New Roman" w:hAnsi="Times New Roman" w:eastAsia="仿宋_GB2312" w:cs="Times New Roman"/>
          <w:color w:val="auto"/>
          <w:kern w:val="2"/>
          <w:sz w:val="32"/>
          <w:szCs w:val="32"/>
          <w:u w:val="none"/>
          <w:lang w:val="en-US" w:eastAsia="zh-CN"/>
        </w:rPr>
        <w:t>103.63</w:t>
      </w:r>
      <w:r>
        <w:rPr>
          <w:rFonts w:hint="default" w:ascii="Times New Roman" w:hAnsi="Times New Roman" w:eastAsia="仿宋_GB2312" w:cs="Times New Roman"/>
          <w:color w:val="auto"/>
          <w:kern w:val="2"/>
          <w:sz w:val="32"/>
          <w:szCs w:val="32"/>
          <w:u w:val="none"/>
        </w:rPr>
        <w:t>万元。</w:t>
      </w:r>
    </w:p>
    <w:p w14:paraId="1C87A789">
      <w:pPr>
        <w:keepNext w:val="0"/>
        <w:keepLines w:val="0"/>
        <w:pageBreakBefore w:val="0"/>
        <w:widowControl/>
        <w:tabs>
          <w:tab w:val="left" w:pos="3396"/>
        </w:tabs>
        <w:kinsoku/>
        <w:wordWrap/>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（二）项目支出</w:t>
      </w:r>
    </w:p>
    <w:p w14:paraId="16461433">
      <w:pPr>
        <w:keepNext w:val="0"/>
        <w:keepLines w:val="0"/>
        <w:pageBreakBefore w:val="0"/>
        <w:widowControl/>
        <w:kinsoku/>
        <w:wordWrap/>
        <w:topLinePunct w:val="0"/>
        <w:autoSpaceDE/>
        <w:autoSpaceDN/>
        <w:bidi w:val="0"/>
        <w:adjustRightInd/>
        <w:snapToGrid/>
        <w:spacing w:line="600" w:lineRule="exact"/>
        <w:ind w:firstLine="640" w:firstLineChars="200"/>
        <w:jc w:val="both"/>
        <w:textAlignment w:val="auto"/>
        <w:rPr>
          <w:rFonts w:hint="default" w:ascii="Times New Roman" w:hAnsi="Times New Roman" w:eastAsia="楷体_GB2312" w:cs="Times New Roman"/>
          <w:color w:val="000000" w:themeColor="text1"/>
          <w:kern w:val="2"/>
          <w:sz w:val="32"/>
          <w:szCs w:val="32"/>
          <w:u w:val="none"/>
          <w:lang w:val="en-US" w:eastAsia="zh-CN" w:bidi="ar-SA"/>
          <w14:textFill>
            <w14:solidFill>
              <w14:schemeClr w14:val="tx1"/>
            </w14:solidFill>
          </w14:textFill>
        </w:rPr>
      </w:pPr>
      <w:r>
        <w:rPr>
          <w:rFonts w:hint="default" w:ascii="Times New Roman" w:hAnsi="Times New Roman" w:eastAsia="楷体_GB2312" w:cs="Times New Roman"/>
          <w:color w:val="000000" w:themeColor="text1"/>
          <w:kern w:val="2"/>
          <w:sz w:val="32"/>
          <w:szCs w:val="32"/>
          <w:u w:val="none"/>
          <w:lang w:val="en-US" w:eastAsia="zh-CN" w:bidi="ar-SA"/>
          <w14:textFill>
            <w14:solidFill>
              <w14:schemeClr w14:val="tx1"/>
            </w14:solidFill>
          </w14:textFill>
        </w:rPr>
        <w:t>1. 项目资金（包括财政资金、自筹资金等）安排落实、总投入等情况分析。</w:t>
      </w:r>
    </w:p>
    <w:p w14:paraId="5D561A95">
      <w:pPr>
        <w:keepNext w:val="0"/>
        <w:keepLines w:val="0"/>
        <w:pageBreakBefore w:val="0"/>
        <w:widowControl/>
        <w:kinsoku/>
        <w:wordWrap/>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项目支出总投入</w:t>
      </w:r>
      <w:r>
        <w:rPr>
          <w:rFonts w:hint="eastAsia" w:eastAsia="仿宋_GB2312" w:cs="Times New Roman"/>
          <w:sz w:val="32"/>
          <w:szCs w:val="32"/>
          <w:lang w:val="en-US" w:eastAsia="zh-CN"/>
        </w:rPr>
        <w:t>683.26</w:t>
      </w:r>
      <w:r>
        <w:rPr>
          <w:rFonts w:hint="default" w:ascii="Times New Roman" w:hAnsi="Times New Roman" w:eastAsia="仿宋_GB2312" w:cs="Times New Roman"/>
          <w:sz w:val="32"/>
          <w:szCs w:val="32"/>
        </w:rPr>
        <w:t>万元，全部为财政资金。</w:t>
      </w:r>
    </w:p>
    <w:p w14:paraId="785AD299">
      <w:pPr>
        <w:keepNext w:val="0"/>
        <w:keepLines w:val="0"/>
        <w:pageBreakBefore w:val="0"/>
        <w:widowControl/>
        <w:kinsoku/>
        <w:wordWrap/>
        <w:topLinePunct w:val="0"/>
        <w:autoSpaceDE/>
        <w:autoSpaceDN/>
        <w:bidi w:val="0"/>
        <w:adjustRightInd/>
        <w:snapToGrid/>
        <w:spacing w:line="600" w:lineRule="exact"/>
        <w:ind w:firstLine="640" w:firstLineChars="200"/>
        <w:jc w:val="both"/>
        <w:textAlignment w:val="auto"/>
        <w:rPr>
          <w:rFonts w:hint="default" w:ascii="Times New Roman" w:hAnsi="Times New Roman" w:eastAsia="楷体_GB2312" w:cs="Times New Roman"/>
          <w:color w:val="000000" w:themeColor="text1"/>
          <w:kern w:val="2"/>
          <w:sz w:val="32"/>
          <w:szCs w:val="32"/>
          <w:u w:val="none"/>
          <w:lang w:val="en-US" w:eastAsia="zh-CN" w:bidi="ar-SA"/>
          <w14:textFill>
            <w14:solidFill>
              <w14:schemeClr w14:val="tx1"/>
            </w14:solidFill>
          </w14:textFill>
        </w:rPr>
      </w:pPr>
      <w:r>
        <w:rPr>
          <w:rFonts w:hint="default" w:ascii="Times New Roman" w:hAnsi="Times New Roman" w:eastAsia="楷体_GB2312" w:cs="Times New Roman"/>
          <w:color w:val="000000" w:themeColor="text1"/>
          <w:kern w:val="2"/>
          <w:sz w:val="32"/>
          <w:szCs w:val="32"/>
          <w:u w:val="none"/>
          <w:lang w:val="en-US" w:eastAsia="zh-CN" w:bidi="ar-SA"/>
          <w14:textFill>
            <w14:solidFill>
              <w14:schemeClr w14:val="tx1"/>
            </w14:solidFill>
          </w14:textFill>
        </w:rPr>
        <w:t>2. 项目资金（主要指财政资金）实际使用情况分析。</w:t>
      </w:r>
    </w:p>
    <w:p w14:paraId="130FF91B">
      <w:pPr>
        <w:keepNext w:val="0"/>
        <w:keepLines w:val="0"/>
        <w:pageBreakBefore w:val="0"/>
        <w:widowControl/>
        <w:kinsoku/>
        <w:wordWrap/>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项目支出主要用于：一般行政管理事务</w:t>
      </w:r>
      <w:r>
        <w:rPr>
          <w:rFonts w:hint="default" w:ascii="Times New Roman" w:hAnsi="Times New Roman" w:eastAsia="仿宋_GB2312" w:cs="Times New Roman"/>
          <w:color w:val="auto"/>
          <w:sz w:val="32"/>
          <w:szCs w:val="32"/>
          <w:lang w:eastAsia="zh-CN"/>
        </w:rPr>
        <w:t>（以奖代补</w:t>
      </w:r>
      <w:r>
        <w:rPr>
          <w:rFonts w:hint="eastAsia" w:eastAsia="仿宋_GB2312" w:cs="Times New Roman"/>
          <w:color w:val="auto"/>
          <w:sz w:val="32"/>
          <w:szCs w:val="32"/>
          <w:lang w:eastAsia="zh-CN"/>
        </w:rPr>
        <w:t>、</w:t>
      </w:r>
      <w:r>
        <w:rPr>
          <w:rFonts w:hint="eastAsia" w:eastAsia="仿宋_GB2312" w:cs="Times New Roman"/>
          <w:color w:val="auto"/>
          <w:sz w:val="32"/>
          <w:szCs w:val="32"/>
          <w:lang w:val="en-US" w:eastAsia="zh-CN"/>
        </w:rPr>
        <w:t>诉讼代理</w:t>
      </w:r>
      <w:r>
        <w:rPr>
          <w:rFonts w:hint="default" w:ascii="Times New Roman" w:hAnsi="Times New Roman" w:eastAsia="仿宋_GB2312" w:cs="Times New Roman"/>
          <w:color w:val="auto"/>
          <w:sz w:val="32"/>
          <w:szCs w:val="32"/>
          <w:lang w:eastAsia="zh-CN"/>
        </w:rPr>
        <w:t>等）</w:t>
      </w:r>
      <w:r>
        <w:rPr>
          <w:rFonts w:hint="eastAsia" w:eastAsia="仿宋_GB2312" w:cs="Times New Roman"/>
          <w:color w:val="auto"/>
          <w:sz w:val="32"/>
          <w:szCs w:val="32"/>
          <w:lang w:val="en-US" w:eastAsia="zh-CN"/>
        </w:rPr>
        <w:t>122</w:t>
      </w:r>
      <w:r>
        <w:rPr>
          <w:rFonts w:hint="default" w:ascii="Times New Roman" w:hAnsi="Times New Roman" w:eastAsia="仿宋_GB2312" w:cs="Times New Roman"/>
          <w:color w:val="auto"/>
          <w:sz w:val="32"/>
          <w:szCs w:val="32"/>
        </w:rPr>
        <w:t>万元，基层司法业务</w:t>
      </w:r>
      <w:r>
        <w:rPr>
          <w:rFonts w:hint="default" w:ascii="Times New Roman" w:hAnsi="Times New Roman" w:eastAsia="仿宋_GB2312" w:cs="Times New Roman"/>
          <w:color w:val="auto"/>
          <w:sz w:val="32"/>
          <w:szCs w:val="32"/>
          <w:lang w:eastAsia="zh-CN"/>
        </w:rPr>
        <w:t>（</w:t>
      </w:r>
      <w:r>
        <w:rPr>
          <w:rFonts w:hint="eastAsia" w:eastAsia="仿宋_GB2312" w:cs="Times New Roman"/>
          <w:color w:val="auto"/>
          <w:sz w:val="32"/>
          <w:szCs w:val="32"/>
          <w:lang w:val="en-US" w:eastAsia="zh-CN"/>
        </w:rPr>
        <w:t>行政复议</w:t>
      </w:r>
      <w:r>
        <w:rPr>
          <w:rFonts w:hint="default" w:ascii="Times New Roman" w:hAnsi="Times New Roman" w:eastAsia="仿宋_GB2312" w:cs="Times New Roman"/>
          <w:color w:val="auto"/>
          <w:sz w:val="32"/>
          <w:szCs w:val="32"/>
          <w:lang w:eastAsia="zh-CN"/>
        </w:rPr>
        <w:t>及人民调解经费）</w:t>
      </w:r>
      <w:r>
        <w:rPr>
          <w:rFonts w:hint="eastAsia" w:eastAsia="仿宋_GB2312" w:cs="Times New Roman"/>
          <w:color w:val="auto"/>
          <w:sz w:val="32"/>
          <w:szCs w:val="32"/>
          <w:lang w:val="en-US" w:eastAsia="zh-CN"/>
        </w:rPr>
        <w:t>44</w:t>
      </w:r>
      <w:r>
        <w:rPr>
          <w:rFonts w:hint="default" w:ascii="Times New Roman" w:hAnsi="Times New Roman" w:eastAsia="仿宋_GB2312" w:cs="Times New Roman"/>
          <w:color w:val="auto"/>
          <w:sz w:val="32"/>
          <w:szCs w:val="32"/>
        </w:rPr>
        <w:t>万元，普法宣传</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依法治县专项经费</w:t>
      </w:r>
      <w:r>
        <w:rPr>
          <w:rFonts w:hint="eastAsia" w:eastAsia="仿宋_GB2312" w:cs="Times New Roman"/>
          <w:color w:val="auto"/>
          <w:sz w:val="32"/>
          <w:szCs w:val="32"/>
          <w:lang w:val="en-US" w:eastAsia="zh-CN"/>
        </w:rPr>
        <w:t>68</w:t>
      </w:r>
      <w:r>
        <w:rPr>
          <w:rFonts w:hint="default" w:ascii="Times New Roman" w:hAnsi="Times New Roman" w:eastAsia="仿宋_GB2312" w:cs="Times New Roman"/>
          <w:color w:val="auto"/>
          <w:sz w:val="32"/>
          <w:szCs w:val="32"/>
        </w:rPr>
        <w:t>万元，</w:t>
      </w:r>
      <w:r>
        <w:rPr>
          <w:rFonts w:hint="default" w:ascii="Times New Roman" w:hAnsi="Times New Roman" w:eastAsia="仿宋_GB2312" w:cs="Times New Roman"/>
          <w:color w:val="auto"/>
          <w:sz w:val="32"/>
          <w:szCs w:val="32"/>
          <w:lang w:eastAsia="zh-CN"/>
        </w:rPr>
        <w:t>公共法律服务</w:t>
      </w:r>
      <w:r>
        <w:rPr>
          <w:rFonts w:hint="eastAsia" w:eastAsia="仿宋_GB2312" w:cs="Times New Roman"/>
          <w:color w:val="auto"/>
          <w:sz w:val="32"/>
          <w:szCs w:val="32"/>
          <w:lang w:eastAsia="zh-CN"/>
        </w:rPr>
        <w:t>（</w:t>
      </w:r>
      <w:r>
        <w:rPr>
          <w:rFonts w:hint="eastAsia" w:eastAsia="仿宋_GB2312" w:cs="Times New Roman"/>
          <w:color w:val="auto"/>
          <w:sz w:val="32"/>
          <w:szCs w:val="32"/>
          <w:lang w:val="en-US" w:eastAsia="zh-CN"/>
        </w:rPr>
        <w:t>法律援助等</w:t>
      </w:r>
      <w:r>
        <w:rPr>
          <w:rFonts w:hint="eastAsia" w:eastAsia="仿宋_GB2312" w:cs="Times New Roman"/>
          <w:color w:val="auto"/>
          <w:sz w:val="32"/>
          <w:szCs w:val="32"/>
          <w:lang w:eastAsia="zh-CN"/>
        </w:rPr>
        <w:t>）</w:t>
      </w:r>
      <w:r>
        <w:rPr>
          <w:rFonts w:hint="eastAsia" w:eastAsia="仿宋_GB2312" w:cs="Times New Roman"/>
          <w:color w:val="auto"/>
          <w:sz w:val="32"/>
          <w:szCs w:val="32"/>
          <w:lang w:val="en-US" w:eastAsia="zh-CN"/>
        </w:rPr>
        <w:t>50.95</w:t>
      </w:r>
      <w:r>
        <w:rPr>
          <w:rFonts w:hint="default" w:ascii="Times New Roman" w:hAnsi="Times New Roman" w:eastAsia="仿宋_GB2312" w:cs="Times New Roman"/>
          <w:color w:val="auto"/>
          <w:sz w:val="32"/>
          <w:szCs w:val="32"/>
        </w:rPr>
        <w:t>万元，社区矫正</w:t>
      </w:r>
      <w:r>
        <w:rPr>
          <w:rFonts w:hint="eastAsia" w:eastAsia="仿宋_GB2312" w:cs="Times New Roman"/>
          <w:color w:val="auto"/>
          <w:sz w:val="32"/>
          <w:szCs w:val="32"/>
          <w:lang w:val="en-US" w:eastAsia="zh-CN"/>
        </w:rPr>
        <w:t>70</w:t>
      </w:r>
      <w:r>
        <w:rPr>
          <w:rFonts w:hint="default" w:ascii="Times New Roman" w:hAnsi="Times New Roman" w:eastAsia="仿宋_GB2312" w:cs="Times New Roman"/>
          <w:color w:val="auto"/>
          <w:sz w:val="32"/>
          <w:szCs w:val="32"/>
        </w:rPr>
        <w:t>万元，</w:t>
      </w:r>
      <w:r>
        <w:rPr>
          <w:rFonts w:hint="eastAsia" w:eastAsia="仿宋_GB2312" w:cs="Times New Roman"/>
          <w:color w:val="auto"/>
          <w:sz w:val="32"/>
          <w:szCs w:val="32"/>
          <w:lang w:val="en-US" w:eastAsia="zh-CN"/>
        </w:rPr>
        <w:t>信息化建设3万元，</w:t>
      </w:r>
      <w:r>
        <w:rPr>
          <w:rFonts w:hint="default" w:ascii="Times New Roman" w:hAnsi="Times New Roman" w:eastAsia="仿宋_GB2312" w:cs="Times New Roman"/>
          <w:color w:val="auto"/>
          <w:sz w:val="32"/>
          <w:szCs w:val="32"/>
        </w:rPr>
        <w:t>其他司法支出</w:t>
      </w:r>
      <w:r>
        <w:rPr>
          <w:rFonts w:hint="default" w:ascii="Times New Roman" w:hAnsi="Times New Roman" w:eastAsia="仿宋_GB2312" w:cs="Times New Roman"/>
          <w:color w:val="auto"/>
          <w:sz w:val="32"/>
          <w:szCs w:val="32"/>
          <w:lang w:eastAsia="zh-CN"/>
        </w:rPr>
        <w:t>（中央政法转移支付）</w:t>
      </w:r>
      <w:r>
        <w:rPr>
          <w:rFonts w:hint="eastAsia" w:eastAsia="仿宋_GB2312" w:cs="Times New Roman"/>
          <w:color w:val="auto"/>
          <w:sz w:val="32"/>
          <w:szCs w:val="32"/>
          <w:lang w:val="en-US" w:eastAsia="zh-CN"/>
        </w:rPr>
        <w:t>136</w:t>
      </w:r>
      <w:r>
        <w:rPr>
          <w:rFonts w:hint="default" w:ascii="Times New Roman" w:hAnsi="Times New Roman" w:eastAsia="仿宋_GB2312" w:cs="Times New Roman"/>
          <w:color w:val="auto"/>
          <w:sz w:val="32"/>
          <w:szCs w:val="32"/>
        </w:rPr>
        <w:t>万元，</w:t>
      </w:r>
      <w:r>
        <w:rPr>
          <w:rFonts w:hint="eastAsia" w:eastAsia="仿宋_GB2312" w:cs="Times New Roman"/>
          <w:color w:val="auto"/>
          <w:sz w:val="32"/>
          <w:szCs w:val="32"/>
          <w:lang w:val="en-US" w:eastAsia="zh-CN"/>
        </w:rPr>
        <w:t>机关事业单位基本养老保险缴费支出94.93万元，行政单位医疗44.87万元，公务员医疗补助18.62万元，驻村帮扶1万元，智慧矫正中心建设26.88万元。</w:t>
      </w:r>
    </w:p>
    <w:p w14:paraId="6FCF56E2">
      <w:pPr>
        <w:keepNext w:val="0"/>
        <w:keepLines w:val="0"/>
        <w:pageBreakBefore w:val="0"/>
        <w:widowControl/>
        <w:numPr>
          <w:ilvl w:val="0"/>
          <w:numId w:val="1"/>
        </w:numPr>
        <w:kinsoku/>
        <w:wordWrap/>
        <w:topLinePunct w:val="0"/>
        <w:autoSpaceDE/>
        <w:autoSpaceDN/>
        <w:bidi w:val="0"/>
        <w:adjustRightInd/>
        <w:snapToGrid/>
        <w:spacing w:line="600" w:lineRule="exact"/>
        <w:ind w:firstLine="640" w:firstLineChars="200"/>
        <w:jc w:val="both"/>
        <w:textAlignment w:val="auto"/>
        <w:rPr>
          <w:rFonts w:hint="default" w:ascii="Times New Roman" w:hAnsi="Times New Roman" w:eastAsia="楷体_GB2312" w:cs="Times New Roman"/>
          <w:color w:val="000000" w:themeColor="text1"/>
          <w:kern w:val="2"/>
          <w:sz w:val="32"/>
          <w:szCs w:val="32"/>
          <w:u w:val="none"/>
          <w:lang w:val="en-US" w:eastAsia="zh-CN" w:bidi="ar-SA"/>
          <w14:textFill>
            <w14:solidFill>
              <w14:schemeClr w14:val="tx1"/>
            </w14:solidFill>
          </w14:textFill>
        </w:rPr>
      </w:pPr>
      <w:r>
        <w:rPr>
          <w:rFonts w:hint="default" w:ascii="Times New Roman" w:hAnsi="Times New Roman" w:eastAsia="楷体_GB2312" w:cs="Times New Roman"/>
          <w:color w:val="000000" w:themeColor="text1"/>
          <w:kern w:val="2"/>
          <w:sz w:val="32"/>
          <w:szCs w:val="32"/>
          <w:u w:val="none"/>
          <w:lang w:val="en-US" w:eastAsia="zh-CN" w:bidi="ar-SA"/>
          <w14:textFill>
            <w14:solidFill>
              <w14:schemeClr w14:val="tx1"/>
            </w14:solidFill>
          </w14:textFill>
        </w:rPr>
        <w:t>项目资金管理情况分析，主要包括管理制度、办法的制订及执行情况。</w:t>
      </w:r>
    </w:p>
    <w:p w14:paraId="6AEDA843">
      <w:pPr>
        <w:keepNext w:val="0"/>
        <w:keepLines w:val="0"/>
        <w:pageBreakBefore w:val="0"/>
        <w:kinsoku/>
        <w:wordWrap/>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我局高度重视项目资金的管理，制定了财务管理制度和司法所经费管理规定，严格按照项目支出的范围、用途依法依规支出，对</w:t>
      </w:r>
      <w:r>
        <w:rPr>
          <w:rFonts w:hint="default" w:ascii="Times New Roman" w:hAnsi="Times New Roman" w:eastAsia="仿宋_GB2312" w:cs="Times New Roman"/>
          <w:sz w:val="32"/>
          <w:szCs w:val="32"/>
        </w:rPr>
        <w:t>专项经费的使用</w:t>
      </w:r>
      <w:r>
        <w:rPr>
          <w:rFonts w:hint="default" w:ascii="Times New Roman" w:hAnsi="Times New Roman" w:eastAsia="仿宋_GB2312" w:cs="Times New Roman"/>
          <w:sz w:val="32"/>
          <w:szCs w:val="32"/>
          <w:lang w:eastAsia="zh-CN"/>
        </w:rPr>
        <w:t>做到</w:t>
      </w:r>
      <w:r>
        <w:rPr>
          <w:rFonts w:hint="default" w:ascii="Times New Roman" w:hAnsi="Times New Roman" w:eastAsia="仿宋_GB2312" w:cs="Times New Roman"/>
          <w:sz w:val="32"/>
          <w:szCs w:val="32"/>
        </w:rPr>
        <w:t>专款专用</w:t>
      </w:r>
      <w:r>
        <w:rPr>
          <w:rFonts w:hint="default" w:ascii="Times New Roman" w:hAnsi="Times New Roman" w:eastAsia="仿宋_GB2312" w:cs="Times New Roman"/>
          <w:sz w:val="32"/>
          <w:szCs w:val="32"/>
          <w:lang w:eastAsia="zh-CN"/>
        </w:rPr>
        <w:t>。同时，加强对资金的专项清理和检查，对资金使用情况进行自查，提高项目资金使用效益，确保项目资金的安全。支出</w:t>
      </w:r>
      <w:r>
        <w:rPr>
          <w:rFonts w:hint="default" w:ascii="Times New Roman" w:hAnsi="Times New Roman" w:eastAsia="仿宋_GB2312" w:cs="Times New Roman"/>
          <w:sz w:val="32"/>
          <w:szCs w:val="32"/>
        </w:rPr>
        <w:t>时</w:t>
      </w:r>
      <w:r>
        <w:rPr>
          <w:rFonts w:hint="default" w:ascii="Times New Roman" w:hAnsi="Times New Roman" w:eastAsia="仿宋_GB2312" w:cs="Times New Roman"/>
          <w:sz w:val="32"/>
          <w:szCs w:val="32"/>
          <w:lang w:eastAsia="zh-CN"/>
        </w:rPr>
        <w:t>严格</w:t>
      </w:r>
      <w:r>
        <w:rPr>
          <w:rFonts w:hint="default" w:ascii="Times New Roman" w:hAnsi="Times New Roman" w:eastAsia="仿宋_GB2312" w:cs="Times New Roman"/>
          <w:sz w:val="32"/>
          <w:szCs w:val="32"/>
        </w:rPr>
        <w:t>按照</w:t>
      </w:r>
      <w:r>
        <w:rPr>
          <w:rFonts w:hint="default" w:ascii="Times New Roman" w:hAnsi="Times New Roman" w:eastAsia="仿宋_GB2312" w:cs="Times New Roman"/>
          <w:sz w:val="32"/>
          <w:szCs w:val="32"/>
          <w:lang w:eastAsia="zh-CN"/>
        </w:rPr>
        <w:t>财务相关</w:t>
      </w:r>
      <w:r>
        <w:rPr>
          <w:rFonts w:hint="default" w:ascii="Times New Roman" w:hAnsi="Times New Roman" w:eastAsia="仿宋_GB2312" w:cs="Times New Roman"/>
          <w:sz w:val="32"/>
          <w:szCs w:val="32"/>
        </w:rPr>
        <w:t>规定，经局财务联审会签小组</w:t>
      </w:r>
      <w:r>
        <w:rPr>
          <w:rFonts w:hint="default" w:ascii="Times New Roman" w:hAnsi="Times New Roman" w:eastAsia="仿宋_GB2312" w:cs="Times New Roman"/>
          <w:sz w:val="32"/>
          <w:szCs w:val="32"/>
          <w:lang w:eastAsia="zh-CN"/>
        </w:rPr>
        <w:t>会审、财务分管领导签字审批</w:t>
      </w:r>
      <w:r>
        <w:rPr>
          <w:rFonts w:hint="default" w:ascii="Times New Roman" w:hAnsi="Times New Roman" w:eastAsia="仿宋_GB2312" w:cs="Times New Roman"/>
          <w:sz w:val="32"/>
          <w:szCs w:val="32"/>
        </w:rPr>
        <w:t>同意后，在局财务室报账</w:t>
      </w:r>
      <w:r>
        <w:rPr>
          <w:rFonts w:hint="default" w:ascii="Times New Roman" w:hAnsi="Times New Roman" w:eastAsia="仿宋_GB2312" w:cs="Times New Roman"/>
          <w:sz w:val="32"/>
          <w:szCs w:val="32"/>
          <w:lang w:eastAsia="zh-CN"/>
        </w:rPr>
        <w:t>支出。</w:t>
      </w:r>
      <w:r>
        <w:rPr>
          <w:rFonts w:hint="eastAsia" w:eastAsia="仿宋_GB2312" w:cs="Times New Roman"/>
          <w:sz w:val="32"/>
          <w:szCs w:val="32"/>
          <w:lang w:val="en-US" w:eastAsia="zh-CN"/>
        </w:rPr>
        <w:t>2024年</w:t>
      </w:r>
      <w:r>
        <w:rPr>
          <w:rFonts w:hint="default" w:ascii="Times New Roman" w:hAnsi="Times New Roman" w:eastAsia="仿宋_GB2312" w:cs="Times New Roman"/>
          <w:sz w:val="32"/>
          <w:szCs w:val="32"/>
          <w:lang w:val="en-US" w:eastAsia="zh-CN"/>
        </w:rPr>
        <w:t>度</w:t>
      </w:r>
      <w:r>
        <w:rPr>
          <w:rFonts w:hint="default" w:ascii="Times New Roman" w:hAnsi="Times New Roman" w:eastAsia="仿宋_GB2312" w:cs="Times New Roman"/>
          <w:sz w:val="32"/>
          <w:szCs w:val="32"/>
        </w:rPr>
        <w:t>各项目均认真推</w:t>
      </w:r>
      <w:r>
        <w:rPr>
          <w:rFonts w:hint="default" w:ascii="Times New Roman" w:hAnsi="Times New Roman" w:eastAsia="仿宋_GB2312" w:cs="Times New Roman"/>
          <w:sz w:val="32"/>
          <w:szCs w:val="32"/>
          <w:lang w:eastAsia="zh-CN"/>
        </w:rPr>
        <w:t>进，</w:t>
      </w:r>
      <w:r>
        <w:rPr>
          <w:rFonts w:eastAsia="仿宋_GB2312"/>
          <w:color w:val="000000"/>
          <w:kern w:val="0"/>
          <w:sz w:val="32"/>
          <w:szCs w:val="32"/>
        </w:rPr>
        <w:t>在经费使用过程中严格执行相关会计制度和财务管理制度，保证</w:t>
      </w:r>
      <w:r>
        <w:rPr>
          <w:rFonts w:hint="eastAsia" w:eastAsia="仿宋_GB2312"/>
          <w:color w:val="000000"/>
          <w:kern w:val="0"/>
          <w:sz w:val="32"/>
          <w:szCs w:val="32"/>
          <w:lang w:eastAsia="zh-CN"/>
        </w:rPr>
        <w:t>了</w:t>
      </w:r>
      <w:r>
        <w:rPr>
          <w:rFonts w:hint="eastAsia" w:eastAsia="仿宋_GB2312"/>
          <w:color w:val="000000"/>
          <w:kern w:val="0"/>
          <w:sz w:val="32"/>
          <w:szCs w:val="32"/>
        </w:rPr>
        <w:t>各类项目的顺利实施，充分发挥了资金的使用效益</w:t>
      </w:r>
      <w:r>
        <w:rPr>
          <w:rFonts w:hint="eastAsia" w:eastAsia="仿宋_GB2312"/>
          <w:color w:val="000000"/>
          <w:kern w:val="0"/>
          <w:sz w:val="32"/>
          <w:szCs w:val="32"/>
          <w:lang w:eastAsia="zh-CN"/>
        </w:rPr>
        <w:t>，</w:t>
      </w:r>
      <w:r>
        <w:rPr>
          <w:rFonts w:hint="default" w:ascii="Times New Roman" w:hAnsi="Times New Roman" w:eastAsia="仿宋_GB2312" w:cs="Times New Roman"/>
          <w:sz w:val="32"/>
          <w:szCs w:val="32"/>
          <w:lang w:eastAsia="zh-CN"/>
        </w:rPr>
        <w:t>相关管理制度得到有效执行</w:t>
      </w:r>
      <w:r>
        <w:rPr>
          <w:rFonts w:hint="default" w:ascii="Times New Roman" w:hAnsi="Times New Roman" w:eastAsia="仿宋_GB2312" w:cs="Times New Roman"/>
          <w:sz w:val="32"/>
          <w:szCs w:val="32"/>
        </w:rPr>
        <w:t>。</w:t>
      </w:r>
    </w:p>
    <w:p w14:paraId="0338CF70">
      <w:pPr>
        <w:keepNext w:val="0"/>
        <w:keepLines w:val="0"/>
        <w:pageBreakBefore w:val="0"/>
        <w:kinsoku/>
        <w:wordWrap/>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三、项目组织实施情况</w:t>
      </w:r>
    </w:p>
    <w:p w14:paraId="09488A4A">
      <w:pPr>
        <w:keepNext w:val="0"/>
        <w:keepLines w:val="0"/>
        <w:pageBreakBefore w:val="0"/>
        <w:kinsoku/>
        <w:wordWrap/>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 xml:space="preserve">1. </w:t>
      </w:r>
      <w:r>
        <w:rPr>
          <w:rFonts w:hint="default" w:ascii="Times New Roman" w:hAnsi="Times New Roman" w:eastAsia="仿宋_GB2312" w:cs="Times New Roman"/>
          <w:b/>
          <w:bCs/>
          <w:sz w:val="32"/>
          <w:szCs w:val="32"/>
          <w:lang w:eastAsia="zh-CN"/>
        </w:rPr>
        <w:t>全面依法治县工作</w:t>
      </w:r>
    </w:p>
    <w:p w14:paraId="2B52EF69">
      <w:pPr>
        <w:numPr>
          <w:ilvl w:val="0"/>
          <w:numId w:val="2"/>
        </w:numPr>
        <w:spacing w:line="540" w:lineRule="exact"/>
        <w:ind w:firstLine="643"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b/>
          <w:bCs/>
          <w:color w:val="auto"/>
          <w:sz w:val="32"/>
          <w:szCs w:val="32"/>
          <w:lang w:val="en-US" w:eastAsia="zh-CN"/>
        </w:rPr>
        <w:t>一是</w:t>
      </w:r>
      <w:r>
        <w:rPr>
          <w:rFonts w:ascii="Times New Roman" w:hAnsi="Times New Roman" w:eastAsia="仿宋_GB2312" w:cs="Times New Roman"/>
          <w:sz w:val="32"/>
          <w:szCs w:val="32"/>
        </w:rPr>
        <w:t>组织对15个乡镇、99个县直和双重管理单位开展了2023年度全面依法治县工作考核，围绕组织领导工作机制、依法行政、普法工作、基层社会治理四个考核框架，重点对各单位学习宣传贯彻习近平法治思想、加强制度建设、推进依法行政、强化权力制约、法治建设责任落实、法治宣传教育、公共法律服务、化解社会矛盾等方面进行考核</w:t>
      </w:r>
      <w:r>
        <w:rPr>
          <w:rFonts w:hint="eastAsia" w:ascii="Times New Roman" w:hAnsi="Times New Roman" w:eastAsia="仿宋_GB2312" w:cs="Times New Roman"/>
          <w:b w:val="0"/>
          <w:bCs w:val="0"/>
          <w:color w:val="auto"/>
          <w:sz w:val="32"/>
          <w:szCs w:val="32"/>
          <w:lang w:val="en-US" w:eastAsia="zh-CN"/>
        </w:rPr>
        <w:t>；</w:t>
      </w:r>
      <w:r>
        <w:rPr>
          <w:rFonts w:hint="eastAsia" w:ascii="Times New Roman" w:hAnsi="Times New Roman" w:eastAsia="仿宋_GB2312" w:cs="Times New Roman"/>
          <w:b/>
          <w:bCs/>
          <w:sz w:val="32"/>
          <w:szCs w:val="32"/>
          <w:lang w:eastAsia="zh-CN"/>
        </w:rPr>
        <w:t>二是</w:t>
      </w:r>
      <w:r>
        <w:rPr>
          <w:rFonts w:hint="eastAsia" w:ascii="Times New Roman" w:hAnsi="Times New Roman" w:eastAsia="仿宋_GB2312" w:cs="Times New Roman"/>
          <w:bCs/>
          <w:sz w:val="32"/>
          <w:szCs w:val="32"/>
        </w:rPr>
        <w:t>组织召开</w:t>
      </w:r>
      <w:r>
        <w:rPr>
          <w:rFonts w:ascii="Times New Roman" w:hAnsi="Times New Roman" w:eastAsia="仿宋_GB2312" w:cs="Times New Roman"/>
          <w:bCs/>
          <w:sz w:val="32"/>
          <w:szCs w:val="32"/>
        </w:rPr>
        <w:t>县委全面依法治县委员会</w:t>
      </w:r>
      <w:r>
        <w:rPr>
          <w:rFonts w:hint="eastAsia" w:ascii="Times New Roman" w:hAnsi="Times New Roman" w:eastAsia="仿宋_GB2312" w:cs="Times New Roman"/>
          <w:bCs/>
          <w:sz w:val="32"/>
          <w:szCs w:val="32"/>
        </w:rPr>
        <w:t>办公室</w:t>
      </w:r>
      <w:r>
        <w:rPr>
          <w:rFonts w:ascii="Times New Roman" w:hAnsi="Times New Roman" w:eastAsia="仿宋_GB2312" w:cs="Times New Roman"/>
          <w:bCs/>
          <w:sz w:val="32"/>
          <w:szCs w:val="32"/>
        </w:rPr>
        <w:t>第</w:t>
      </w:r>
      <w:r>
        <w:rPr>
          <w:rFonts w:hint="eastAsia" w:ascii="Times New Roman" w:hAnsi="Times New Roman" w:eastAsia="仿宋_GB2312" w:cs="Times New Roman"/>
          <w:bCs/>
          <w:sz w:val="32"/>
          <w:szCs w:val="32"/>
        </w:rPr>
        <w:t>六</w:t>
      </w:r>
      <w:r>
        <w:rPr>
          <w:rFonts w:ascii="Times New Roman" w:hAnsi="Times New Roman" w:eastAsia="仿宋_GB2312" w:cs="Times New Roman"/>
          <w:bCs/>
          <w:sz w:val="32"/>
          <w:szCs w:val="32"/>
        </w:rPr>
        <w:t>次会议</w:t>
      </w:r>
      <w:r>
        <w:rPr>
          <w:rFonts w:hint="eastAsia" w:ascii="Times New Roman" w:hAnsi="Times New Roman" w:eastAsia="仿宋_GB2312" w:cs="Times New Roman"/>
          <w:bCs/>
          <w:sz w:val="32"/>
          <w:szCs w:val="32"/>
        </w:rPr>
        <w:t>，审议通过《中共桃江县委全面依法治县委员会</w:t>
      </w:r>
      <w:r>
        <w:rPr>
          <w:rFonts w:ascii="Times New Roman" w:hAnsi="Times New Roman" w:eastAsia="仿宋_GB2312" w:cs="Times New Roman"/>
          <w:bCs/>
          <w:sz w:val="32"/>
          <w:szCs w:val="32"/>
        </w:rPr>
        <w:t>202</w:t>
      </w:r>
      <w:r>
        <w:rPr>
          <w:rFonts w:hint="eastAsia" w:ascii="Times New Roman" w:hAnsi="Times New Roman" w:eastAsia="仿宋_GB2312" w:cs="Times New Roman"/>
          <w:bCs/>
          <w:sz w:val="32"/>
          <w:szCs w:val="32"/>
        </w:rPr>
        <w:t>4年工作要点》、《桃江县</w:t>
      </w:r>
      <w:r>
        <w:rPr>
          <w:rFonts w:ascii="Times New Roman" w:hAnsi="Times New Roman" w:eastAsia="仿宋_GB2312" w:cs="Times New Roman"/>
          <w:bCs/>
          <w:sz w:val="32"/>
          <w:szCs w:val="32"/>
        </w:rPr>
        <w:t>202</w:t>
      </w:r>
      <w:r>
        <w:rPr>
          <w:rFonts w:hint="eastAsia" w:ascii="Times New Roman" w:hAnsi="Times New Roman" w:eastAsia="仿宋_GB2312" w:cs="Times New Roman"/>
          <w:bCs/>
          <w:sz w:val="32"/>
          <w:szCs w:val="32"/>
        </w:rPr>
        <w:t>4年度全面依法治县工作考核方案》、《桃江县开展“驻点式”督察工作方案》三</w:t>
      </w:r>
      <w:r>
        <w:rPr>
          <w:rFonts w:ascii="Times New Roman" w:hAnsi="Times New Roman" w:eastAsia="仿宋_GB2312" w:cs="Times New Roman"/>
          <w:bCs/>
          <w:sz w:val="32"/>
          <w:szCs w:val="32"/>
        </w:rPr>
        <w:t>个文件</w:t>
      </w:r>
      <w:r>
        <w:rPr>
          <w:rFonts w:hint="eastAsia" w:ascii="Times New Roman" w:hAnsi="Times New Roman" w:eastAsia="仿宋_GB2312" w:cs="Times New Roman"/>
          <w:bCs/>
          <w:sz w:val="32"/>
          <w:szCs w:val="32"/>
        </w:rPr>
        <w:t>，研究部署下阶段全面依法治县重点工作</w:t>
      </w:r>
      <w:r>
        <w:rPr>
          <w:rFonts w:hint="eastAsia" w:ascii="Times New Roman" w:hAnsi="Times New Roman" w:eastAsia="仿宋_GB2312" w:cs="Times New Roman"/>
          <w:bCs/>
          <w:sz w:val="32"/>
          <w:szCs w:val="32"/>
          <w:lang w:eastAsia="zh-CN"/>
        </w:rPr>
        <w:t>；</w:t>
      </w:r>
      <w:r>
        <w:rPr>
          <w:rFonts w:hint="eastAsia" w:ascii="Times New Roman" w:hAnsi="Times New Roman" w:eastAsia="仿宋_GB2312" w:cs="Times New Roman"/>
          <w:b/>
          <w:bCs/>
          <w:sz w:val="32"/>
          <w:szCs w:val="32"/>
          <w:lang w:val="en-US" w:eastAsia="zh-CN"/>
        </w:rPr>
        <w:t>三是</w:t>
      </w:r>
      <w:r>
        <w:rPr>
          <w:rFonts w:ascii="Times New Roman" w:hAnsi="Times New Roman" w:eastAsia="仿宋_GB2312" w:cs="Times New Roman"/>
          <w:bCs/>
          <w:sz w:val="32"/>
          <w:szCs w:val="32"/>
        </w:rPr>
        <w:t>组织开展2024年桃江县</w:t>
      </w:r>
      <w:r>
        <w:rPr>
          <w:rFonts w:hint="eastAsia" w:ascii="Times New Roman" w:hAnsi="Times New Roman" w:eastAsia="仿宋_GB2312" w:cs="Times New Roman"/>
          <w:bCs/>
          <w:sz w:val="32"/>
          <w:szCs w:val="32"/>
        </w:rPr>
        <w:t>全面依法治县工作业务</w:t>
      </w:r>
      <w:r>
        <w:rPr>
          <w:rFonts w:ascii="Times New Roman" w:hAnsi="Times New Roman" w:eastAsia="仿宋_GB2312" w:cs="Times New Roman"/>
          <w:bCs/>
          <w:sz w:val="32"/>
          <w:szCs w:val="32"/>
        </w:rPr>
        <w:t>培训</w:t>
      </w:r>
      <w:r>
        <w:rPr>
          <w:rFonts w:hint="eastAsia" w:ascii="Times New Roman" w:hAnsi="Times New Roman" w:eastAsia="仿宋_GB2312" w:cs="Times New Roman"/>
          <w:bCs/>
          <w:sz w:val="32"/>
          <w:szCs w:val="32"/>
          <w:lang w:eastAsia="zh-CN"/>
        </w:rPr>
        <w:t>、</w:t>
      </w:r>
      <w:r>
        <w:rPr>
          <w:rFonts w:ascii="Times New Roman" w:hAnsi="Times New Roman" w:eastAsia="仿宋_GB2312" w:cs="Times New Roman"/>
          <w:bCs/>
          <w:sz w:val="32"/>
          <w:szCs w:val="32"/>
        </w:rPr>
        <w:t>开展2024年度全</w:t>
      </w:r>
      <w:r>
        <w:rPr>
          <w:rFonts w:hint="eastAsia" w:ascii="Times New Roman" w:hAnsi="Times New Roman" w:eastAsia="仿宋_GB2312" w:cs="Times New Roman"/>
          <w:bCs/>
          <w:sz w:val="32"/>
          <w:szCs w:val="32"/>
        </w:rPr>
        <w:t>县</w:t>
      </w:r>
      <w:r>
        <w:rPr>
          <w:rFonts w:ascii="Times New Roman" w:hAnsi="Times New Roman" w:eastAsia="仿宋_GB2312" w:cs="Times New Roman"/>
          <w:bCs/>
          <w:sz w:val="32"/>
          <w:szCs w:val="32"/>
        </w:rPr>
        <w:t>法治建设督察</w:t>
      </w:r>
      <w:r>
        <w:rPr>
          <w:rFonts w:hint="eastAsia" w:ascii="Times New Roman" w:hAnsi="Times New Roman" w:eastAsia="仿宋_GB2312" w:cs="Times New Roman"/>
          <w:bCs/>
          <w:sz w:val="32"/>
          <w:szCs w:val="32"/>
          <w:lang w:eastAsia="zh-CN"/>
        </w:rPr>
        <w:t>；</w:t>
      </w:r>
      <w:r>
        <w:rPr>
          <w:rFonts w:hint="eastAsia" w:ascii="Times New Roman" w:hAnsi="Times New Roman" w:eastAsia="仿宋_GB2312" w:cs="Times New Roman"/>
          <w:b/>
          <w:bCs/>
          <w:sz w:val="32"/>
          <w:szCs w:val="32"/>
          <w:lang w:val="en-US" w:eastAsia="zh-CN"/>
        </w:rPr>
        <w:t>四是</w:t>
      </w:r>
      <w:r>
        <w:rPr>
          <w:rFonts w:ascii="Times New Roman" w:hAnsi="Times New Roman" w:eastAsia="仿宋_GB2312" w:cs="Times New Roman"/>
          <w:sz w:val="32"/>
          <w:szCs w:val="32"/>
        </w:rPr>
        <w:t>起草《桃江县2023年法治政府建设工作报告》以及桃江县党政主要负责人履行推进法治建设第一责任人职责述职报告，其中法治政府建设工作报告以两办名义行文并在政府门户网站予以公示。</w:t>
      </w:r>
    </w:p>
    <w:p w14:paraId="32F0BE5F">
      <w:pPr>
        <w:keepNext w:val="0"/>
        <w:keepLines w:val="0"/>
        <w:pageBreakBefore w:val="0"/>
        <w:numPr>
          <w:ilvl w:val="0"/>
          <w:numId w:val="3"/>
        </w:numPr>
        <w:tabs>
          <w:tab w:val="left" w:pos="1032"/>
        </w:tabs>
        <w:kinsoku/>
        <w:wordWrap/>
        <w:topLinePunct w:val="0"/>
        <w:autoSpaceDE/>
        <w:autoSpaceDN/>
        <w:bidi w:val="0"/>
        <w:adjustRightInd/>
        <w:snapToGrid/>
        <w:spacing w:line="600" w:lineRule="exact"/>
        <w:ind w:left="640" w:leftChars="0" w:firstLine="0" w:firstLineChars="0"/>
        <w:jc w:val="both"/>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lang w:eastAsia="zh-CN"/>
        </w:rPr>
        <w:t>法治政府建设</w:t>
      </w:r>
      <w:r>
        <w:rPr>
          <w:rFonts w:hint="default" w:ascii="Times New Roman" w:hAnsi="Times New Roman" w:eastAsia="仿宋_GB2312" w:cs="Times New Roman"/>
          <w:b/>
          <w:bCs/>
          <w:sz w:val="32"/>
          <w:szCs w:val="32"/>
        </w:rPr>
        <w:t>工作</w:t>
      </w:r>
    </w:p>
    <w:p w14:paraId="4EEEA1F9">
      <w:pPr>
        <w:pStyle w:val="2"/>
        <w:keepNext w:val="0"/>
        <w:keepLines w:val="0"/>
        <w:pageBreakBefore w:val="0"/>
        <w:kinsoku/>
        <w:wordWrap/>
        <w:topLinePunct w:val="0"/>
        <w:autoSpaceDE/>
        <w:autoSpaceDN/>
        <w:bidi w:val="0"/>
        <w:adjustRightInd/>
        <w:snapToGrid/>
        <w:spacing w:line="600" w:lineRule="exact"/>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b/>
          <w:bCs/>
          <w:color w:val="auto"/>
          <w:sz w:val="32"/>
          <w:szCs w:val="32"/>
          <w:lang w:val="en-US" w:eastAsia="zh-CN"/>
        </w:rPr>
        <w:t>一是</w:t>
      </w:r>
      <w:r>
        <w:rPr>
          <w:rFonts w:hint="default" w:ascii="Times New Roman" w:hAnsi="Times New Roman" w:eastAsia="仿宋_GB2312" w:cs="Times New Roman"/>
          <w:color w:val="auto"/>
          <w:sz w:val="32"/>
          <w:szCs w:val="32"/>
          <w:lang w:val="en-US" w:eastAsia="zh-CN"/>
        </w:rPr>
        <w:t>巩固拓展“全省第一批法治政府建设示范地区”创建成果，健全科学行政决策机制，将政府会议纪要纳入法制审查范围，全年共审查县政府规范性文件34件、非规范性文件52件、会议纪要68件。</w:t>
      </w:r>
      <w:r>
        <w:rPr>
          <w:rFonts w:hint="eastAsia" w:ascii="Times New Roman" w:hAnsi="Times New Roman" w:eastAsia="仿宋_GB2312" w:cs="Times New Roman"/>
          <w:b/>
          <w:bCs w:val="0"/>
          <w:color w:val="auto"/>
          <w:sz w:val="32"/>
          <w:szCs w:val="32"/>
          <w:lang w:val="en-US" w:eastAsia="zh-CN"/>
        </w:rPr>
        <w:t>二是</w:t>
      </w:r>
      <w:r>
        <w:rPr>
          <w:rFonts w:hint="eastAsia" w:ascii="Times New Roman" w:hAnsi="Times New Roman" w:eastAsia="仿宋_GB2312" w:cs="Times New Roman"/>
          <w:color w:val="auto"/>
          <w:sz w:val="32"/>
          <w:szCs w:val="32"/>
          <w:lang w:val="en-US" w:eastAsia="zh-CN"/>
        </w:rPr>
        <w:t>督促落实行政机关负责人出庭应诉制度，行政机关负责人出庭应诉率达100%。全力畅通行政复议渠道，全年共受理行政复议案件98件，审结98件，受理案件比去年同比增长</w:t>
      </w:r>
      <w:r>
        <w:rPr>
          <w:rFonts w:hint="eastAsia" w:ascii="Times New Roman" w:hAnsi="Times New Roman" w:cs="Times New Roman"/>
          <w:color w:val="auto"/>
          <w:sz w:val="32"/>
          <w:szCs w:val="32"/>
          <w:lang w:val="en-US" w:eastAsia="zh-CN"/>
        </w:rPr>
        <w:t>88.46</w:t>
      </w:r>
      <w:r>
        <w:rPr>
          <w:rFonts w:hint="eastAsia"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b/>
          <w:bCs w:val="0"/>
          <w:color w:val="auto"/>
          <w:sz w:val="32"/>
          <w:szCs w:val="32"/>
          <w:lang w:val="en-US" w:eastAsia="zh-CN"/>
        </w:rPr>
        <w:t>三是</w:t>
      </w:r>
      <w:r>
        <w:rPr>
          <w:rFonts w:hint="eastAsia" w:ascii="Times New Roman" w:hAnsi="Times New Roman" w:eastAsia="仿宋_GB2312" w:cs="Times New Roman"/>
          <w:color w:val="auto"/>
          <w:sz w:val="32"/>
          <w:szCs w:val="32"/>
          <w:lang w:val="en-US" w:eastAsia="zh-CN"/>
        </w:rPr>
        <w:t>制定印发《关于编制行政执法事项清单的实施意见》，组织各行政执法部门依据法律、法规、规章，对本部门依法实施的行政执法事项进行梳理汇总，逐项明确事项名称、执法类别、执法主体、承办机构、执法依据等要素，编制《行政执法事项清单》。全县15个主要行政执法部门梳理执法事项共计2127项（包括行政许可190项、行政监督检查273项、行政处罚1424项、行政强制95项、行政确认72项、行政给付1项、行政征收2项、行政裁决3项、行政审批3项、其他行政行为64项），各执法单位通过桃江县人民政府网站等平台对执法事项清单进行了公示，接受社会监督。</w:t>
      </w:r>
      <w:r>
        <w:rPr>
          <w:rFonts w:hint="eastAsia" w:ascii="Times New Roman" w:hAnsi="Times New Roman" w:cs="Times New Roman"/>
          <w:b/>
          <w:bCs w:val="0"/>
          <w:color w:val="auto"/>
          <w:sz w:val="32"/>
          <w:szCs w:val="32"/>
          <w:lang w:val="en-US" w:eastAsia="zh-CN"/>
        </w:rPr>
        <w:t>四是</w:t>
      </w:r>
      <w:r>
        <w:rPr>
          <w:rFonts w:hint="eastAsia" w:ascii="Times New Roman" w:hAnsi="Times New Roman" w:eastAsia="仿宋_GB2312" w:cs="Times New Roman"/>
          <w:color w:val="auto"/>
          <w:sz w:val="32"/>
          <w:szCs w:val="32"/>
          <w:lang w:val="en-US" w:eastAsia="zh-CN"/>
        </w:rPr>
        <w:t>进一步理顺乡镇综合行政执法改革后续工作衔接机制。了解收集乡镇在开展综合行政执法过程遇到的困难和问题，研究制定了《关于进一步理顺乡镇综合行政执法改革后续衔接工作机制的通知》，厘清了部分经济社会管理权限事项下放至乡镇后，县级业务主管部门和乡镇之间的权限边界，明确了县级业务主管部门加强业务指导和技术保障的责任和义务，对加强部门协作，强化信息共享作了相关规定，将对加强县镇两级综合行政执法协调协作，提升县镇两级综合行政执法统筹协调能力，构建起权责一致、县乡（镇）联动、衔接有序、运行顺畅、规范高效的综合行政执法体制机制起到较好的助推作用。</w:t>
      </w:r>
      <w:r>
        <w:rPr>
          <w:rFonts w:hint="eastAsia" w:ascii="Times New Roman" w:hAnsi="Times New Roman" w:cs="Times New Roman"/>
          <w:b/>
          <w:bCs w:val="0"/>
          <w:color w:val="auto"/>
          <w:sz w:val="32"/>
          <w:szCs w:val="32"/>
          <w:lang w:val="en-US" w:eastAsia="zh-CN"/>
        </w:rPr>
        <w:t>五是</w:t>
      </w:r>
      <w:r>
        <w:rPr>
          <w:rFonts w:hint="eastAsia" w:ascii="Times New Roman" w:hAnsi="Times New Roman" w:eastAsia="仿宋_GB2312" w:cs="Times New Roman"/>
          <w:color w:val="auto"/>
          <w:sz w:val="32"/>
          <w:szCs w:val="32"/>
          <w:lang w:val="en-US" w:eastAsia="zh-CN"/>
        </w:rPr>
        <w:t>制定并印发了《关于在全县开展行政执法领域突出问题专项整治行动的实施意见》，进一步压实主体责任,明确工作目标、整治内容、整治方式及具体要求，高位推进落实。同时通过微信公众平台发布关于受理涉企行政执法问题投诉举报的公告，进一步拓宽线索渠道。要求全县各行政执法单位全面开展自查自纠，深入查摆突出问题，确保自查覆盖面达到100%。全县31个主要行政执法单位排查出48项问题，有关问题形成专项整治台账，明确整改措施和责任单位，确保相关问题“彻底改”和“改彻底”，已全部整改到位。</w:t>
      </w:r>
    </w:p>
    <w:p w14:paraId="21593A2D">
      <w:pPr>
        <w:keepNext w:val="0"/>
        <w:keepLines w:val="0"/>
        <w:pageBreakBefore w:val="0"/>
        <w:numPr>
          <w:ilvl w:val="0"/>
          <w:numId w:val="3"/>
        </w:numPr>
        <w:tabs>
          <w:tab w:val="left" w:pos="1032"/>
        </w:tabs>
        <w:kinsoku/>
        <w:wordWrap/>
        <w:topLinePunct w:val="0"/>
        <w:autoSpaceDE/>
        <w:autoSpaceDN/>
        <w:bidi w:val="0"/>
        <w:adjustRightInd/>
        <w:snapToGrid/>
        <w:spacing w:line="600" w:lineRule="exact"/>
        <w:ind w:left="640" w:leftChars="0" w:firstLine="0" w:firstLineChars="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lang w:eastAsia="zh-CN"/>
        </w:rPr>
        <w:t>普法宣传工作</w:t>
      </w:r>
    </w:p>
    <w:p w14:paraId="3D923004">
      <w:pPr>
        <w:keepNext w:val="0"/>
        <w:keepLines w:val="0"/>
        <w:pageBreakBefore w:val="0"/>
        <w:numPr>
          <w:numId w:val="0"/>
        </w:numPr>
        <w:tabs>
          <w:tab w:val="left" w:pos="1032"/>
        </w:tabs>
        <w:kinsoku/>
        <w:wordWrap/>
        <w:topLinePunct w:val="0"/>
        <w:autoSpaceDE/>
        <w:autoSpaceDN/>
        <w:bidi w:val="0"/>
        <w:adjustRightInd/>
        <w:snapToGrid/>
        <w:spacing w:line="600" w:lineRule="exact"/>
        <w:ind w:firstLine="640" w:firstLineChars="200"/>
        <w:jc w:val="both"/>
        <w:textAlignment w:val="auto"/>
        <w:rPr>
          <w:rFonts w:hint="eastAsia" w:eastAsia="仿宋_GB2312" w:cs="Times New Roman"/>
          <w:b w:val="0"/>
          <w:bCs w:val="0"/>
          <w:color w:val="auto"/>
          <w:kern w:val="0"/>
          <w:sz w:val="32"/>
          <w:szCs w:val="32"/>
          <w:lang w:val="en-US" w:eastAsia="zh-CN"/>
        </w:rPr>
      </w:pPr>
      <w:r>
        <w:rPr>
          <w:rFonts w:hint="eastAsia" w:eastAsia="仿宋_GB2312" w:cs="Times New Roman"/>
          <w:b w:val="0"/>
          <w:bCs w:val="0"/>
          <w:color w:val="auto"/>
          <w:kern w:val="0"/>
          <w:sz w:val="32"/>
          <w:szCs w:val="32"/>
          <w:lang w:val="en-US" w:eastAsia="zh-CN"/>
        </w:rPr>
        <w:t>一是将普法依法治理工作纳入法治督查，把公职人员学法考法成绩作为年度评先评优、晋职晋级的重要依据。二是多形式开展法治宣传活动，组织全县各单位及普法志愿者开展法律“九进”活动100余场次、举办法治讲座100余场次、发放资料5万余份。三是开展全县农村法治宣传教育月活动，印发法律宣传资料5万余份，开展“法律明白人培训”20余场次。四是组织来自85所大学的260名大学生志愿者开展80余场次的送法下乡活动，走访群众1000余户，发放宣传资料10000余份。五是在芙蓉路桥到花苞洲桥原法治文化长廊基础上，扩建4200米，建成“十里法治文化长廊”，有效加强法治文化阵地建设，浓厚全民学法的法治氛围。六是加大青少年法治宣传教育力度，着力提升法治副校长履职实效。法治副校长上法治课80余次，发放资料10000余份，赠送书籍4000余册。</w:t>
      </w:r>
    </w:p>
    <w:p w14:paraId="1CF6AD5E">
      <w:pPr>
        <w:keepNext w:val="0"/>
        <w:keepLines w:val="0"/>
        <w:pageBreakBefore w:val="0"/>
        <w:numPr>
          <w:numId w:val="0"/>
        </w:numPr>
        <w:tabs>
          <w:tab w:val="left" w:pos="1032"/>
        </w:tabs>
        <w:kinsoku/>
        <w:wordWrap/>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b/>
          <w:bCs/>
          <w:sz w:val="32"/>
          <w:szCs w:val="32"/>
          <w:lang w:eastAsia="zh-CN"/>
        </w:rPr>
      </w:pPr>
      <w:r>
        <w:rPr>
          <w:rFonts w:hint="eastAsia" w:eastAsia="仿宋_GB2312" w:cs="Times New Roman"/>
          <w:b/>
          <w:bCs/>
          <w:color w:val="auto"/>
          <w:kern w:val="0"/>
          <w:sz w:val="32"/>
          <w:szCs w:val="32"/>
          <w:lang w:val="en-US" w:eastAsia="zh-CN"/>
        </w:rPr>
        <w:t>4.</w:t>
      </w:r>
      <w:r>
        <w:rPr>
          <w:rFonts w:hint="default" w:ascii="Times New Roman" w:hAnsi="Times New Roman" w:eastAsia="仿宋_GB2312" w:cs="Times New Roman"/>
          <w:b/>
          <w:bCs/>
          <w:sz w:val="32"/>
          <w:szCs w:val="32"/>
          <w:lang w:eastAsia="zh-CN"/>
        </w:rPr>
        <w:t>社区矫正</w:t>
      </w:r>
      <w:r>
        <w:rPr>
          <w:rFonts w:hint="eastAsia" w:eastAsia="仿宋_GB2312" w:cs="Times New Roman"/>
          <w:b/>
          <w:bCs/>
          <w:sz w:val="32"/>
          <w:szCs w:val="32"/>
          <w:lang w:eastAsia="zh-CN"/>
        </w:rPr>
        <w:t>（安置帮教）</w:t>
      </w:r>
      <w:r>
        <w:rPr>
          <w:rFonts w:hint="default" w:ascii="Times New Roman" w:hAnsi="Times New Roman" w:eastAsia="仿宋_GB2312" w:cs="Times New Roman"/>
          <w:b/>
          <w:bCs/>
          <w:sz w:val="32"/>
          <w:szCs w:val="32"/>
          <w:lang w:eastAsia="zh-CN"/>
        </w:rPr>
        <w:t>工作</w:t>
      </w:r>
    </w:p>
    <w:p w14:paraId="4E84DBC9">
      <w:pPr>
        <w:keepNext w:val="0"/>
        <w:keepLines w:val="0"/>
        <w:pageBreakBefore w:val="0"/>
        <w:numPr>
          <w:ilvl w:val="0"/>
          <w:numId w:val="0"/>
        </w:numPr>
        <w:tabs>
          <w:tab w:val="left" w:pos="1032"/>
        </w:tabs>
        <w:kinsoku/>
        <w:wordWrap/>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bCs/>
          <w:sz w:val="32"/>
          <w:szCs w:val="32"/>
          <w:lang w:eastAsia="zh-CN"/>
        </w:rPr>
      </w:pPr>
      <w:r>
        <w:rPr>
          <w:rFonts w:hint="eastAsia" w:eastAsia="仿宋_GB2312" w:cs="Times New Roman"/>
          <w:b w:val="0"/>
          <w:bCs w:val="0"/>
          <w:color w:val="auto"/>
          <w:sz w:val="32"/>
          <w:szCs w:val="32"/>
          <w:lang w:val="en-US" w:eastAsia="zh-CN"/>
        </w:rPr>
        <w:t>2024年我县共受理社区矫正调查评估和未成年犯罪嫌疑人社会调查328例，建议适用社区矫正260例，慎用社区矫正16例，不适用社区矫正11例，未成年犯罪嫌疑人社会调查41例；全年新接收社矫对象352人，解除或终止291人。办理请假外出164例，其中准假外出期间162例，逾期未归0例。办理跨市县审批53人次，办理居住地变更18例，转出15人，转入3人；向出入境管理部门提请备案113人，3人办理边控，对25人持有的出入境证件进行收缴统一保管；按时组织在矫暂予监外执行社区矫正对象进行季度病情复查和年度病情诊断；对不按时签到、不假外出等违反社区矫正管理规定的社区矫正对象进行处分147人次，其中警告18人次，训诫129人次，治安管理处罚1人次；向人民法院提交撤销缓刑2件。2024年底，在矫人数343人，其中缓刑324人、假释12人、暂予监外执行7人；截止至2024年12月31日，全县累计接收社区矫正对象3828人，累计解除社区矫正对象3783人。</w:t>
      </w:r>
    </w:p>
    <w:p w14:paraId="1B66702F">
      <w:pPr>
        <w:keepNext w:val="0"/>
        <w:keepLines w:val="0"/>
        <w:pageBreakBefore w:val="0"/>
        <w:numPr>
          <w:ilvl w:val="0"/>
          <w:numId w:val="3"/>
        </w:numPr>
        <w:tabs>
          <w:tab w:val="left" w:pos="1032"/>
        </w:tabs>
        <w:kinsoku/>
        <w:wordWrap/>
        <w:topLinePunct w:val="0"/>
        <w:autoSpaceDE/>
        <w:autoSpaceDN/>
        <w:bidi w:val="0"/>
        <w:adjustRightInd/>
        <w:snapToGrid/>
        <w:spacing w:line="600" w:lineRule="exact"/>
        <w:ind w:left="640" w:leftChars="0" w:firstLine="0" w:firstLineChars="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lang w:eastAsia="zh-CN"/>
        </w:rPr>
        <w:t>人民调解</w:t>
      </w:r>
      <w:r>
        <w:rPr>
          <w:rFonts w:hint="eastAsia" w:eastAsia="仿宋_GB2312" w:cs="Times New Roman"/>
          <w:b/>
          <w:bCs/>
          <w:sz w:val="32"/>
          <w:szCs w:val="32"/>
          <w:lang w:eastAsia="zh-CN"/>
        </w:rPr>
        <w:t>（以奖代补）</w:t>
      </w:r>
      <w:r>
        <w:rPr>
          <w:rFonts w:hint="default" w:ascii="Times New Roman" w:hAnsi="Times New Roman" w:eastAsia="仿宋_GB2312" w:cs="Times New Roman"/>
          <w:b/>
          <w:bCs/>
          <w:sz w:val="32"/>
          <w:szCs w:val="32"/>
          <w:lang w:eastAsia="zh-CN"/>
        </w:rPr>
        <w:t>工作</w:t>
      </w:r>
    </w:p>
    <w:p w14:paraId="3D34752F">
      <w:pPr>
        <w:keepNext w:val="0"/>
        <w:keepLines w:val="0"/>
        <w:pageBreakBefore w:val="0"/>
        <w:numPr>
          <w:ilvl w:val="0"/>
          <w:numId w:val="0"/>
        </w:numPr>
        <w:tabs>
          <w:tab w:val="left" w:pos="1032"/>
        </w:tabs>
        <w:kinsoku/>
        <w:wordWrap/>
        <w:topLinePunct w:val="0"/>
        <w:autoSpaceDE/>
        <w:autoSpaceDN/>
        <w:bidi w:val="0"/>
        <w:adjustRightInd/>
        <w:snapToGrid/>
        <w:spacing w:line="600" w:lineRule="exact"/>
        <w:ind w:firstLine="640" w:firstLineChars="200"/>
        <w:jc w:val="both"/>
        <w:textAlignment w:val="auto"/>
        <w:rPr>
          <w:rFonts w:hint="eastAsia" w:eastAsia="仿宋_GB2312" w:cs="Times New Roman"/>
          <w:sz w:val="32"/>
          <w:szCs w:val="32"/>
          <w:lang w:val="en-US" w:eastAsia="zh-CN"/>
        </w:rPr>
      </w:pPr>
      <w:r>
        <w:rPr>
          <w:rFonts w:hint="eastAsia" w:eastAsia="仿宋_GB2312" w:cs="Times New Roman"/>
          <w:sz w:val="32"/>
          <w:szCs w:val="32"/>
          <w:lang w:val="en-US" w:eastAsia="zh-CN"/>
        </w:rPr>
        <w:t>2024年全县各级人民调解组织共调处纠纷4538余件，涉案金额达11493余万元，没有发生因矛盾纠纷调处不及时或处理不到位而引发的群体性械斗、非正常死亡、集体性上访等事件。一是严格落实村（社区）每周、乡镇每月、县区每季度矛盾纠纷排查制度，对重点区域、重点对象、重点领域和重要时间段开展重点排查；二是加强司法所规范化建设，坚持发展新时代“枫桥经验”，实现小事不出村，大事不出乡，矛盾不上交。三是推动专业性行业性调委会充分发挥作用，鼓励引导发展调解组织，指导成立全国人民满意的公务员——李狮工作室。四是推进人民调解队伍建设，组织全县100余名调解骨干进行业务培训，进一步提高新任人民调解员能力素质和依法调解水平，使调解队伍更专业。五是严格落实《桃江县人民调解“以奖代补”实施细则》，2024年度评查全县人民调解案卷3797个，发放“以奖代补”23余万元。</w:t>
      </w:r>
    </w:p>
    <w:p w14:paraId="372FACAB">
      <w:pPr>
        <w:keepNext w:val="0"/>
        <w:keepLines w:val="0"/>
        <w:pageBreakBefore w:val="0"/>
        <w:numPr>
          <w:ilvl w:val="0"/>
          <w:numId w:val="0"/>
        </w:numPr>
        <w:tabs>
          <w:tab w:val="left" w:pos="1032"/>
        </w:tabs>
        <w:kinsoku/>
        <w:wordWrap/>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bCs/>
          <w:sz w:val="32"/>
          <w:szCs w:val="32"/>
          <w:lang w:eastAsia="zh-CN"/>
        </w:rPr>
      </w:pPr>
      <w:r>
        <w:rPr>
          <w:rFonts w:hint="eastAsia" w:eastAsia="仿宋_GB2312" w:cs="Times New Roman"/>
          <w:sz w:val="32"/>
          <w:szCs w:val="32"/>
          <w:lang w:val="en-US" w:eastAsia="zh-CN"/>
        </w:rPr>
        <w:t>6.</w:t>
      </w:r>
      <w:r>
        <w:rPr>
          <w:rFonts w:hint="eastAsia" w:eastAsia="仿宋_GB2312" w:cs="Times New Roman"/>
          <w:b/>
          <w:bCs/>
          <w:sz w:val="32"/>
          <w:szCs w:val="32"/>
          <w:lang w:eastAsia="zh-CN"/>
        </w:rPr>
        <w:t>公共法律服务（</w:t>
      </w:r>
      <w:r>
        <w:rPr>
          <w:rFonts w:hint="default" w:ascii="Times New Roman" w:hAnsi="Times New Roman" w:eastAsia="仿宋_GB2312" w:cs="Times New Roman"/>
          <w:b/>
          <w:bCs/>
          <w:sz w:val="32"/>
          <w:szCs w:val="32"/>
          <w:lang w:eastAsia="zh-CN"/>
        </w:rPr>
        <w:t>法律援助</w:t>
      </w:r>
      <w:r>
        <w:rPr>
          <w:rFonts w:hint="eastAsia" w:eastAsia="仿宋_GB2312" w:cs="Times New Roman"/>
          <w:b/>
          <w:bCs/>
          <w:sz w:val="32"/>
          <w:szCs w:val="32"/>
          <w:lang w:eastAsia="zh-CN"/>
        </w:rPr>
        <w:t>）</w:t>
      </w:r>
      <w:r>
        <w:rPr>
          <w:rFonts w:hint="default" w:ascii="Times New Roman" w:hAnsi="Times New Roman" w:eastAsia="仿宋_GB2312" w:cs="Times New Roman"/>
          <w:b/>
          <w:bCs/>
          <w:sz w:val="32"/>
          <w:szCs w:val="32"/>
          <w:lang w:eastAsia="zh-CN"/>
        </w:rPr>
        <w:t>工作</w:t>
      </w:r>
    </w:p>
    <w:p w14:paraId="768D28CE">
      <w:pPr>
        <w:keepNext w:val="0"/>
        <w:keepLines w:val="0"/>
        <w:pageBreakBefore w:val="0"/>
        <w:widowControl w:val="0"/>
        <w:numPr>
          <w:ilvl w:val="0"/>
          <w:numId w:val="0"/>
        </w:numPr>
        <w:kinsoku/>
        <w:wordWrap/>
        <w:overflowPunct w:val="0"/>
        <w:topLinePunct w:val="0"/>
        <w:autoSpaceDE/>
        <w:autoSpaceDN/>
        <w:bidi w:val="0"/>
        <w:adjustRightInd/>
        <w:snapToGrid/>
        <w:spacing w:line="594" w:lineRule="exact"/>
        <w:ind w:firstLine="643" w:firstLineChars="200"/>
        <w:jc w:val="both"/>
        <w:textAlignment w:val="auto"/>
        <w:rPr>
          <w:rFonts w:hint="default" w:ascii="Times New Roman" w:hAnsi="Times New Roman" w:eastAsia="仿宋" w:cs="Times New Roman"/>
          <w:sz w:val="32"/>
          <w:szCs w:val="32"/>
        </w:rPr>
      </w:pPr>
      <w:r>
        <w:rPr>
          <w:rFonts w:hint="default" w:ascii="Times New Roman" w:hAnsi="Times New Roman" w:eastAsia="仿宋_GB2312" w:cs="Times New Roman"/>
          <w:b/>
          <w:bCs/>
          <w:color w:val="auto"/>
          <w:sz w:val="32"/>
          <w:szCs w:val="32"/>
          <w:lang w:val="en-US" w:eastAsia="zh-CN"/>
        </w:rPr>
        <w:t>一是着力护航企业发展。</w:t>
      </w:r>
      <w:r>
        <w:rPr>
          <w:rFonts w:hint="default" w:ascii="Times New Roman" w:hAnsi="Times New Roman" w:eastAsia="仿宋_GB2312" w:cs="Times New Roman"/>
          <w:b w:val="0"/>
          <w:bCs w:val="0"/>
          <w:color w:val="auto"/>
          <w:sz w:val="32"/>
          <w:szCs w:val="32"/>
          <w:lang w:val="en-US" w:eastAsia="zh-CN"/>
        </w:rPr>
        <w:t>联合法律服务团队开展 “千所联千企”法治体检活动，与企业负责人深入分析交流、答疑解惑、“把脉问诊”，得到企业一致好评；大力运用省、县两级互联网+政务服务平台在线服务企业和群众，有效推进“一件事一次办”，全年共提供</w:t>
      </w:r>
      <w:r>
        <w:rPr>
          <w:rFonts w:hint="eastAsia" w:eastAsia="仿宋_GB2312" w:cs="Times New Roman"/>
          <w:b w:val="0"/>
          <w:bCs w:val="0"/>
          <w:color w:val="auto"/>
          <w:sz w:val="32"/>
          <w:szCs w:val="32"/>
          <w:lang w:val="en-US" w:eastAsia="zh-CN"/>
        </w:rPr>
        <w:t>法律</w:t>
      </w:r>
      <w:r>
        <w:rPr>
          <w:rFonts w:hint="default" w:ascii="Times New Roman" w:hAnsi="Times New Roman" w:eastAsia="仿宋_GB2312" w:cs="Times New Roman"/>
          <w:b w:val="0"/>
          <w:bCs w:val="0"/>
          <w:color w:val="auto"/>
          <w:sz w:val="32"/>
          <w:szCs w:val="32"/>
          <w:lang w:val="en-US" w:eastAsia="zh-CN"/>
        </w:rPr>
        <w:t>服务325次。</w:t>
      </w:r>
      <w:r>
        <w:rPr>
          <w:rFonts w:hint="default" w:ascii="Times New Roman" w:hAnsi="Times New Roman" w:eastAsia="仿宋_GB2312" w:cs="Times New Roman"/>
          <w:b/>
          <w:bCs/>
          <w:color w:val="auto"/>
          <w:sz w:val="32"/>
          <w:szCs w:val="32"/>
          <w:lang w:val="en-US" w:eastAsia="zh-CN"/>
        </w:rPr>
        <w:t>二是着力保障民生福祉。</w:t>
      </w:r>
      <w:r>
        <w:rPr>
          <w:rFonts w:hint="default" w:ascii="Times New Roman" w:hAnsi="Times New Roman" w:eastAsia="仿宋_GB2312" w:cs="Times New Roman"/>
          <w:b w:val="0"/>
          <w:bCs w:val="0"/>
          <w:color w:val="auto"/>
          <w:sz w:val="32"/>
          <w:szCs w:val="32"/>
          <w:lang w:val="en-US" w:eastAsia="zh-CN"/>
        </w:rPr>
        <w:t>开展农民工、残疾人等弱势群体和军人军属法律援助专项活动，共受理法律援助案件267件；</w:t>
      </w:r>
      <w:r>
        <w:rPr>
          <w:rFonts w:hint="default" w:ascii="Times New Roman" w:hAnsi="Times New Roman" w:eastAsia="仿宋_GB2312" w:cs="Times New Roman"/>
          <w:color w:val="auto"/>
          <w:sz w:val="32"/>
          <w:szCs w:val="32"/>
        </w:rPr>
        <w:t>公共法律服务实体、热线、网络</w:t>
      </w:r>
      <w:r>
        <w:rPr>
          <w:rFonts w:hint="default" w:ascii="Times New Roman" w:hAnsi="Times New Roman" w:eastAsia="仿宋_GB2312" w:cs="Times New Roman"/>
          <w:b w:val="0"/>
          <w:bCs w:val="0"/>
          <w:color w:val="auto"/>
          <w:sz w:val="32"/>
          <w:szCs w:val="32"/>
          <w:lang w:val="en-US" w:eastAsia="zh-CN"/>
        </w:rPr>
        <w:t>“三大平台”为群众提供法律咨询700余件，群众满意度100%；深化刑事案件律师辩护全覆盖，安排律师在法院、检察院、看守所定期值班，提供法律帮助963件。</w:t>
      </w:r>
      <w:r>
        <w:rPr>
          <w:rFonts w:hint="default" w:ascii="Times New Roman" w:hAnsi="Times New Roman" w:eastAsia="仿宋_GB2312" w:cs="Times New Roman"/>
          <w:b/>
          <w:bCs/>
          <w:color w:val="auto"/>
          <w:sz w:val="32"/>
          <w:szCs w:val="32"/>
          <w:lang w:val="en-US" w:eastAsia="zh-CN"/>
        </w:rPr>
        <w:t>三是着力强化行业监管。</w:t>
      </w:r>
      <w:r>
        <w:rPr>
          <w:rFonts w:hint="default" w:ascii="Times New Roman" w:hAnsi="Times New Roman" w:eastAsia="仿宋_GB2312" w:cs="Times New Roman"/>
          <w:b w:val="0"/>
          <w:bCs w:val="0"/>
          <w:color w:val="auto"/>
          <w:sz w:val="32"/>
          <w:szCs w:val="32"/>
          <w:lang w:val="en-US" w:eastAsia="zh-CN"/>
        </w:rPr>
        <w:t>开展律所、法律服务所、司法鉴定机构执业检查，公布投诉举报电话，全年零投诉。两家司法鉴定所办结司法鉴定778件。加快推进公证体制改革，桃江公证处在年内恢复执业，全年共协助办理公证事项743件。</w:t>
      </w:r>
    </w:p>
    <w:p w14:paraId="08B34D5D">
      <w:pPr>
        <w:keepNext w:val="0"/>
        <w:keepLines w:val="0"/>
        <w:pageBreakBefore w:val="0"/>
        <w:numPr>
          <w:ilvl w:val="0"/>
          <w:numId w:val="0"/>
        </w:numPr>
        <w:kinsoku/>
        <w:wordWrap/>
        <w:autoSpaceDE/>
        <w:autoSpaceDN/>
        <w:bidi w:val="0"/>
        <w:adjustRightInd/>
        <w:snapToGrid/>
        <w:spacing w:line="600" w:lineRule="exact"/>
        <w:ind w:firstLine="640" w:firstLineChars="200"/>
        <w:textAlignment w:val="auto"/>
        <w:rPr>
          <w:rFonts w:eastAsia="黑体"/>
          <w:sz w:val="32"/>
          <w:szCs w:val="32"/>
        </w:rPr>
      </w:pPr>
      <w:r>
        <w:rPr>
          <w:rFonts w:eastAsia="黑体"/>
          <w:sz w:val="32"/>
          <w:szCs w:val="32"/>
        </w:rPr>
        <w:t>四、部门整体支出绩效情况</w:t>
      </w:r>
    </w:p>
    <w:p w14:paraId="79F32EE6">
      <w:pPr>
        <w:keepNext w:val="0"/>
        <w:keepLines w:val="0"/>
        <w:pageBreakBefore w:val="0"/>
        <w:widowControl w:val="0"/>
        <w:numPr>
          <w:ilvl w:val="0"/>
          <w:numId w:val="0"/>
        </w:numPr>
        <w:kinsoku/>
        <w:wordWrap/>
        <w:overflowPunct w:val="0"/>
        <w:topLinePunct w:val="0"/>
        <w:autoSpaceDE/>
        <w:autoSpaceDN/>
        <w:bidi w:val="0"/>
        <w:adjustRightInd/>
        <w:snapToGrid/>
        <w:spacing w:line="594" w:lineRule="exact"/>
        <w:ind w:firstLine="640" w:firstLineChars="200"/>
        <w:jc w:val="both"/>
        <w:textAlignment w:val="auto"/>
        <w:rPr>
          <w:rFonts w:hint="eastAsia" w:ascii="Times New Roman" w:hAnsi="Times New Roman" w:eastAsia="仿宋_GB2312" w:cs="Times New Roman"/>
          <w:b w:val="0"/>
          <w:bCs w:val="0"/>
          <w:color w:val="auto"/>
          <w:sz w:val="32"/>
          <w:szCs w:val="32"/>
          <w:lang w:val="en-US" w:eastAsia="zh-CN"/>
        </w:rPr>
      </w:pPr>
      <w:r>
        <w:rPr>
          <w:rFonts w:hint="eastAsia" w:ascii="仿宋_GB2312" w:hAnsi="仿宋_GB2312" w:eastAsia="仿宋_GB2312" w:cs="仿宋_GB2312"/>
          <w:sz w:val="32"/>
          <w:szCs w:val="32"/>
          <w:lang w:val="en-US" w:eastAsia="zh-CN"/>
        </w:rPr>
        <w:t>2024</w:t>
      </w:r>
      <w:r>
        <w:rPr>
          <w:rFonts w:hint="default" w:ascii="仿宋_GB2312" w:hAnsi="仿宋_GB2312" w:eastAsia="仿宋_GB2312" w:cs="仿宋_GB2312"/>
          <w:sz w:val="32"/>
          <w:szCs w:val="32"/>
        </w:rPr>
        <w:t>年，</w:t>
      </w:r>
      <w:bookmarkStart w:id="0" w:name="baidusnap2"/>
      <w:bookmarkEnd w:id="0"/>
      <w:r>
        <w:rPr>
          <w:rFonts w:hint="eastAsia" w:ascii="仿宋_GB2312" w:hAnsi="仿宋_GB2312" w:eastAsia="仿宋_GB2312" w:cs="仿宋_GB2312"/>
          <w:color w:val="auto"/>
          <w:sz w:val="32"/>
          <w:szCs w:val="32"/>
        </w:rPr>
        <w:t>我县司法行政工作在县委县政府的</w:t>
      </w:r>
      <w:r>
        <w:rPr>
          <w:rFonts w:hint="default" w:ascii="仿宋_GB2312" w:hAnsi="仿宋_GB2312" w:eastAsia="仿宋_GB2312" w:cs="仿宋_GB2312"/>
          <w:sz w:val="32"/>
          <w:szCs w:val="32"/>
        </w:rPr>
        <w:t>正确领导</w:t>
      </w:r>
      <w:r>
        <w:rPr>
          <w:rFonts w:hint="eastAsia" w:ascii="仿宋_GB2312" w:hAnsi="仿宋_GB2312" w:eastAsia="仿宋_GB2312" w:cs="仿宋_GB2312"/>
          <w:sz w:val="32"/>
          <w:szCs w:val="32"/>
          <w:lang w:eastAsia="zh-CN"/>
        </w:rPr>
        <w:t>下，</w:t>
      </w:r>
      <w:r>
        <w:rPr>
          <w:rFonts w:hint="eastAsia" w:ascii="仿宋_GB2312" w:hAnsi="仿宋_GB2312" w:eastAsia="仿宋_GB2312" w:cs="仿宋_GB2312"/>
          <w:color w:val="auto"/>
          <w:sz w:val="32"/>
          <w:szCs w:val="32"/>
        </w:rPr>
        <w:t>全面履行“一个统</w:t>
      </w:r>
      <w:r>
        <w:rPr>
          <w:rFonts w:hint="eastAsia" w:ascii="仿宋_GB2312" w:hAnsi="仿宋_GB2312" w:eastAsia="仿宋_GB2312" w:cs="仿宋_GB2312"/>
          <w:color w:val="auto"/>
          <w:sz w:val="32"/>
          <w:szCs w:val="32"/>
          <w:lang w:eastAsia="zh-CN"/>
        </w:rPr>
        <w:t>抓</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五</w:t>
      </w:r>
      <w:r>
        <w:rPr>
          <w:rFonts w:hint="eastAsia" w:ascii="仿宋_GB2312" w:hAnsi="仿宋_GB2312" w:eastAsia="仿宋_GB2312" w:cs="仿宋_GB2312"/>
          <w:color w:val="auto"/>
          <w:sz w:val="32"/>
          <w:szCs w:val="32"/>
        </w:rPr>
        <w:t>大职能”，</w:t>
      </w:r>
      <w:r>
        <w:rPr>
          <w:rFonts w:hint="eastAsia" w:ascii="仿宋_GB2312" w:hAnsi="仿宋_GB2312" w:eastAsia="仿宋_GB2312" w:cs="仿宋_GB2312"/>
          <w:color w:val="auto"/>
          <w:sz w:val="32"/>
          <w:szCs w:val="32"/>
          <w:lang w:eastAsia="zh-CN"/>
        </w:rPr>
        <w:t>各项</w:t>
      </w:r>
      <w:r>
        <w:rPr>
          <w:rFonts w:hint="eastAsia" w:ascii="仿宋_GB2312" w:hAnsi="仿宋_GB2312" w:eastAsia="仿宋_GB2312" w:cs="仿宋_GB2312"/>
          <w:color w:val="auto"/>
          <w:sz w:val="32"/>
          <w:szCs w:val="32"/>
        </w:rPr>
        <w:t>工作取得了新成效、新发展</w:t>
      </w:r>
      <w:r>
        <w:rPr>
          <w:rFonts w:hint="eastAsia" w:ascii="仿宋_GB2312" w:hAnsi="仿宋_GB2312" w:eastAsia="仿宋_GB2312" w:cs="仿宋_GB2312"/>
          <w:b w:val="0"/>
          <w:bCs w:val="0"/>
          <w:sz w:val="32"/>
          <w:szCs w:val="32"/>
          <w:lang w:eastAsia="zh-CN"/>
        </w:rPr>
        <w:t>。全面依法治县深入推进，</w:t>
      </w:r>
      <w:r>
        <w:rPr>
          <w:rFonts w:hint="eastAsia" w:ascii="仿宋_GB2312" w:hAnsi="仿宋_GB2312" w:eastAsia="仿宋_GB2312" w:cs="仿宋_GB2312"/>
          <w:sz w:val="32"/>
          <w:szCs w:val="32"/>
          <w:lang w:eastAsia="zh-CN"/>
        </w:rPr>
        <w:t>法治建设水平不断提升；“八五”普法创新发展，</w:t>
      </w:r>
      <w:r>
        <w:rPr>
          <w:rFonts w:hint="eastAsia" w:ascii="仿宋_GB2312" w:hAnsi="仿宋_GB2312" w:eastAsia="仿宋_GB2312" w:cs="仿宋_GB2312"/>
          <w:b w:val="0"/>
          <w:bCs w:val="0"/>
          <w:color w:val="auto"/>
          <w:sz w:val="32"/>
          <w:szCs w:val="32"/>
          <w:lang w:val="en-US" w:eastAsia="zh-CN"/>
        </w:rPr>
        <w:t>县司法局荣获全国“八五”普法中期通报表扬单位；基层社会治理稳扎稳打，</w:t>
      </w:r>
      <w:r>
        <w:rPr>
          <w:rFonts w:hint="default" w:ascii="Times New Roman" w:hAnsi="Times New Roman" w:eastAsia="仿宋_GB2312" w:cs="Times New Roman"/>
          <w:b w:val="0"/>
          <w:bCs w:val="0"/>
          <w:color w:val="auto"/>
          <w:sz w:val="32"/>
          <w:szCs w:val="32"/>
          <w:lang w:val="en-US" w:eastAsia="zh-CN"/>
        </w:rPr>
        <w:t>总结提炼出桃江县“四化”人民调解工作法</w:t>
      </w:r>
      <w:r>
        <w:rPr>
          <w:rFonts w:hint="default" w:ascii="Times New Roman" w:hAnsi="Times New Roman" w:eastAsia="仿宋_GB2312" w:cs="Times New Roman"/>
          <w:b w:val="0"/>
          <w:bCs w:val="0"/>
          <w:strike w:val="0"/>
          <w:dstrike w:val="0"/>
          <w:color w:val="000000"/>
          <w:spacing w:val="-11"/>
          <w:kern w:val="2"/>
          <w:sz w:val="32"/>
          <w:szCs w:val="32"/>
          <w:highlight w:val="none"/>
          <w:u w:val="none" w:color="auto"/>
          <w:lang w:val="en-US" w:eastAsia="zh-CN" w:bidi="ar-SA"/>
        </w:rPr>
        <w:t>获央视宣推</w:t>
      </w:r>
      <w:r>
        <w:rPr>
          <w:rFonts w:hint="eastAsia" w:eastAsia="仿宋_GB2312" w:cs="Times New Roman"/>
          <w:b w:val="0"/>
          <w:bCs w:val="0"/>
          <w:color w:val="auto"/>
          <w:sz w:val="32"/>
          <w:szCs w:val="32"/>
          <w:lang w:val="en-US" w:eastAsia="zh-CN"/>
        </w:rPr>
        <w:t>。</w:t>
      </w:r>
    </w:p>
    <w:p w14:paraId="33BB2845">
      <w:pPr>
        <w:pStyle w:val="7"/>
        <w:keepNext w:val="0"/>
        <w:keepLines w:val="0"/>
        <w:pageBreakBefore w:val="0"/>
        <w:widowControl/>
        <w:kinsoku/>
        <w:wordWrap/>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000000"/>
          <w:sz w:val="32"/>
          <w:szCs w:val="32"/>
          <w:u w:val="none"/>
          <w:lang w:val="en-US" w:eastAsia="zh-CN"/>
        </w:rPr>
      </w:pPr>
      <w:r>
        <w:rPr>
          <w:rFonts w:hint="default" w:ascii="Times New Roman" w:hAnsi="Times New Roman" w:eastAsia="仿宋_GB2312" w:cs="Times New Roman"/>
          <w:color w:val="000000"/>
          <w:sz w:val="32"/>
          <w:szCs w:val="32"/>
          <w:u w:val="none"/>
        </w:rPr>
        <w:t>经过综合评估，</w:t>
      </w:r>
      <w:r>
        <w:rPr>
          <w:rFonts w:hint="eastAsia" w:ascii="Times New Roman" w:hAnsi="Times New Roman" w:eastAsia="仿宋_GB2312" w:cs="Times New Roman"/>
          <w:color w:val="000000"/>
          <w:sz w:val="32"/>
          <w:szCs w:val="32"/>
          <w:u w:val="none"/>
          <w:lang w:val="en-US" w:eastAsia="zh-CN"/>
        </w:rPr>
        <w:t>2024年</w:t>
      </w:r>
      <w:r>
        <w:rPr>
          <w:rFonts w:hint="eastAsia" w:ascii="Times New Roman" w:hAnsi="Times New Roman" w:eastAsia="仿宋_GB2312" w:cs="Times New Roman"/>
          <w:color w:val="000000"/>
          <w:sz w:val="32"/>
          <w:szCs w:val="32"/>
          <w:u w:val="none"/>
        </w:rPr>
        <w:t>部门支出</w:t>
      </w:r>
      <w:r>
        <w:rPr>
          <w:rFonts w:hint="default" w:ascii="Times New Roman" w:hAnsi="Times New Roman" w:eastAsia="仿宋_GB2312" w:cs="Times New Roman"/>
          <w:color w:val="000000"/>
          <w:sz w:val="32"/>
          <w:szCs w:val="32"/>
          <w:u w:val="none"/>
          <w:lang w:val="en-US" w:eastAsia="zh-CN"/>
        </w:rPr>
        <w:t>在</w:t>
      </w:r>
      <w:r>
        <w:rPr>
          <w:rFonts w:hint="default" w:ascii="Times New Roman" w:hAnsi="Times New Roman" w:eastAsia="仿宋_GB2312" w:cs="Times New Roman"/>
          <w:color w:val="000000"/>
          <w:sz w:val="32"/>
          <w:szCs w:val="32"/>
          <w:u w:val="none"/>
        </w:rPr>
        <w:t>经济性、效率性、有效性和可持续性等方面都达到</w:t>
      </w:r>
      <w:r>
        <w:rPr>
          <w:rFonts w:hint="eastAsia" w:ascii="Times New Roman" w:hAnsi="Times New Roman" w:eastAsia="仿宋_GB2312" w:cs="Times New Roman"/>
          <w:color w:val="000000"/>
          <w:sz w:val="32"/>
          <w:szCs w:val="32"/>
          <w:u w:val="none"/>
          <w:lang w:eastAsia="zh-CN"/>
        </w:rPr>
        <w:t>了</w:t>
      </w:r>
      <w:r>
        <w:rPr>
          <w:rFonts w:hint="default" w:ascii="Times New Roman" w:hAnsi="Times New Roman" w:eastAsia="仿宋_GB2312" w:cs="Times New Roman"/>
          <w:color w:val="000000"/>
          <w:sz w:val="32"/>
          <w:szCs w:val="32"/>
          <w:u w:val="none"/>
        </w:rPr>
        <w:t>财政绩效管理的</w:t>
      </w:r>
      <w:r>
        <w:rPr>
          <w:rFonts w:hint="default" w:ascii="Times New Roman" w:hAnsi="Times New Roman" w:eastAsia="仿宋_GB2312" w:cs="Times New Roman"/>
          <w:color w:val="000000"/>
          <w:sz w:val="32"/>
          <w:szCs w:val="32"/>
          <w:u w:val="none"/>
          <w:lang w:eastAsia="zh-CN"/>
        </w:rPr>
        <w:t>预期目标</w:t>
      </w:r>
      <w:r>
        <w:rPr>
          <w:rFonts w:hint="eastAsia" w:ascii="Times New Roman" w:hAnsi="Times New Roman" w:eastAsia="仿宋_GB2312" w:cs="Times New Roman"/>
          <w:color w:val="000000"/>
          <w:sz w:val="32"/>
          <w:szCs w:val="32"/>
          <w:u w:val="none"/>
          <w:lang w:eastAsia="zh-CN"/>
        </w:rPr>
        <w:t>。</w:t>
      </w:r>
    </w:p>
    <w:p w14:paraId="0EEBEC87">
      <w:pPr>
        <w:keepNext w:val="0"/>
        <w:keepLines w:val="0"/>
        <w:pageBreakBefore w:val="0"/>
        <w:numPr>
          <w:ilvl w:val="0"/>
          <w:numId w:val="4"/>
        </w:numPr>
        <w:kinsoku/>
        <w:wordWrap/>
        <w:autoSpaceDE/>
        <w:autoSpaceDN/>
        <w:bidi w:val="0"/>
        <w:adjustRightInd/>
        <w:snapToGrid/>
        <w:spacing w:line="600" w:lineRule="exact"/>
        <w:ind w:firstLine="640" w:firstLineChars="200"/>
        <w:textAlignment w:val="auto"/>
        <w:rPr>
          <w:rFonts w:eastAsia="黑体"/>
          <w:sz w:val="32"/>
          <w:szCs w:val="32"/>
        </w:rPr>
      </w:pPr>
      <w:r>
        <w:rPr>
          <w:rFonts w:eastAsia="黑体"/>
          <w:sz w:val="32"/>
          <w:szCs w:val="32"/>
        </w:rPr>
        <w:t>绩效评价工作开展情况</w:t>
      </w:r>
    </w:p>
    <w:p w14:paraId="2BD8B730">
      <w:pPr>
        <w:keepNext w:val="0"/>
        <w:keepLines w:val="0"/>
        <w:pageBreakBefore w:val="0"/>
        <w:numPr>
          <w:ilvl w:val="0"/>
          <w:numId w:val="5"/>
        </w:numPr>
        <w:kinsoku/>
        <w:wordWrap/>
        <w:autoSpaceDE/>
        <w:autoSpaceDN/>
        <w:bidi w:val="0"/>
        <w:adjustRightInd/>
        <w:snapToGrid/>
        <w:spacing w:line="600" w:lineRule="exact"/>
        <w:ind w:firstLine="640" w:firstLineChars="200"/>
        <w:textAlignment w:val="auto"/>
        <w:rPr>
          <w:rFonts w:eastAsia="仿宋_GB2312"/>
          <w:sz w:val="32"/>
          <w:szCs w:val="32"/>
        </w:rPr>
      </w:pPr>
      <w:r>
        <w:rPr>
          <w:rFonts w:eastAsia="楷体_GB2312"/>
          <w:sz w:val="32"/>
          <w:szCs w:val="32"/>
        </w:rPr>
        <w:t>绩效评价目的</w:t>
      </w:r>
    </w:p>
    <w:p w14:paraId="2F172CD1">
      <w:pPr>
        <w:keepNext w:val="0"/>
        <w:keepLines w:val="0"/>
        <w:pageBreakBefore w:val="0"/>
        <w:kinsoku/>
        <w:wordWrap/>
        <w:topLinePunct/>
        <w:autoSpaceDE/>
        <w:autoSpaceDN/>
        <w:bidi w:val="0"/>
        <w:adjustRightInd/>
        <w:snapToGrid/>
        <w:spacing w:line="600" w:lineRule="exact"/>
        <w:ind w:firstLine="640" w:firstLineChars="200"/>
        <w:textAlignment w:val="auto"/>
        <w:rPr>
          <w:rFonts w:eastAsia="仿宋_GB2312"/>
          <w:sz w:val="32"/>
          <w:szCs w:val="32"/>
        </w:rPr>
      </w:pPr>
      <w:r>
        <w:rPr>
          <w:rFonts w:eastAsia="仿宋_GB2312"/>
          <w:sz w:val="32"/>
          <w:szCs w:val="32"/>
        </w:rPr>
        <w:t>本次绩效评价的目的是为全面分析和综合评价我局财政预算资金的使用管理情况，增强财政支出绩效理念，提高预算绩效管理水平，科学合理编制年度预算，加强项目和资金管理，切实发挥财政资金资源配置作用，切实提高预算资金使用效率。</w:t>
      </w:r>
    </w:p>
    <w:p w14:paraId="1B446D7C">
      <w:pPr>
        <w:keepNext w:val="0"/>
        <w:keepLines w:val="0"/>
        <w:pageBreakBefore w:val="0"/>
        <w:numPr>
          <w:ilvl w:val="0"/>
          <w:numId w:val="5"/>
        </w:numPr>
        <w:kinsoku/>
        <w:wordWrap/>
        <w:autoSpaceDE/>
        <w:autoSpaceDN/>
        <w:bidi w:val="0"/>
        <w:adjustRightInd/>
        <w:snapToGrid/>
        <w:spacing w:line="600" w:lineRule="exact"/>
        <w:ind w:firstLine="640" w:firstLineChars="200"/>
        <w:textAlignment w:val="auto"/>
        <w:rPr>
          <w:rFonts w:eastAsia="楷体_GB2312"/>
          <w:sz w:val="32"/>
          <w:szCs w:val="32"/>
        </w:rPr>
      </w:pPr>
      <w:r>
        <w:rPr>
          <w:rFonts w:eastAsia="楷体_GB2312"/>
          <w:sz w:val="32"/>
          <w:szCs w:val="32"/>
        </w:rPr>
        <w:t>绩效评价工作过程</w:t>
      </w:r>
    </w:p>
    <w:p w14:paraId="33AAC24C">
      <w:pPr>
        <w:keepNext w:val="0"/>
        <w:keepLines w:val="0"/>
        <w:pageBreakBefore w:val="0"/>
        <w:numPr>
          <w:ilvl w:val="0"/>
          <w:numId w:val="6"/>
        </w:numPr>
        <w:kinsoku/>
        <w:wordWrap/>
        <w:autoSpaceDE/>
        <w:autoSpaceDN/>
        <w:bidi w:val="0"/>
        <w:adjustRightInd/>
        <w:snapToGrid/>
        <w:spacing w:line="600" w:lineRule="exact"/>
        <w:ind w:firstLine="640" w:firstLineChars="200"/>
        <w:textAlignment w:val="auto"/>
        <w:rPr>
          <w:rFonts w:eastAsia="仿宋_GB2312"/>
          <w:sz w:val="32"/>
          <w:szCs w:val="32"/>
        </w:rPr>
      </w:pPr>
      <w:r>
        <w:rPr>
          <w:rFonts w:eastAsia="仿宋_GB2312"/>
          <w:sz w:val="32"/>
          <w:szCs w:val="32"/>
        </w:rPr>
        <w:t>前期准备：我局</w:t>
      </w:r>
      <w:r>
        <w:rPr>
          <w:rFonts w:hint="eastAsia" w:eastAsia="仿宋_GB2312"/>
          <w:sz w:val="32"/>
          <w:szCs w:val="32"/>
        </w:rPr>
        <w:t>及时</w:t>
      </w:r>
      <w:r>
        <w:rPr>
          <w:rFonts w:eastAsia="仿宋_GB2312"/>
          <w:sz w:val="32"/>
          <w:szCs w:val="32"/>
        </w:rPr>
        <w:t>成立绩效评价工作</w:t>
      </w:r>
      <w:r>
        <w:rPr>
          <w:rFonts w:hint="eastAsia" w:eastAsia="仿宋_GB2312"/>
          <w:sz w:val="32"/>
          <w:szCs w:val="32"/>
        </w:rPr>
        <w:t>领导</w:t>
      </w:r>
      <w:r>
        <w:rPr>
          <w:rFonts w:eastAsia="仿宋_GB2312"/>
          <w:sz w:val="32"/>
          <w:szCs w:val="32"/>
        </w:rPr>
        <w:t>小组，</w:t>
      </w:r>
      <w:r>
        <w:rPr>
          <w:rFonts w:hint="eastAsia" w:eastAsia="仿宋_GB2312"/>
          <w:sz w:val="32"/>
          <w:szCs w:val="32"/>
        </w:rPr>
        <w:t>明确责任领导，指定专人负责</w:t>
      </w:r>
      <w:r>
        <w:rPr>
          <w:rFonts w:eastAsia="仿宋_GB2312"/>
          <w:sz w:val="32"/>
          <w:szCs w:val="32"/>
        </w:rPr>
        <w:t>绩效评价工作。</w:t>
      </w:r>
    </w:p>
    <w:p w14:paraId="2E12CBCB">
      <w:pPr>
        <w:keepNext w:val="0"/>
        <w:keepLines w:val="0"/>
        <w:pageBreakBefore w:val="0"/>
        <w:numPr>
          <w:ilvl w:val="0"/>
          <w:numId w:val="6"/>
        </w:numPr>
        <w:kinsoku/>
        <w:wordWrap/>
        <w:autoSpaceDE/>
        <w:autoSpaceDN/>
        <w:bidi w:val="0"/>
        <w:adjustRightInd/>
        <w:snapToGrid/>
        <w:spacing w:line="600" w:lineRule="exact"/>
        <w:ind w:firstLine="640" w:firstLineChars="200"/>
        <w:textAlignment w:val="auto"/>
        <w:rPr>
          <w:rFonts w:eastAsia="仿宋_GB2312"/>
          <w:sz w:val="32"/>
          <w:szCs w:val="32"/>
        </w:rPr>
      </w:pPr>
      <w:r>
        <w:rPr>
          <w:rFonts w:eastAsia="仿宋_GB2312"/>
          <w:sz w:val="32"/>
          <w:szCs w:val="32"/>
        </w:rPr>
        <w:t>开展自评：按照要求开展自评，</w:t>
      </w:r>
      <w:r>
        <w:rPr>
          <w:rFonts w:hint="eastAsia" w:eastAsia="仿宋_GB2312"/>
          <w:sz w:val="32"/>
          <w:szCs w:val="32"/>
        </w:rPr>
        <w:t>检查</w:t>
      </w:r>
      <w:r>
        <w:rPr>
          <w:rFonts w:hint="eastAsia" w:eastAsia="仿宋_GB2312"/>
          <w:sz w:val="32"/>
          <w:szCs w:val="32"/>
          <w:lang w:eastAsia="zh-CN"/>
        </w:rPr>
        <w:t>2024年</w:t>
      </w:r>
      <w:r>
        <w:rPr>
          <w:rFonts w:hint="eastAsia" w:eastAsia="仿宋_GB2312"/>
          <w:sz w:val="32"/>
          <w:szCs w:val="32"/>
        </w:rPr>
        <w:t>基本支出、项目支出有关账目，收集整理相关资料</w:t>
      </w:r>
      <w:r>
        <w:rPr>
          <w:rFonts w:eastAsia="仿宋_GB2312"/>
          <w:sz w:val="32"/>
          <w:szCs w:val="32"/>
        </w:rPr>
        <w:t>。</w:t>
      </w:r>
    </w:p>
    <w:p w14:paraId="264C0225">
      <w:pPr>
        <w:keepNext w:val="0"/>
        <w:keepLines w:val="0"/>
        <w:pageBreakBefore w:val="0"/>
        <w:numPr>
          <w:ilvl w:val="0"/>
          <w:numId w:val="6"/>
        </w:numPr>
        <w:kinsoku/>
        <w:wordWrap/>
        <w:autoSpaceDE/>
        <w:autoSpaceDN/>
        <w:bidi w:val="0"/>
        <w:adjustRightInd/>
        <w:snapToGrid/>
        <w:spacing w:line="600" w:lineRule="exact"/>
        <w:ind w:firstLine="640" w:firstLineChars="200"/>
        <w:textAlignment w:val="auto"/>
        <w:rPr>
          <w:rFonts w:eastAsia="仿宋_GB2312"/>
          <w:sz w:val="32"/>
          <w:szCs w:val="32"/>
        </w:rPr>
      </w:pPr>
      <w:r>
        <w:rPr>
          <w:rFonts w:eastAsia="仿宋_GB2312"/>
          <w:sz w:val="32"/>
          <w:szCs w:val="32"/>
        </w:rPr>
        <w:t>出具报告：对收集资料进行定量定性分析，形成评价结论，出具绩效评价报告。</w:t>
      </w:r>
    </w:p>
    <w:p w14:paraId="6188E869">
      <w:pPr>
        <w:keepNext w:val="0"/>
        <w:keepLines w:val="0"/>
        <w:pageBreakBefore w:val="0"/>
        <w:kinsoku/>
        <w:wordWrap/>
        <w:autoSpaceDE/>
        <w:autoSpaceDN/>
        <w:bidi w:val="0"/>
        <w:adjustRightInd/>
        <w:snapToGrid/>
        <w:spacing w:line="600" w:lineRule="exact"/>
        <w:ind w:firstLine="640" w:firstLineChars="200"/>
        <w:textAlignment w:val="auto"/>
        <w:rPr>
          <w:rFonts w:hint="eastAsia" w:eastAsia="黑体"/>
          <w:sz w:val="32"/>
          <w:szCs w:val="32"/>
          <w:lang w:eastAsia="zh-CN"/>
        </w:rPr>
      </w:pPr>
      <w:r>
        <w:rPr>
          <w:rFonts w:eastAsia="黑体"/>
          <w:sz w:val="32"/>
          <w:szCs w:val="32"/>
        </w:rPr>
        <w:t>六、存在的</w:t>
      </w:r>
      <w:r>
        <w:rPr>
          <w:rFonts w:hint="eastAsia" w:eastAsia="黑体"/>
          <w:sz w:val="32"/>
          <w:szCs w:val="32"/>
          <w:lang w:eastAsia="zh-CN"/>
        </w:rPr>
        <w:t>问题及改进措施</w:t>
      </w:r>
    </w:p>
    <w:p w14:paraId="69BB29AE">
      <w:pPr>
        <w:pStyle w:val="21"/>
        <w:ind w:firstLine="640" w:firstLineChars="200"/>
        <w:rPr>
          <w:rFonts w:hint="default"/>
        </w:rPr>
      </w:pPr>
      <w:r>
        <w:rPr>
          <w:rFonts w:hint="eastAsia" w:eastAsia="仿宋_GB2312"/>
          <w:sz w:val="32"/>
          <w:szCs w:val="32"/>
        </w:rPr>
        <w:t>通过上述对我局整体支出绩效情况的分析，我们认识到虽然达到了预期的绩效目标，但仍然存在一些</w:t>
      </w:r>
      <w:r>
        <w:rPr>
          <w:rFonts w:hint="eastAsia" w:eastAsia="仿宋_GB2312"/>
          <w:sz w:val="32"/>
          <w:szCs w:val="32"/>
          <w:lang w:eastAsia="zh-CN"/>
        </w:rPr>
        <w:t>困难</w:t>
      </w:r>
      <w:r>
        <w:rPr>
          <w:rFonts w:hint="eastAsia" w:eastAsia="仿宋_GB2312"/>
          <w:sz w:val="32"/>
          <w:szCs w:val="32"/>
        </w:rPr>
        <w:t>和问题：</w:t>
      </w:r>
      <w:r>
        <w:rPr>
          <w:rFonts w:hint="default" w:ascii="Times New Roman" w:hAnsi="Times New Roman" w:eastAsia="仿宋_GB2312" w:cs="Times New Roman"/>
          <w:color w:val="auto"/>
          <w:sz w:val="32"/>
          <w:szCs w:val="32"/>
        </w:rPr>
        <w:t>党建工作</w:t>
      </w:r>
      <w:r>
        <w:rPr>
          <w:rFonts w:hint="eastAsia" w:ascii="Times New Roman" w:hAnsi="Times New Roman" w:eastAsia="仿宋_GB2312" w:cs="Times New Roman"/>
          <w:color w:val="auto"/>
          <w:sz w:val="32"/>
          <w:szCs w:val="32"/>
          <w:lang w:val="en-US" w:eastAsia="zh-CN"/>
        </w:rPr>
        <w:t>管理</w:t>
      </w:r>
      <w:r>
        <w:rPr>
          <w:rFonts w:hint="eastAsia" w:ascii="Times New Roman" w:hAnsi="Times New Roman" w:eastAsia="仿宋_GB2312" w:cs="Times New Roman"/>
          <w:color w:val="auto"/>
          <w:sz w:val="32"/>
          <w:szCs w:val="32"/>
          <w:lang w:eastAsia="zh-CN"/>
        </w:rPr>
        <w:t>还需</w:t>
      </w:r>
      <w:r>
        <w:rPr>
          <w:rFonts w:hint="default" w:ascii="Times New Roman" w:hAnsi="Times New Roman" w:eastAsia="仿宋_GB2312" w:cs="Times New Roman"/>
          <w:color w:val="auto"/>
          <w:sz w:val="32"/>
          <w:szCs w:val="32"/>
        </w:rPr>
        <w:t>强化</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法治桃江建设亮点特色不多</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行政执法监督力度有待加强</w:t>
      </w:r>
      <w:r>
        <w:rPr>
          <w:rFonts w:hint="default"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eastAsia="zh-CN"/>
        </w:rPr>
        <w:t>社区矫正</w:t>
      </w:r>
      <w:r>
        <w:rPr>
          <w:rFonts w:hint="eastAsia" w:ascii="Times New Roman" w:hAnsi="Times New Roman" w:eastAsia="仿宋_GB2312" w:cs="Times New Roman"/>
          <w:color w:val="auto"/>
          <w:sz w:val="32"/>
          <w:szCs w:val="32"/>
          <w:lang w:val="en-US" w:eastAsia="zh-CN"/>
        </w:rPr>
        <w:t>监管还不够严</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司法所规范化建设</w:t>
      </w:r>
      <w:r>
        <w:rPr>
          <w:rFonts w:hint="eastAsia" w:ascii="Times New Roman" w:hAnsi="Times New Roman" w:eastAsia="仿宋_GB2312" w:cs="Times New Roman"/>
          <w:color w:val="auto"/>
          <w:sz w:val="32"/>
          <w:szCs w:val="32"/>
          <w:lang w:eastAsia="zh-CN"/>
        </w:rPr>
        <w:t>尚有差距</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少数干部担当意识不强、实干本领不足</w:t>
      </w:r>
      <w:r>
        <w:rPr>
          <w:rFonts w:hint="default" w:ascii="Times New Roman" w:hAnsi="Times New Roman" w:eastAsia="仿宋_GB2312" w:cs="Times New Roman"/>
          <w:color w:val="auto"/>
          <w:sz w:val="32"/>
          <w:szCs w:val="32"/>
          <w:lang w:eastAsia="zh-CN"/>
        </w:rPr>
        <w:t>等</w:t>
      </w:r>
      <w:r>
        <w:rPr>
          <w:rFonts w:hint="eastAsia" w:ascii="Times New Roman" w:hAnsi="Times New Roman" w:eastAsia="仿宋_GB2312" w:cs="Times New Roman"/>
          <w:color w:val="auto"/>
          <w:sz w:val="32"/>
          <w:szCs w:val="32"/>
          <w:lang w:eastAsia="zh-CN"/>
        </w:rPr>
        <w:t>。</w:t>
      </w:r>
    </w:p>
    <w:p w14:paraId="0D0A2E20">
      <w:pPr>
        <w:pStyle w:val="2"/>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b w:val="0"/>
          <w:bCs w:val="0"/>
          <w:color w:val="auto"/>
          <w:sz w:val="32"/>
          <w:szCs w:val="32"/>
          <w:lang w:eastAsia="zh-CN"/>
        </w:rPr>
      </w:pPr>
      <w:r>
        <w:rPr>
          <w:rFonts w:hint="default" w:ascii="Times New Roman" w:hAnsi="Times New Roman" w:eastAsia="仿宋_GB2312" w:cs="Times New Roman"/>
          <w:sz w:val="32"/>
          <w:szCs w:val="32"/>
          <w:lang w:val="en-US" w:eastAsia="zh-CN"/>
        </w:rPr>
        <w:t>改进措施：</w:t>
      </w:r>
      <w:r>
        <w:rPr>
          <w:rFonts w:hint="default" w:ascii="Times New Roman" w:hAnsi="Times New Roman" w:eastAsia="仿宋" w:cs="Times New Roman"/>
          <w:b/>
          <w:bCs w:val="0"/>
          <w:sz w:val="32"/>
          <w:szCs w:val="32"/>
          <w:lang w:val="en-US" w:eastAsia="zh-CN"/>
        </w:rPr>
        <w:t>一是</w:t>
      </w:r>
      <w:r>
        <w:rPr>
          <w:rFonts w:hint="eastAsia" w:ascii="Times New Roman" w:hAnsi="Times New Roman" w:eastAsia="仿宋" w:cs="Times New Roman"/>
          <w:sz w:val="32"/>
          <w:szCs w:val="32"/>
          <w:lang w:val="en-US" w:eastAsia="zh-CN"/>
        </w:rPr>
        <w:t>切实强化</w:t>
      </w:r>
      <w:r>
        <w:rPr>
          <w:rFonts w:hint="default" w:ascii="Times New Roman" w:hAnsi="Times New Roman" w:eastAsia="仿宋" w:cs="Times New Roman"/>
          <w:sz w:val="32"/>
          <w:szCs w:val="32"/>
          <w:lang w:eastAsia="zh-CN"/>
        </w:rPr>
        <w:t>县委全面依法治县办</w:t>
      </w:r>
      <w:r>
        <w:rPr>
          <w:rFonts w:hint="eastAsia" w:ascii="Times New Roman" w:hAnsi="Times New Roman" w:eastAsia="仿宋" w:cs="Times New Roman"/>
          <w:sz w:val="32"/>
          <w:szCs w:val="32"/>
          <w:lang w:val="en-US" w:eastAsia="zh-CN"/>
        </w:rPr>
        <w:t>统筹协调作用，</w:t>
      </w:r>
      <w:r>
        <w:rPr>
          <w:rFonts w:hint="default" w:ascii="Times New Roman" w:hAnsi="Times New Roman" w:eastAsia="仿宋" w:cs="Times New Roman"/>
          <w:sz w:val="32"/>
          <w:szCs w:val="32"/>
        </w:rPr>
        <w:t>完善全面依法治县工作实施体系，</w:t>
      </w:r>
      <w:r>
        <w:rPr>
          <w:rFonts w:hint="default" w:ascii="Times New Roman" w:hAnsi="Times New Roman" w:eastAsia="仿宋" w:cs="Times New Roman"/>
          <w:sz w:val="32"/>
          <w:szCs w:val="32"/>
          <w:lang w:val="en-US" w:eastAsia="zh-CN"/>
        </w:rPr>
        <w:t>全面</w:t>
      </w:r>
      <w:r>
        <w:rPr>
          <w:rFonts w:hint="eastAsia" w:ascii="Times New Roman" w:hAnsi="Times New Roman" w:eastAsia="仿宋" w:cs="Times New Roman"/>
          <w:sz w:val="32"/>
          <w:szCs w:val="32"/>
          <w:lang w:val="en-US" w:eastAsia="zh-CN"/>
        </w:rPr>
        <w:t>推进法治政府建设，</w:t>
      </w:r>
      <w:r>
        <w:rPr>
          <w:rFonts w:hint="default" w:ascii="Times New Roman" w:hAnsi="Times New Roman" w:eastAsia="仿宋" w:cs="Times New Roman"/>
          <w:sz w:val="32"/>
          <w:szCs w:val="32"/>
        </w:rPr>
        <w:t>深入推进“八五”普法实施</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着力提升法治桃江建设水平</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b/>
          <w:bCs w:val="0"/>
          <w:sz w:val="32"/>
          <w:szCs w:val="32"/>
          <w:lang w:eastAsia="zh-CN"/>
        </w:rPr>
        <w:t>二是</w:t>
      </w:r>
      <w:r>
        <w:rPr>
          <w:rFonts w:hint="default" w:ascii="Times New Roman" w:hAnsi="Times New Roman" w:eastAsia="仿宋" w:cs="Times New Roman"/>
          <w:sz w:val="32"/>
          <w:szCs w:val="32"/>
          <w:lang w:val="en-US" w:eastAsia="zh-CN"/>
        </w:rPr>
        <w:t>推动司法所规范化建设</w:t>
      </w:r>
      <w:r>
        <w:rPr>
          <w:rFonts w:hint="eastAsia" w:ascii="Times New Roman" w:hAnsi="Times New Roman" w:eastAsia="仿宋" w:cs="Times New Roman"/>
          <w:sz w:val="32"/>
          <w:szCs w:val="32"/>
          <w:lang w:val="en-US" w:eastAsia="zh-CN"/>
        </w:rPr>
        <w:t>，</w:t>
      </w:r>
      <w:r>
        <w:rPr>
          <w:rFonts w:hint="default" w:ascii="Times New Roman" w:hAnsi="Times New Roman" w:eastAsia="仿宋" w:cs="Times New Roman"/>
          <w:sz w:val="32"/>
          <w:szCs w:val="32"/>
          <w:lang w:val="en-US" w:eastAsia="zh-CN"/>
        </w:rPr>
        <w:t>有效做好矛盾纠纷排查化解</w:t>
      </w:r>
      <w:r>
        <w:rPr>
          <w:rFonts w:hint="eastAsia" w:ascii="Times New Roman" w:hAnsi="Times New Roman" w:eastAsia="仿宋" w:cs="Times New Roman"/>
          <w:sz w:val="32"/>
          <w:szCs w:val="32"/>
          <w:lang w:val="en-US" w:eastAsia="zh-CN"/>
        </w:rPr>
        <w:t>，</w:t>
      </w:r>
      <w:r>
        <w:rPr>
          <w:rFonts w:hint="default" w:ascii="Times New Roman" w:hAnsi="Times New Roman" w:eastAsia="仿宋" w:cs="Times New Roman"/>
          <w:sz w:val="32"/>
          <w:szCs w:val="32"/>
          <w:lang w:val="en-US" w:eastAsia="zh-CN"/>
        </w:rPr>
        <w:t>加强重点人群教育管理</w:t>
      </w:r>
      <w:r>
        <w:rPr>
          <w:rFonts w:hint="eastAsia" w:ascii="Times New Roman" w:hAnsi="Times New Roman" w:eastAsia="仿宋" w:cs="Times New Roman"/>
          <w:sz w:val="32"/>
          <w:szCs w:val="32"/>
          <w:lang w:val="en-US" w:eastAsia="zh-CN"/>
        </w:rPr>
        <w:t>，</w:t>
      </w:r>
      <w:r>
        <w:rPr>
          <w:rFonts w:hint="default" w:ascii="Times New Roman" w:hAnsi="Times New Roman" w:eastAsia="仿宋" w:cs="Times New Roman"/>
          <w:sz w:val="32"/>
          <w:szCs w:val="32"/>
          <w:lang w:val="en-US" w:eastAsia="zh-CN"/>
        </w:rPr>
        <w:t>推动基层治理法治化进程</w:t>
      </w:r>
      <w:r>
        <w:rPr>
          <w:rFonts w:hint="default" w:ascii="Times New Roman" w:hAnsi="Times New Roman" w:eastAsia="仿宋" w:cs="Times New Roman"/>
          <w:sz w:val="32"/>
          <w:szCs w:val="32"/>
          <w:lang w:eastAsia="zh-CN"/>
        </w:rPr>
        <w:t>；</w:t>
      </w:r>
      <w:r>
        <w:rPr>
          <w:rFonts w:hint="default" w:ascii="Times New Roman" w:hAnsi="Times New Roman" w:eastAsia="仿宋_GB2312" w:cs="Times New Roman"/>
          <w:b/>
          <w:bCs w:val="0"/>
          <w:sz w:val="32"/>
          <w:szCs w:val="32"/>
          <w:lang w:eastAsia="zh-CN"/>
        </w:rPr>
        <w:t>三是</w:t>
      </w:r>
      <w:r>
        <w:rPr>
          <w:rFonts w:hint="eastAsia" w:ascii="Times New Roman" w:hAnsi="Times New Roman" w:eastAsia="仿宋_GB2312" w:cs="Times New Roman"/>
          <w:sz w:val="32"/>
          <w:szCs w:val="32"/>
          <w:lang w:eastAsia="zh-CN"/>
        </w:rPr>
        <w:t>优化</w:t>
      </w:r>
      <w:bookmarkStart w:id="1" w:name="_GoBack"/>
      <w:bookmarkEnd w:id="1"/>
      <w:r>
        <w:rPr>
          <w:rFonts w:hint="eastAsia" w:ascii="Times New Roman" w:hAnsi="Times New Roman" w:eastAsia="仿宋_GB2312" w:cs="Times New Roman"/>
          <w:sz w:val="32"/>
          <w:szCs w:val="32"/>
          <w:lang w:eastAsia="zh-CN"/>
        </w:rPr>
        <w:t>公共法律服务体系，</w:t>
      </w:r>
      <w:r>
        <w:rPr>
          <w:rFonts w:hint="default" w:ascii="Times New Roman" w:hAnsi="Times New Roman" w:eastAsia="仿宋_GB2312" w:cs="Times New Roman"/>
          <w:sz w:val="32"/>
          <w:szCs w:val="32"/>
          <w:lang w:val="en-US" w:eastAsia="zh-CN"/>
        </w:rPr>
        <w:t>提升公共法律服务质量</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强化法律服务行业监管</w:t>
      </w:r>
      <w:r>
        <w:rPr>
          <w:rFonts w:hint="eastAsia" w:ascii="Times New Roman" w:hAnsi="Times New Roman" w:cs="Times New Roman"/>
          <w:sz w:val="32"/>
          <w:szCs w:val="32"/>
          <w:lang w:val="en-US" w:eastAsia="zh-CN"/>
        </w:rPr>
        <w:t>，</w:t>
      </w:r>
      <w:r>
        <w:rPr>
          <w:rFonts w:hint="default" w:ascii="Times New Roman" w:hAnsi="Times New Roman" w:eastAsia="仿宋_GB2312" w:cs="Times New Roman"/>
          <w:color w:val="auto"/>
          <w:sz w:val="32"/>
          <w:szCs w:val="32"/>
        </w:rPr>
        <w:t>提高公证和司法鉴定的质量与社会公信力</w:t>
      </w:r>
      <w:r>
        <w:rPr>
          <w:rFonts w:hint="eastAsia" w:ascii="Times New Roman" w:hAnsi="Times New Roman" w:eastAsia="仿宋_GB2312" w:cs="Times New Roman"/>
          <w:sz w:val="32"/>
          <w:szCs w:val="32"/>
          <w:lang w:val="en-US" w:eastAsia="zh-CN"/>
        </w:rPr>
        <w:t>。</w:t>
      </w:r>
      <w:r>
        <w:rPr>
          <w:rFonts w:hint="eastAsia" w:ascii="Times New Roman" w:hAnsi="Times New Roman" w:cs="Times New Roman"/>
          <w:b/>
          <w:bCs w:val="0"/>
          <w:sz w:val="32"/>
          <w:szCs w:val="32"/>
          <w:lang w:val="en-US" w:eastAsia="zh-CN"/>
        </w:rPr>
        <w:t>四是</w:t>
      </w:r>
      <w:r>
        <w:rPr>
          <w:rFonts w:hint="default" w:ascii="Times New Roman" w:hAnsi="Times New Roman" w:eastAsia="仿宋_GB2312" w:cs="Times New Roman"/>
          <w:b w:val="0"/>
          <w:bCs w:val="0"/>
          <w:color w:val="auto"/>
          <w:sz w:val="32"/>
          <w:szCs w:val="32"/>
          <w:lang w:val="en-US" w:eastAsia="zh-CN"/>
        </w:rPr>
        <w:t>强化司法行政队伍建设</w:t>
      </w:r>
      <w:r>
        <w:rPr>
          <w:rFonts w:hint="eastAsia"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eastAsia="zh-CN"/>
        </w:rPr>
        <w:t>充分激发干部干事创业的内生动力，努力锻造一支忠诚干净担当的司法行政铁军。</w:t>
      </w:r>
    </w:p>
    <w:p w14:paraId="5226B872">
      <w:pPr>
        <w:keepNext w:val="0"/>
        <w:keepLines w:val="0"/>
        <w:pageBreakBefore w:val="0"/>
        <w:numPr>
          <w:ilvl w:val="0"/>
          <w:numId w:val="0"/>
        </w:numPr>
        <w:kinsoku/>
        <w:wordWrap/>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七、</w:t>
      </w:r>
      <w:r>
        <w:rPr>
          <w:rFonts w:hint="default" w:ascii="Times New Roman" w:hAnsi="Times New Roman" w:eastAsia="黑体" w:cs="Times New Roman"/>
          <w:sz w:val="32"/>
          <w:szCs w:val="32"/>
        </w:rPr>
        <w:t>其他需要说明的问题</w:t>
      </w:r>
    </w:p>
    <w:p w14:paraId="3B57759D">
      <w:pPr>
        <w:pStyle w:val="2"/>
        <w:keepNext w:val="0"/>
        <w:keepLines w:val="0"/>
        <w:pageBreakBefore w:val="0"/>
        <w:numPr>
          <w:ilvl w:val="0"/>
          <w:numId w:val="0"/>
        </w:numPr>
        <w:kinsoku/>
        <w:wordWrap/>
        <w:topLinePunct w:val="0"/>
        <w:autoSpaceDE/>
        <w:autoSpaceDN/>
        <w:bidi w:val="0"/>
        <w:adjustRightInd/>
        <w:snapToGrid/>
        <w:spacing w:line="600" w:lineRule="exact"/>
        <w:ind w:firstLine="640" w:firstLineChars="200"/>
        <w:jc w:val="both"/>
        <w:textAlignment w:val="auto"/>
        <w:outlineLvl w:val="0"/>
        <w:rPr>
          <w:rFonts w:hint="default" w:ascii="Times New Roman" w:hAnsi="Times New Roman" w:cs="Times New Roman"/>
          <w:lang w:eastAsia="zh-CN"/>
        </w:rPr>
      </w:pPr>
      <w:r>
        <w:rPr>
          <w:rFonts w:hint="default" w:ascii="Times New Roman" w:hAnsi="Times New Roman" w:cs="Times New Roman"/>
          <w:lang w:eastAsia="zh-CN"/>
        </w:rPr>
        <w:t>无</w:t>
      </w:r>
    </w:p>
    <w:p w14:paraId="4D46CA5A">
      <w:pPr>
        <w:keepNext w:val="0"/>
        <w:keepLines w:val="0"/>
        <w:pageBreakBefore w:val="0"/>
        <w:kinsoku/>
        <w:wordWrap/>
        <w:autoSpaceDE/>
        <w:autoSpaceDN/>
        <w:bidi w:val="0"/>
        <w:adjustRightInd/>
        <w:snapToGrid/>
        <w:spacing w:line="600" w:lineRule="exact"/>
        <w:ind w:firstLine="640" w:firstLineChars="200"/>
        <w:textAlignment w:val="auto"/>
        <w:rPr>
          <w:rFonts w:eastAsia="仿宋_GB2312"/>
          <w:sz w:val="32"/>
          <w:szCs w:val="32"/>
        </w:rPr>
      </w:pPr>
    </w:p>
    <w:p w14:paraId="0BE68575">
      <w:pPr>
        <w:pStyle w:val="2"/>
        <w:keepNext w:val="0"/>
        <w:keepLines w:val="0"/>
        <w:pageBreakBefore w:val="0"/>
        <w:kinsoku/>
        <w:wordWrap/>
        <w:autoSpaceDE/>
        <w:autoSpaceDN/>
        <w:bidi w:val="0"/>
        <w:adjustRightInd/>
        <w:snapToGrid/>
        <w:spacing w:line="600" w:lineRule="exact"/>
        <w:textAlignment w:val="auto"/>
        <w:rPr>
          <w:rFonts w:eastAsia="仿宋_GB2312"/>
          <w:sz w:val="32"/>
          <w:szCs w:val="32"/>
        </w:rPr>
      </w:pPr>
    </w:p>
    <w:p w14:paraId="697AE0F3">
      <w:pPr>
        <w:keepNext w:val="0"/>
        <w:keepLines w:val="0"/>
        <w:pageBreakBefore w:val="0"/>
        <w:kinsoku/>
        <w:wordWrap/>
        <w:autoSpaceDE/>
        <w:autoSpaceDN/>
        <w:bidi w:val="0"/>
        <w:adjustRightInd/>
        <w:snapToGrid/>
        <w:spacing w:line="600" w:lineRule="exact"/>
        <w:textAlignment w:val="auto"/>
        <w:rPr>
          <w:rFonts w:eastAsia="仿宋_GB2312"/>
          <w:sz w:val="32"/>
          <w:szCs w:val="32"/>
        </w:rPr>
      </w:pPr>
    </w:p>
    <w:p w14:paraId="6FEF55E1">
      <w:pPr>
        <w:pStyle w:val="2"/>
        <w:keepNext w:val="0"/>
        <w:keepLines w:val="0"/>
        <w:pageBreakBefore w:val="0"/>
        <w:kinsoku/>
        <w:wordWrap/>
        <w:topLinePunct w:val="0"/>
        <w:autoSpaceDE/>
        <w:autoSpaceDN/>
        <w:bidi w:val="0"/>
        <w:adjustRightInd/>
        <w:snapToGrid/>
        <w:spacing w:line="600" w:lineRule="exact"/>
        <w:ind w:firstLine="6400" w:firstLineChars="2000"/>
        <w:jc w:val="both"/>
        <w:textAlignment w:val="auto"/>
        <w:rPr>
          <w:rFonts w:hint="default" w:ascii="Times New Roman" w:hAnsi="Times New Roman" w:cs="Times New Roman"/>
          <w:lang w:eastAsia="zh-CN"/>
        </w:rPr>
      </w:pPr>
      <w:r>
        <w:rPr>
          <w:rFonts w:hint="default" w:ascii="Times New Roman" w:hAnsi="Times New Roman" w:cs="Times New Roman"/>
          <w:lang w:eastAsia="zh-CN"/>
        </w:rPr>
        <w:t>桃江县司法局</w:t>
      </w:r>
    </w:p>
    <w:p w14:paraId="172CECC2">
      <w:pPr>
        <w:pStyle w:val="2"/>
        <w:keepNext w:val="0"/>
        <w:keepLines w:val="0"/>
        <w:pageBreakBefore w:val="0"/>
        <w:kinsoku/>
        <w:wordWrap/>
        <w:topLinePunct w:val="0"/>
        <w:autoSpaceDE/>
        <w:autoSpaceDN/>
        <w:bidi w:val="0"/>
        <w:adjustRightInd/>
        <w:snapToGrid/>
        <w:spacing w:line="600" w:lineRule="exact"/>
        <w:ind w:firstLine="6080" w:firstLineChars="19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cs="Times New Roman"/>
          <w:lang w:val="en-US" w:eastAsia="zh-CN"/>
        </w:rPr>
        <w:t>202</w:t>
      </w:r>
      <w:r>
        <w:rPr>
          <w:rFonts w:hint="eastAsia" w:ascii="Times New Roman" w:hAnsi="Times New Roman" w:cs="Times New Roman"/>
          <w:lang w:val="en-US" w:eastAsia="zh-CN"/>
        </w:rPr>
        <w:t>5</w:t>
      </w:r>
      <w:r>
        <w:rPr>
          <w:rFonts w:hint="default" w:ascii="Times New Roman" w:hAnsi="Times New Roman" w:cs="Times New Roman"/>
          <w:lang w:val="en-US" w:eastAsia="zh-CN"/>
        </w:rPr>
        <w:t>年</w:t>
      </w:r>
      <w:r>
        <w:rPr>
          <w:rFonts w:hint="eastAsia" w:ascii="Times New Roman" w:hAnsi="Times New Roman" w:cs="Times New Roman"/>
          <w:lang w:val="en-US" w:eastAsia="zh-CN"/>
        </w:rPr>
        <w:t>3</w:t>
      </w:r>
      <w:r>
        <w:rPr>
          <w:rFonts w:hint="default" w:ascii="Times New Roman" w:hAnsi="Times New Roman" w:cs="Times New Roman"/>
          <w:lang w:val="en-US" w:eastAsia="zh-CN"/>
        </w:rPr>
        <w:t>月</w:t>
      </w:r>
      <w:r>
        <w:rPr>
          <w:rFonts w:hint="eastAsia" w:ascii="Times New Roman" w:hAnsi="Times New Roman" w:cs="Times New Roman"/>
          <w:lang w:val="en-US" w:eastAsia="zh-CN"/>
        </w:rPr>
        <w:t>5</w:t>
      </w:r>
      <w:r>
        <w:rPr>
          <w:rFonts w:hint="default" w:ascii="Times New Roman" w:hAnsi="Times New Roman" w:cs="Times New Roman"/>
          <w:lang w:val="en-US" w:eastAsia="zh-CN"/>
        </w:rPr>
        <w:t>日</w:t>
      </w:r>
    </w:p>
    <w:p w14:paraId="133A8305">
      <w:pPr>
        <w:pStyle w:val="2"/>
      </w:pPr>
    </w:p>
    <w:sectPr>
      <w:footerReference r:id="rId3" w:type="default"/>
      <w:pgSz w:w="11906" w:h="16838"/>
      <w:pgMar w:top="1814" w:right="1361" w:bottom="1587" w:left="1644" w:header="850" w:footer="1304"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微软雅黑"/>
    <w:panose1 w:val="02010601030101010101"/>
    <w:charset w:val="86"/>
    <w:family w:val="script"/>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简体">
    <w:altName w:val="黑体"/>
    <w:panose1 w:val="0201060103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Nimbus Roman">
    <w:altName w:val="Segoe Print"/>
    <w:panose1 w:val="00000500000000000000"/>
    <w:charset w:val="00"/>
    <w:family w:val="auto"/>
    <w:pitch w:val="default"/>
    <w:sig w:usb0="00000000" w:usb1="00000000" w:usb2="00000000" w:usb3="00000000" w:csb0="6000009F"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680CAB">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FCF6EB9">
                          <w:pPr>
                            <w:pStyle w:val="4"/>
                            <w:rPr>
                              <w:sz w:val="28"/>
                              <w:szCs w:val="28"/>
                            </w:rPr>
                          </w:pPr>
                          <w:r>
                            <w:rPr>
                              <w:rFonts w:hint="eastAsia"/>
                              <w:sz w:val="28"/>
                              <w:szCs w:val="28"/>
                            </w:rPr>
                            <w:t xml:space="preserve">— </w:t>
                          </w: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sz w:val="28"/>
                              <w:szCs w:val="28"/>
                            </w:rPr>
                            <w:t>7</w:t>
                          </w:r>
                          <w:r>
                            <w:rPr>
                              <w:rFonts w:hint="eastAsia"/>
                              <w:sz w:val="28"/>
                              <w:szCs w:val="28"/>
                            </w:rPr>
                            <w:fldChar w:fldCharType="end"/>
                          </w:r>
                          <w:r>
                            <w:rPr>
                              <w:rFonts w:hint="eastAsia"/>
                              <w:sz w:val="28"/>
                              <w:szCs w:val="28"/>
                            </w:rPr>
                            <w:t xml:space="preserve"> —</w:t>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ZoPcHzwEAAKoDAAAOAAAAAAAAAAEAIAAAAB4BAABkcnMv&#10;ZTJvRG9jLnhtbFBLBQYAAAAABgAGAFkBAABfBQAAAAA=&#10;">
              <v:fill on="f" focussize="0,0"/>
              <v:stroke on="f"/>
              <v:imagedata o:title=""/>
              <o:lock v:ext="edit" aspectratio="f"/>
              <v:textbox inset="0mm,0mm,0mm,0mm" style="mso-fit-shape-to-text:t;">
                <w:txbxContent>
                  <w:p w14:paraId="4FCF6EB9">
                    <w:pPr>
                      <w:pStyle w:val="4"/>
                      <w:rPr>
                        <w:sz w:val="28"/>
                        <w:szCs w:val="28"/>
                      </w:rPr>
                    </w:pPr>
                    <w:r>
                      <w:rPr>
                        <w:rFonts w:hint="eastAsia"/>
                        <w:sz w:val="28"/>
                        <w:szCs w:val="28"/>
                      </w:rPr>
                      <w:t xml:space="preserve">— </w:t>
                    </w: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sz w:val="28"/>
                        <w:szCs w:val="28"/>
                      </w:rPr>
                      <w:t>7</w:t>
                    </w:r>
                    <w:r>
                      <w:rPr>
                        <w:rFonts w:hint="eastAsia"/>
                        <w:sz w:val="28"/>
                        <w:szCs w:val="28"/>
                      </w:rPr>
                      <w:fldChar w:fldCharType="end"/>
                    </w:r>
                    <w:r>
                      <w:rPr>
                        <w:rFonts w:hint="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4FB7FF"/>
    <w:multiLevelType w:val="singleLevel"/>
    <w:tmpl w:val="B14FB7FF"/>
    <w:lvl w:ilvl="0" w:tentative="0">
      <w:start w:val="1"/>
      <w:numFmt w:val="decimal"/>
      <w:suff w:val="space"/>
      <w:lvlText w:val="%1."/>
      <w:lvlJc w:val="left"/>
    </w:lvl>
  </w:abstractNum>
  <w:abstractNum w:abstractNumId="1">
    <w:nsid w:val="D680541C"/>
    <w:multiLevelType w:val="singleLevel"/>
    <w:tmpl w:val="D680541C"/>
    <w:lvl w:ilvl="0" w:tentative="0">
      <w:start w:val="5"/>
      <w:numFmt w:val="chineseCounting"/>
      <w:suff w:val="nothing"/>
      <w:lvlText w:val="%1、"/>
      <w:lvlJc w:val="left"/>
      <w:rPr>
        <w:rFonts w:hint="eastAsia"/>
      </w:rPr>
    </w:lvl>
  </w:abstractNum>
  <w:abstractNum w:abstractNumId="2">
    <w:nsid w:val="F897C931"/>
    <w:multiLevelType w:val="singleLevel"/>
    <w:tmpl w:val="F897C931"/>
    <w:lvl w:ilvl="0" w:tentative="0">
      <w:start w:val="3"/>
      <w:numFmt w:val="decimal"/>
      <w:suff w:val="space"/>
      <w:lvlText w:val="%1."/>
      <w:lvlJc w:val="left"/>
    </w:lvl>
  </w:abstractNum>
  <w:abstractNum w:abstractNumId="3">
    <w:nsid w:val="05ADACE3"/>
    <w:multiLevelType w:val="singleLevel"/>
    <w:tmpl w:val="05ADACE3"/>
    <w:lvl w:ilvl="0" w:tentative="0">
      <w:start w:val="1"/>
      <w:numFmt w:val="decimal"/>
      <w:suff w:val="space"/>
      <w:lvlText w:val="%1."/>
      <w:lvlJc w:val="left"/>
    </w:lvl>
  </w:abstractNum>
  <w:abstractNum w:abstractNumId="4">
    <w:nsid w:val="41296E8C"/>
    <w:multiLevelType w:val="singleLevel"/>
    <w:tmpl w:val="41296E8C"/>
    <w:lvl w:ilvl="0" w:tentative="0">
      <w:start w:val="2"/>
      <w:numFmt w:val="decimal"/>
      <w:suff w:val="space"/>
      <w:lvlText w:val="%1."/>
      <w:lvlJc w:val="left"/>
      <w:pPr>
        <w:ind w:left="640" w:leftChars="0" w:firstLine="0" w:firstLineChars="0"/>
      </w:pPr>
    </w:lvl>
  </w:abstractNum>
  <w:abstractNum w:abstractNumId="5">
    <w:nsid w:val="630EC705"/>
    <w:multiLevelType w:val="singleLevel"/>
    <w:tmpl w:val="630EC705"/>
    <w:lvl w:ilvl="0" w:tentative="0">
      <w:start w:val="1"/>
      <w:numFmt w:val="chineseCounting"/>
      <w:suff w:val="nothing"/>
      <w:lvlText w:val="（%1）"/>
      <w:lvlJc w:val="left"/>
      <w:rPr>
        <w:rFonts w:hint="eastAsia"/>
      </w:rPr>
    </w:lvl>
  </w:abstractNum>
  <w:num w:numId="1">
    <w:abstractNumId w:val="2"/>
  </w:num>
  <w:num w:numId="2">
    <w:abstractNumId w:val="3"/>
  </w:num>
  <w:num w:numId="3">
    <w:abstractNumId w:val="4"/>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xOGYyOTQxNzI3MGFiYjJlOGMzMDY2YWFiOGZkNmYifQ=="/>
  </w:docVars>
  <w:rsids>
    <w:rsidRoot w:val="00B3774A"/>
    <w:rsid w:val="00001418"/>
    <w:rsid w:val="0000436E"/>
    <w:rsid w:val="000661FF"/>
    <w:rsid w:val="000707A9"/>
    <w:rsid w:val="000A4772"/>
    <w:rsid w:val="000A6B38"/>
    <w:rsid w:val="000C3433"/>
    <w:rsid w:val="000F7A83"/>
    <w:rsid w:val="00181D84"/>
    <w:rsid w:val="001D166D"/>
    <w:rsid w:val="00227802"/>
    <w:rsid w:val="002325CD"/>
    <w:rsid w:val="00250A07"/>
    <w:rsid w:val="00295818"/>
    <w:rsid w:val="002A7848"/>
    <w:rsid w:val="002C0EDD"/>
    <w:rsid w:val="003052DE"/>
    <w:rsid w:val="003615C1"/>
    <w:rsid w:val="003B78FA"/>
    <w:rsid w:val="004A05D3"/>
    <w:rsid w:val="004A220A"/>
    <w:rsid w:val="004F70A4"/>
    <w:rsid w:val="0051013D"/>
    <w:rsid w:val="005330D8"/>
    <w:rsid w:val="00561FBD"/>
    <w:rsid w:val="00595B55"/>
    <w:rsid w:val="005D7F12"/>
    <w:rsid w:val="006514CE"/>
    <w:rsid w:val="006E1D1C"/>
    <w:rsid w:val="00713D13"/>
    <w:rsid w:val="007204F7"/>
    <w:rsid w:val="007412F9"/>
    <w:rsid w:val="00755ABC"/>
    <w:rsid w:val="007B309B"/>
    <w:rsid w:val="007C71B1"/>
    <w:rsid w:val="007E52C9"/>
    <w:rsid w:val="007F6BF4"/>
    <w:rsid w:val="0084758D"/>
    <w:rsid w:val="00855800"/>
    <w:rsid w:val="00855FFF"/>
    <w:rsid w:val="008570CE"/>
    <w:rsid w:val="008872CA"/>
    <w:rsid w:val="008B221C"/>
    <w:rsid w:val="008B2982"/>
    <w:rsid w:val="008B6EF6"/>
    <w:rsid w:val="008F2DF1"/>
    <w:rsid w:val="0096440C"/>
    <w:rsid w:val="009E1219"/>
    <w:rsid w:val="00AC143D"/>
    <w:rsid w:val="00B11AA9"/>
    <w:rsid w:val="00B300A6"/>
    <w:rsid w:val="00B3062D"/>
    <w:rsid w:val="00B3774A"/>
    <w:rsid w:val="00B516C3"/>
    <w:rsid w:val="00B53640"/>
    <w:rsid w:val="00B6434E"/>
    <w:rsid w:val="00B81C92"/>
    <w:rsid w:val="00BC0D84"/>
    <w:rsid w:val="00BE2AC4"/>
    <w:rsid w:val="00C078BB"/>
    <w:rsid w:val="00C17443"/>
    <w:rsid w:val="00C330AE"/>
    <w:rsid w:val="00CE35E9"/>
    <w:rsid w:val="00CE7982"/>
    <w:rsid w:val="00CF1229"/>
    <w:rsid w:val="00D30BA9"/>
    <w:rsid w:val="00D5533D"/>
    <w:rsid w:val="00D72B8D"/>
    <w:rsid w:val="00DD5501"/>
    <w:rsid w:val="00DE22FB"/>
    <w:rsid w:val="00DE383F"/>
    <w:rsid w:val="00E073FF"/>
    <w:rsid w:val="00E22D16"/>
    <w:rsid w:val="00E56FE3"/>
    <w:rsid w:val="00E82920"/>
    <w:rsid w:val="00E97137"/>
    <w:rsid w:val="00F36874"/>
    <w:rsid w:val="00F57E37"/>
    <w:rsid w:val="00F75868"/>
    <w:rsid w:val="00F861A9"/>
    <w:rsid w:val="00FE6595"/>
    <w:rsid w:val="01145609"/>
    <w:rsid w:val="01EF4646"/>
    <w:rsid w:val="02225422"/>
    <w:rsid w:val="02292973"/>
    <w:rsid w:val="02671173"/>
    <w:rsid w:val="03224BC7"/>
    <w:rsid w:val="0377517C"/>
    <w:rsid w:val="039E66C2"/>
    <w:rsid w:val="03BF0945"/>
    <w:rsid w:val="03DD7665"/>
    <w:rsid w:val="03E040F7"/>
    <w:rsid w:val="04162614"/>
    <w:rsid w:val="042220D3"/>
    <w:rsid w:val="047F3494"/>
    <w:rsid w:val="049016E7"/>
    <w:rsid w:val="05161392"/>
    <w:rsid w:val="0579456A"/>
    <w:rsid w:val="079A613C"/>
    <w:rsid w:val="082B5A66"/>
    <w:rsid w:val="08511278"/>
    <w:rsid w:val="08722EE6"/>
    <w:rsid w:val="09526CCE"/>
    <w:rsid w:val="09B04AE8"/>
    <w:rsid w:val="0AB613B8"/>
    <w:rsid w:val="0AEC3920"/>
    <w:rsid w:val="0B3A74A5"/>
    <w:rsid w:val="0BA94BA0"/>
    <w:rsid w:val="0DA43772"/>
    <w:rsid w:val="0DF032D8"/>
    <w:rsid w:val="0E5A6942"/>
    <w:rsid w:val="0F103879"/>
    <w:rsid w:val="0F24110D"/>
    <w:rsid w:val="0FA07101"/>
    <w:rsid w:val="100C1D8B"/>
    <w:rsid w:val="1031499A"/>
    <w:rsid w:val="10B64FC9"/>
    <w:rsid w:val="11473B78"/>
    <w:rsid w:val="11620F62"/>
    <w:rsid w:val="11DF2D85"/>
    <w:rsid w:val="128D551F"/>
    <w:rsid w:val="12D22C2E"/>
    <w:rsid w:val="138F770D"/>
    <w:rsid w:val="13B91453"/>
    <w:rsid w:val="13C40DFD"/>
    <w:rsid w:val="143A2A66"/>
    <w:rsid w:val="146A0C46"/>
    <w:rsid w:val="14B32E78"/>
    <w:rsid w:val="14D059D2"/>
    <w:rsid w:val="15154751"/>
    <w:rsid w:val="151C0B13"/>
    <w:rsid w:val="15A925F6"/>
    <w:rsid w:val="15C545F8"/>
    <w:rsid w:val="15CC5FCE"/>
    <w:rsid w:val="16297009"/>
    <w:rsid w:val="16552E7B"/>
    <w:rsid w:val="165A77F7"/>
    <w:rsid w:val="173F30CE"/>
    <w:rsid w:val="17BE6082"/>
    <w:rsid w:val="18A13824"/>
    <w:rsid w:val="190A333F"/>
    <w:rsid w:val="1993771F"/>
    <w:rsid w:val="19E70D73"/>
    <w:rsid w:val="1AAA2B27"/>
    <w:rsid w:val="1B2F762D"/>
    <w:rsid w:val="1B6E43DA"/>
    <w:rsid w:val="1BDD0F99"/>
    <w:rsid w:val="1D920AD6"/>
    <w:rsid w:val="1D9F6DBE"/>
    <w:rsid w:val="1DB87EC1"/>
    <w:rsid w:val="1DD14978"/>
    <w:rsid w:val="1E1F35A0"/>
    <w:rsid w:val="1E4D3AAB"/>
    <w:rsid w:val="20120B0E"/>
    <w:rsid w:val="2025397E"/>
    <w:rsid w:val="21952629"/>
    <w:rsid w:val="22097921"/>
    <w:rsid w:val="220F6630"/>
    <w:rsid w:val="22330D71"/>
    <w:rsid w:val="228B3C0C"/>
    <w:rsid w:val="22F86B8B"/>
    <w:rsid w:val="23DA5755"/>
    <w:rsid w:val="24522F17"/>
    <w:rsid w:val="251B4D4C"/>
    <w:rsid w:val="252448AD"/>
    <w:rsid w:val="25306F53"/>
    <w:rsid w:val="261E13D4"/>
    <w:rsid w:val="26327342"/>
    <w:rsid w:val="26335C11"/>
    <w:rsid w:val="26811A8B"/>
    <w:rsid w:val="26F50496"/>
    <w:rsid w:val="272D37BF"/>
    <w:rsid w:val="275D6B33"/>
    <w:rsid w:val="27763A84"/>
    <w:rsid w:val="277B3E9F"/>
    <w:rsid w:val="27C616D6"/>
    <w:rsid w:val="28317DF3"/>
    <w:rsid w:val="29023E15"/>
    <w:rsid w:val="291E1746"/>
    <w:rsid w:val="294F6B0F"/>
    <w:rsid w:val="295E5D81"/>
    <w:rsid w:val="29EE3011"/>
    <w:rsid w:val="2A0D3B4F"/>
    <w:rsid w:val="2A2E0F28"/>
    <w:rsid w:val="2B3820D6"/>
    <w:rsid w:val="2B46451B"/>
    <w:rsid w:val="2C50007A"/>
    <w:rsid w:val="2C804AD2"/>
    <w:rsid w:val="2CD86C3B"/>
    <w:rsid w:val="2CF34686"/>
    <w:rsid w:val="2DC55411"/>
    <w:rsid w:val="2DE1269A"/>
    <w:rsid w:val="2F8D4699"/>
    <w:rsid w:val="30D42A8D"/>
    <w:rsid w:val="31180CDD"/>
    <w:rsid w:val="311D4125"/>
    <w:rsid w:val="32126FFE"/>
    <w:rsid w:val="334B6CC7"/>
    <w:rsid w:val="33602981"/>
    <w:rsid w:val="34577550"/>
    <w:rsid w:val="35625AE9"/>
    <w:rsid w:val="35753A2A"/>
    <w:rsid w:val="35887450"/>
    <w:rsid w:val="363037C3"/>
    <w:rsid w:val="368F2A60"/>
    <w:rsid w:val="36A66384"/>
    <w:rsid w:val="36ED0BCC"/>
    <w:rsid w:val="385012BA"/>
    <w:rsid w:val="387826F2"/>
    <w:rsid w:val="393F04CE"/>
    <w:rsid w:val="39577F9F"/>
    <w:rsid w:val="396C5791"/>
    <w:rsid w:val="39F33306"/>
    <w:rsid w:val="3A105410"/>
    <w:rsid w:val="3A492F2A"/>
    <w:rsid w:val="3A5A1DF2"/>
    <w:rsid w:val="3B3D0BED"/>
    <w:rsid w:val="3B4B6D4E"/>
    <w:rsid w:val="3C7F042D"/>
    <w:rsid w:val="3D2115DD"/>
    <w:rsid w:val="3D8D4F32"/>
    <w:rsid w:val="3D916B0D"/>
    <w:rsid w:val="3DC345ED"/>
    <w:rsid w:val="3DD21362"/>
    <w:rsid w:val="3DE444CE"/>
    <w:rsid w:val="3E605BE9"/>
    <w:rsid w:val="3E7808FE"/>
    <w:rsid w:val="3E847217"/>
    <w:rsid w:val="3EE45DEB"/>
    <w:rsid w:val="3EFC0362"/>
    <w:rsid w:val="3F251880"/>
    <w:rsid w:val="3F5220D9"/>
    <w:rsid w:val="3F900825"/>
    <w:rsid w:val="400E2745"/>
    <w:rsid w:val="40323B0C"/>
    <w:rsid w:val="404C4E8B"/>
    <w:rsid w:val="40575ABB"/>
    <w:rsid w:val="42786711"/>
    <w:rsid w:val="429762BD"/>
    <w:rsid w:val="430728B7"/>
    <w:rsid w:val="43164202"/>
    <w:rsid w:val="431C5AFA"/>
    <w:rsid w:val="43AF555F"/>
    <w:rsid w:val="43BB6C43"/>
    <w:rsid w:val="44F05012"/>
    <w:rsid w:val="457558D6"/>
    <w:rsid w:val="458F5ABD"/>
    <w:rsid w:val="46A161E6"/>
    <w:rsid w:val="46CD56FC"/>
    <w:rsid w:val="46F55536"/>
    <w:rsid w:val="47D6143B"/>
    <w:rsid w:val="482253E2"/>
    <w:rsid w:val="4823503C"/>
    <w:rsid w:val="4832354D"/>
    <w:rsid w:val="4848216D"/>
    <w:rsid w:val="48524D29"/>
    <w:rsid w:val="49D31F09"/>
    <w:rsid w:val="49F83A1F"/>
    <w:rsid w:val="4A506004"/>
    <w:rsid w:val="4A6A0322"/>
    <w:rsid w:val="4A9236CC"/>
    <w:rsid w:val="4B2E1530"/>
    <w:rsid w:val="4B4E2A92"/>
    <w:rsid w:val="4B8E3D0A"/>
    <w:rsid w:val="4BA4613C"/>
    <w:rsid w:val="4D3F70B5"/>
    <w:rsid w:val="4D5B6E7D"/>
    <w:rsid w:val="4D877695"/>
    <w:rsid w:val="4DAE49FC"/>
    <w:rsid w:val="4E095755"/>
    <w:rsid w:val="4E5B611C"/>
    <w:rsid w:val="4F645AA2"/>
    <w:rsid w:val="4FB25A45"/>
    <w:rsid w:val="4FCA73EE"/>
    <w:rsid w:val="501A57C8"/>
    <w:rsid w:val="503E4B2F"/>
    <w:rsid w:val="506041FC"/>
    <w:rsid w:val="50F11854"/>
    <w:rsid w:val="516A0C6C"/>
    <w:rsid w:val="519523AE"/>
    <w:rsid w:val="521A1920"/>
    <w:rsid w:val="525F746A"/>
    <w:rsid w:val="526A1DFC"/>
    <w:rsid w:val="52787ADD"/>
    <w:rsid w:val="52B474C5"/>
    <w:rsid w:val="52F931E0"/>
    <w:rsid w:val="531620E8"/>
    <w:rsid w:val="533709E3"/>
    <w:rsid w:val="534B2E1F"/>
    <w:rsid w:val="53A660E7"/>
    <w:rsid w:val="53AB00A2"/>
    <w:rsid w:val="541143F3"/>
    <w:rsid w:val="5417709A"/>
    <w:rsid w:val="544056E1"/>
    <w:rsid w:val="546948BA"/>
    <w:rsid w:val="549F59E8"/>
    <w:rsid w:val="54B65769"/>
    <w:rsid w:val="54C32090"/>
    <w:rsid w:val="555A26FB"/>
    <w:rsid w:val="560E5955"/>
    <w:rsid w:val="562433E1"/>
    <w:rsid w:val="56EF2E4E"/>
    <w:rsid w:val="57D1740A"/>
    <w:rsid w:val="57D77069"/>
    <w:rsid w:val="588328B7"/>
    <w:rsid w:val="58993C19"/>
    <w:rsid w:val="58E97418"/>
    <w:rsid w:val="58EA7E57"/>
    <w:rsid w:val="596E50AC"/>
    <w:rsid w:val="59E95EF8"/>
    <w:rsid w:val="59FB437D"/>
    <w:rsid w:val="5A0D5E39"/>
    <w:rsid w:val="5A3F4156"/>
    <w:rsid w:val="5A4437B1"/>
    <w:rsid w:val="5AC62187"/>
    <w:rsid w:val="5B562512"/>
    <w:rsid w:val="5B6F1959"/>
    <w:rsid w:val="5BAC7CE3"/>
    <w:rsid w:val="5CA6429C"/>
    <w:rsid w:val="5D0935F9"/>
    <w:rsid w:val="5E5F251B"/>
    <w:rsid w:val="5E8B64EA"/>
    <w:rsid w:val="5F4B42D5"/>
    <w:rsid w:val="5FDC71A3"/>
    <w:rsid w:val="601B38F1"/>
    <w:rsid w:val="606577BE"/>
    <w:rsid w:val="60936B26"/>
    <w:rsid w:val="61006BB0"/>
    <w:rsid w:val="6143200A"/>
    <w:rsid w:val="626A7C77"/>
    <w:rsid w:val="62775D60"/>
    <w:rsid w:val="62C845E0"/>
    <w:rsid w:val="62E41AE0"/>
    <w:rsid w:val="63B52D91"/>
    <w:rsid w:val="63CD5870"/>
    <w:rsid w:val="64342886"/>
    <w:rsid w:val="64A01E15"/>
    <w:rsid w:val="65CD3926"/>
    <w:rsid w:val="67131AC0"/>
    <w:rsid w:val="67236729"/>
    <w:rsid w:val="67346975"/>
    <w:rsid w:val="673668E2"/>
    <w:rsid w:val="67B519A4"/>
    <w:rsid w:val="684B69D2"/>
    <w:rsid w:val="695D226B"/>
    <w:rsid w:val="69961483"/>
    <w:rsid w:val="6A59107F"/>
    <w:rsid w:val="6A7F636D"/>
    <w:rsid w:val="6AF462EE"/>
    <w:rsid w:val="6B0D1BCA"/>
    <w:rsid w:val="6B7071D4"/>
    <w:rsid w:val="6BE50451"/>
    <w:rsid w:val="6BF871BA"/>
    <w:rsid w:val="6C3041A9"/>
    <w:rsid w:val="6C5E72EA"/>
    <w:rsid w:val="6C6B4B95"/>
    <w:rsid w:val="6D0B1891"/>
    <w:rsid w:val="6D305C89"/>
    <w:rsid w:val="6DBC0BA1"/>
    <w:rsid w:val="6DCA3F75"/>
    <w:rsid w:val="6E1F02EB"/>
    <w:rsid w:val="6EFA2466"/>
    <w:rsid w:val="6F5A2F04"/>
    <w:rsid w:val="70592489"/>
    <w:rsid w:val="706F26C2"/>
    <w:rsid w:val="71784869"/>
    <w:rsid w:val="724C6125"/>
    <w:rsid w:val="727B0EC5"/>
    <w:rsid w:val="728D5CE6"/>
    <w:rsid w:val="730E39D4"/>
    <w:rsid w:val="739E33F8"/>
    <w:rsid w:val="7475088E"/>
    <w:rsid w:val="749A0604"/>
    <w:rsid w:val="74C068D5"/>
    <w:rsid w:val="74E62003"/>
    <w:rsid w:val="75910497"/>
    <w:rsid w:val="7596618A"/>
    <w:rsid w:val="75AE68A7"/>
    <w:rsid w:val="75BD76EA"/>
    <w:rsid w:val="75F61D2B"/>
    <w:rsid w:val="76642118"/>
    <w:rsid w:val="769E257A"/>
    <w:rsid w:val="77642563"/>
    <w:rsid w:val="776F6849"/>
    <w:rsid w:val="77EF4B32"/>
    <w:rsid w:val="790B12E7"/>
    <w:rsid w:val="7A8F4065"/>
    <w:rsid w:val="7AED704C"/>
    <w:rsid w:val="7B364098"/>
    <w:rsid w:val="7BB241CD"/>
    <w:rsid w:val="7C735606"/>
    <w:rsid w:val="7C8F00D9"/>
    <w:rsid w:val="7CEB496F"/>
    <w:rsid w:val="7D274367"/>
    <w:rsid w:val="7D5E7BEC"/>
    <w:rsid w:val="7D8A5269"/>
    <w:rsid w:val="7D991F9B"/>
    <w:rsid w:val="7E933067"/>
    <w:rsid w:val="7F364DF4"/>
    <w:rsid w:val="7FA1640C"/>
    <w:rsid w:val="7FA70B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widowControl/>
      <w:ind w:firstLine="200" w:firstLineChars="200"/>
      <w:jc w:val="left"/>
      <w:outlineLvl w:val="0"/>
    </w:pPr>
    <w:rPr>
      <w:rFonts w:ascii="宋体" w:hAnsi="宋体" w:eastAsia="仿宋_GB2312" w:cs="宋体"/>
      <w:bCs/>
      <w:kern w:val="36"/>
      <w:sz w:val="32"/>
      <w:szCs w:val="48"/>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Document Map"/>
    <w:basedOn w:val="1"/>
    <w:semiHidden/>
    <w:qFormat/>
    <w:uiPriority w:val="0"/>
    <w:pPr>
      <w:shd w:val="clear" w:color="auto" w:fill="000080"/>
    </w:pPr>
  </w:style>
  <w:style w:type="paragraph" w:styleId="4">
    <w:name w:val="footer"/>
    <w:basedOn w:val="1"/>
    <w:link w:val="26"/>
    <w:qFormat/>
    <w:uiPriority w:val="0"/>
    <w:pPr>
      <w:tabs>
        <w:tab w:val="center" w:pos="4153"/>
        <w:tab w:val="right" w:pos="8306"/>
      </w:tabs>
      <w:snapToGrid w:val="0"/>
      <w:jc w:val="left"/>
    </w:pPr>
    <w:rPr>
      <w:sz w:val="18"/>
      <w:szCs w:val="18"/>
    </w:rPr>
  </w:style>
  <w:style w:type="paragraph" w:styleId="5">
    <w:name w:val="header"/>
    <w:basedOn w:val="1"/>
    <w:link w:val="25"/>
    <w:qFormat/>
    <w:uiPriority w:val="0"/>
    <w:pPr>
      <w:pBdr>
        <w:bottom w:val="single" w:color="auto" w:sz="6" w:space="1"/>
      </w:pBdr>
      <w:tabs>
        <w:tab w:val="center" w:pos="4153"/>
        <w:tab w:val="right" w:pos="8306"/>
      </w:tabs>
      <w:snapToGrid w:val="0"/>
      <w:jc w:val="center"/>
    </w:pPr>
    <w:rPr>
      <w:sz w:val="18"/>
      <w:szCs w:val="18"/>
    </w:rPr>
  </w:style>
  <w:style w:type="paragraph" w:styleId="6">
    <w:name w:val="toc 1"/>
    <w:basedOn w:val="1"/>
    <w:next w:val="1"/>
    <w:semiHidden/>
    <w:qFormat/>
    <w:uiPriority w:val="99"/>
    <w:rPr>
      <w:rFonts w:ascii="方正仿宋简体" w:eastAsia="方正仿宋简体" w:cs="方正仿宋简体"/>
    </w:rPr>
  </w:style>
  <w:style w:type="paragraph" w:styleId="7">
    <w:name w:val="Normal (Web)"/>
    <w:basedOn w:val="1"/>
    <w:qFormat/>
    <w:uiPriority w:val="0"/>
    <w:pPr>
      <w:jc w:val="left"/>
    </w:pPr>
    <w:rPr>
      <w:rFonts w:ascii="微软雅黑" w:hAnsi="微软雅黑" w:eastAsia="微软雅黑"/>
      <w:color w:val="2979C3"/>
      <w:kern w:val="0"/>
      <w:szCs w:val="21"/>
      <w:u w:val="single"/>
    </w:rPr>
  </w:style>
  <w:style w:type="character" w:styleId="10">
    <w:name w:val="Strong"/>
    <w:basedOn w:val="9"/>
    <w:qFormat/>
    <w:uiPriority w:val="0"/>
    <w:rPr>
      <w:b/>
    </w:rPr>
  </w:style>
  <w:style w:type="character" w:styleId="11">
    <w:name w:val="FollowedHyperlink"/>
    <w:basedOn w:val="9"/>
    <w:qFormat/>
    <w:uiPriority w:val="0"/>
    <w:rPr>
      <w:color w:val="333333"/>
      <w:u w:val="none"/>
    </w:rPr>
  </w:style>
  <w:style w:type="character" w:styleId="12">
    <w:name w:val="Emphasis"/>
    <w:basedOn w:val="9"/>
    <w:qFormat/>
    <w:uiPriority w:val="0"/>
  </w:style>
  <w:style w:type="character" w:styleId="13">
    <w:name w:val="HTML Definition"/>
    <w:basedOn w:val="9"/>
    <w:qFormat/>
    <w:uiPriority w:val="0"/>
  </w:style>
  <w:style w:type="character" w:styleId="14">
    <w:name w:val="HTML Acronym"/>
    <w:basedOn w:val="9"/>
    <w:qFormat/>
    <w:uiPriority w:val="0"/>
  </w:style>
  <w:style w:type="character" w:styleId="15">
    <w:name w:val="HTML Variable"/>
    <w:basedOn w:val="9"/>
    <w:qFormat/>
    <w:uiPriority w:val="0"/>
  </w:style>
  <w:style w:type="character" w:styleId="16">
    <w:name w:val="Hyperlink"/>
    <w:basedOn w:val="9"/>
    <w:qFormat/>
    <w:uiPriority w:val="0"/>
    <w:rPr>
      <w:color w:val="333333"/>
      <w:u w:val="none"/>
    </w:rPr>
  </w:style>
  <w:style w:type="character" w:styleId="17">
    <w:name w:val="HTML Code"/>
    <w:basedOn w:val="9"/>
    <w:qFormat/>
    <w:uiPriority w:val="0"/>
    <w:rPr>
      <w:rFonts w:hint="eastAsia" w:ascii="微软雅黑" w:hAnsi="微软雅黑" w:eastAsia="微软雅黑" w:cs="微软雅黑"/>
      <w:color w:val="333333"/>
      <w:sz w:val="21"/>
      <w:szCs w:val="21"/>
    </w:rPr>
  </w:style>
  <w:style w:type="character" w:styleId="18">
    <w:name w:val="HTML Cite"/>
    <w:basedOn w:val="9"/>
    <w:qFormat/>
    <w:uiPriority w:val="0"/>
  </w:style>
  <w:style w:type="character" w:styleId="19">
    <w:name w:val="HTML Keyboard"/>
    <w:basedOn w:val="9"/>
    <w:qFormat/>
    <w:uiPriority w:val="0"/>
    <w:rPr>
      <w:rFonts w:ascii="Courier New" w:hAnsi="Courier New"/>
      <w:sz w:val="20"/>
    </w:rPr>
  </w:style>
  <w:style w:type="character" w:styleId="20">
    <w:name w:val="HTML Sample"/>
    <w:basedOn w:val="9"/>
    <w:qFormat/>
    <w:uiPriority w:val="0"/>
    <w:rPr>
      <w:rFonts w:ascii="Courier New" w:hAnsi="Courier New"/>
    </w:rPr>
  </w:style>
  <w:style w:type="paragraph" w:customStyle="1" w:styleId="21">
    <w:name w:val="样式 文字 + 首行缩进:  2 字符3"/>
    <w:qFormat/>
    <w:uiPriority w:val="99"/>
    <w:pPr>
      <w:widowControl w:val="0"/>
      <w:spacing w:line="360" w:lineRule="auto"/>
      <w:jc w:val="left"/>
    </w:pPr>
    <w:rPr>
      <w:rFonts w:ascii="Calibri" w:hAnsi="Calibri" w:eastAsia="宋体" w:cs="Times New Roman"/>
      <w:kern w:val="2"/>
      <w:sz w:val="28"/>
      <w:szCs w:val="28"/>
      <w:lang w:val="en-US" w:eastAsia="zh-CN" w:bidi="ar-SA"/>
    </w:rPr>
  </w:style>
  <w:style w:type="paragraph" w:customStyle="1" w:styleId="22">
    <w:name w:val="BodyText1I2"/>
    <w:basedOn w:val="23"/>
    <w:qFormat/>
    <w:uiPriority w:val="0"/>
    <w:pPr>
      <w:snapToGrid w:val="0"/>
      <w:spacing w:after="0" w:line="660" w:lineRule="exact"/>
      <w:ind w:left="0" w:leftChars="0" w:firstLine="420" w:firstLineChars="200"/>
    </w:pPr>
    <w:rPr>
      <w:rFonts w:ascii="仿宋_GB2312"/>
      <w:kern w:val="0"/>
    </w:rPr>
  </w:style>
  <w:style w:type="paragraph" w:customStyle="1" w:styleId="23">
    <w:name w:val="BodyTextIndent"/>
    <w:basedOn w:val="1"/>
    <w:qFormat/>
    <w:uiPriority w:val="0"/>
    <w:pPr>
      <w:spacing w:after="120"/>
      <w:ind w:left="420" w:leftChars="200"/>
      <w:textAlignment w:val="baseline"/>
    </w:pPr>
  </w:style>
  <w:style w:type="character" w:customStyle="1" w:styleId="24">
    <w:name w:val="con-all2"/>
    <w:basedOn w:val="9"/>
    <w:qFormat/>
    <w:uiPriority w:val="0"/>
  </w:style>
  <w:style w:type="character" w:customStyle="1" w:styleId="25">
    <w:name w:val="页眉 Char"/>
    <w:basedOn w:val="9"/>
    <w:link w:val="5"/>
    <w:qFormat/>
    <w:uiPriority w:val="0"/>
    <w:rPr>
      <w:kern w:val="2"/>
      <w:sz w:val="18"/>
      <w:szCs w:val="18"/>
    </w:rPr>
  </w:style>
  <w:style w:type="character" w:customStyle="1" w:styleId="26">
    <w:name w:val="页脚 Char"/>
    <w:basedOn w:val="9"/>
    <w:link w:val="4"/>
    <w:qFormat/>
    <w:uiPriority w:val="0"/>
    <w:rPr>
      <w:kern w:val="2"/>
      <w:sz w:val="18"/>
      <w:szCs w:val="18"/>
    </w:rPr>
  </w:style>
  <w:style w:type="character" w:customStyle="1" w:styleId="27">
    <w:name w:val="hj-easyread-speakerprocesser-position-action-icon"/>
    <w:basedOn w:val="9"/>
    <w:qFormat/>
    <w:uiPriority w:val="0"/>
  </w:style>
  <w:style w:type="character" w:customStyle="1" w:styleId="28">
    <w:name w:val="disabled"/>
    <w:basedOn w:val="9"/>
    <w:qFormat/>
    <w:uiPriority w:val="0"/>
    <w:rPr>
      <w:color w:val="999999"/>
      <w:bdr w:val="single" w:color="C5C5C5" w:sz="6" w:space="0"/>
    </w:rPr>
  </w:style>
  <w:style w:type="character" w:customStyle="1" w:styleId="29">
    <w:name w:val="current"/>
    <w:basedOn w:val="9"/>
    <w:qFormat/>
    <w:uiPriority w:val="0"/>
    <w:rPr>
      <w:b/>
      <w:color w:val="FFFFFF"/>
      <w:bdr w:val="single" w:color="1E72B4" w:sz="6" w:space="0"/>
      <w:shd w:val="clear" w:color="auto" w:fill="1E72B4"/>
    </w:rPr>
  </w:style>
  <w:style w:type="character" w:customStyle="1" w:styleId="30">
    <w:name w:val="font"/>
    <w:basedOn w:val="9"/>
    <w:qFormat/>
    <w:uiPriority w:val="0"/>
  </w:style>
  <w:style w:type="character" w:customStyle="1" w:styleId="31">
    <w:name w:val="font1"/>
    <w:basedOn w:val="9"/>
    <w:qFormat/>
    <w:uiPriority w:val="0"/>
  </w:style>
  <w:style w:type="paragraph" w:customStyle="1" w:styleId="32">
    <w:name w:val="p0"/>
    <w:basedOn w:val="1"/>
    <w:qFormat/>
    <w:uiPriority w:val="0"/>
    <w:pPr>
      <w:widowControl/>
    </w:pPr>
    <w:rPr>
      <w:rFonts w:cs="宋体"/>
      <w:kern w:val="0"/>
      <w:szCs w:val="21"/>
    </w:rPr>
  </w:style>
  <w:style w:type="character" w:customStyle="1" w:styleId="33">
    <w:name w:val="NormalCharacter"/>
    <w:semiHidden/>
    <w:qFormat/>
    <w:uiPriority w:val="99"/>
  </w:style>
  <w:style w:type="paragraph" w:styleId="3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44D9F1F-706F-449C-ABFF-9276B5792B2B}">
  <ds:schemaRefs/>
</ds:datastoreItem>
</file>

<file path=docProps/app.xml><?xml version="1.0" encoding="utf-8"?>
<Properties xmlns="http://schemas.openxmlformats.org/officeDocument/2006/extended-properties" xmlns:vt="http://schemas.openxmlformats.org/officeDocument/2006/docPropsVTypes">
  <Template>Normal</Template>
  <Company>Microsoft China</Company>
  <Pages>11</Pages>
  <Words>3590</Words>
  <Characters>3761</Characters>
  <Lines>36</Lines>
  <Paragraphs>10</Paragraphs>
  <TotalTime>0</TotalTime>
  <ScaleCrop>false</ScaleCrop>
  <LinksUpToDate>false</LinksUpToDate>
  <CharactersWithSpaces>3765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2020-04-09T01:51:00Z</dcterms:created>
  <dc:creator>nn</dc:creator>
  <cp:lastModifiedBy>xyl</cp:lastModifiedBy>
  <cp:lastPrinted>2021-04-25T00:18:00Z</cp:lastPrinted>
  <dcterms:modified xsi:type="dcterms:W3CDTF">2025-09-22T03:43:43Z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4FFD48FD8429466C9E5C15FB82FF3270_13</vt:lpwstr>
  </property>
  <property fmtid="{D5CDD505-2E9C-101B-9397-08002B2CF9AE}" pid="4" name="KSOTemplateDocerSaveRecord">
    <vt:lpwstr>eyJoZGlkIjoiZGMxNmIzNzZhZDNhNzA4YmM0OGM4NDNkZmU3NDEyOTgiLCJ1c2VySWQiOiI3NTIzODM4NDQifQ==</vt:lpwstr>
  </property>
</Properties>
</file>