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89E6C">
      <w:pPr>
        <w:keepNext w:val="0"/>
        <w:keepLines w:val="0"/>
        <w:pageBreakBefore w:val="0"/>
        <w:kinsoku/>
        <w:wordWrap/>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桃江县司法局</w:t>
      </w:r>
      <w:r>
        <w:rPr>
          <w:rFonts w:hint="eastAsia" w:ascii="Times New Roman" w:hAnsi="Times New Roman" w:eastAsia="方正小标宋简体" w:cs="Times New Roman"/>
          <w:sz w:val="44"/>
          <w:szCs w:val="44"/>
          <w:lang w:eastAsia="zh-CN"/>
        </w:rPr>
        <w:t>2024年</w:t>
      </w:r>
      <w:r>
        <w:rPr>
          <w:rFonts w:hint="default" w:ascii="Times New Roman" w:hAnsi="Times New Roman" w:eastAsia="方正小标宋简体" w:cs="Times New Roman"/>
          <w:sz w:val="44"/>
          <w:szCs w:val="44"/>
        </w:rPr>
        <w:t>项目支出</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公共法律事务</w:t>
      </w:r>
      <w:r>
        <w:rPr>
          <w:rFonts w:hint="eastAsia" w:ascii="Times New Roman" w:hAnsi="Times New Roman" w:eastAsia="方正小标宋简体" w:cs="Times New Roman"/>
          <w:sz w:val="44"/>
          <w:szCs w:val="44"/>
          <w:lang w:eastAsia="zh-CN"/>
        </w:rPr>
        <w:t>）</w:t>
      </w:r>
    </w:p>
    <w:p w14:paraId="6E799219">
      <w:pPr>
        <w:keepNext w:val="0"/>
        <w:keepLines w:val="0"/>
        <w:pageBreakBefore w:val="0"/>
        <w:kinsoku/>
        <w:wordWrap/>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绩效评价报告</w:t>
      </w:r>
    </w:p>
    <w:p w14:paraId="446659FF">
      <w:pPr>
        <w:keepNext w:val="0"/>
        <w:keepLines w:val="0"/>
        <w:pageBreakBefore w:val="0"/>
        <w:kinsoku/>
        <w:wordWrap/>
        <w:topLinePunct w:val="0"/>
        <w:autoSpaceDE/>
        <w:autoSpaceDN/>
        <w:bidi w:val="0"/>
        <w:adjustRightInd/>
        <w:snapToGrid/>
        <w:spacing w:line="580" w:lineRule="exact"/>
        <w:ind w:firstLine="800" w:firstLineChars="250"/>
        <w:jc w:val="both"/>
        <w:textAlignment w:val="auto"/>
        <w:rPr>
          <w:rFonts w:hint="default" w:ascii="Times New Roman" w:hAnsi="Times New Roman" w:eastAsia="黑体" w:cs="Times New Roman"/>
          <w:bCs/>
          <w:sz w:val="32"/>
          <w:szCs w:val="32"/>
        </w:rPr>
      </w:pPr>
    </w:p>
    <w:p w14:paraId="44C3A5C7">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168E45B7">
      <w:pPr>
        <w:keepNext w:val="0"/>
        <w:keepLines w:val="0"/>
        <w:pageBreakBefore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项目单位基本情况。</w:t>
      </w:r>
      <w:r>
        <w:rPr>
          <w:rFonts w:hint="default" w:ascii="Times New Roman" w:hAnsi="Times New Roman" w:eastAsia="仿宋_GB2312" w:cs="Times New Roman"/>
          <w:sz w:val="32"/>
          <w:szCs w:val="32"/>
        </w:rPr>
        <w:t>桃江县司法局是主管全县司法行政工作的政府组成部门，为财政预算全额拨款正科级行政单位，</w:t>
      </w:r>
      <w:r>
        <w:rPr>
          <w:rFonts w:hint="default" w:ascii="Times New Roman" w:hAnsi="Times New Roman" w:eastAsia="仿宋_GB2312" w:cs="Times New Roman"/>
          <w:sz w:val="32"/>
          <w:szCs w:val="32"/>
          <w:lang w:eastAsia="zh-CN"/>
        </w:rPr>
        <w:t>承担全面依法治县、法治政府建设、普法宣传、法律援助、人民调解、社区矫正、律师公证、法律服务等工作职能。内设</w:t>
      </w:r>
      <w:r>
        <w:rPr>
          <w:rFonts w:hint="default" w:ascii="Times New Roman" w:hAnsi="Times New Roman" w:eastAsia="仿宋_GB2312" w:cs="Times New Roman"/>
          <w:sz w:val="32"/>
          <w:szCs w:val="32"/>
          <w:lang w:val="en-US" w:eastAsia="zh-CN"/>
        </w:rPr>
        <w:t>12个职能股室，下辖16个基层司法所，2个事业单位（县法律援助中心、县公证处），行业管理2个司法鉴定所、2个律师事务所和6个基层法律服务所。2024年实有编制95个，其中政法专项编制81个、全额事业编制9个、自收自支事业编制5个。年末实有在职在编人员87人，其中行政编制人员74人、机关工勤人员1人、全额事业编人员7人、自收自支人员5人。退休人员44人</w:t>
      </w:r>
      <w:r>
        <w:rPr>
          <w:rFonts w:hint="eastAsia" w:ascii="Times New Roman" w:hAnsi="Times New Roman" w:eastAsia="仿宋_GB2312" w:cs="Times New Roman"/>
          <w:sz w:val="32"/>
          <w:szCs w:val="32"/>
          <w:lang w:val="en-US" w:eastAsia="zh-CN"/>
        </w:rPr>
        <w:t>。</w:t>
      </w:r>
    </w:p>
    <w:p w14:paraId="611302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项目基本情况介绍。</w:t>
      </w:r>
      <w:r>
        <w:rPr>
          <w:rFonts w:hint="default" w:ascii="Times New Roman" w:hAnsi="Times New Roman" w:eastAsia="仿宋_GB2312" w:cs="Times New Roman"/>
          <w:sz w:val="32"/>
          <w:szCs w:val="32"/>
          <w:lang w:eastAsia="zh-CN"/>
        </w:rPr>
        <w:t>本项目是贯彻落实中央及省市关于公共法律服务体系建设工作的重要举措。公共法律服务是为全面推进公共法律服务体系建设，按照省、市、县统一部署，坚持以服务民生、服务发展为根本，大力推进公共法律服务体系建设，加快整合法律服务资源，提供法律知识普及教育和法治文化活动；为经济困难和特殊群体当事人提供法律援助；开展公益性法律服务，法律咨询、公证、司法鉴定服务、法治宣传；预防和化解民间纠纷的人民调解活动等；指引寻求律师、基层法律服务等服务事项，对法律服务事项办理情况进行跟踪服务。</w:t>
      </w:r>
    </w:p>
    <w:p w14:paraId="5167805E">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县已实现县、镇、村三级全覆盖公共法律服务网络。设立1个县级公共法律服务中心、15个乡镇(街道)公共法律服务工作站、1个企业公共法律工作站，247个公共法律服务工作点、2440个志愿点的公共法律服务大格局。247个村(居)配备法律顾问，建立了“桃江县村级法律顾问工作服务群”，实现“掌上法律服务”,覆盖率达到100%，进一步推进公共法律服务实体、热线、网络平台建设，推动融合发展。推进“互联网+公共法律服务”，实现“一网通办”、线上线下无缝衔接。</w:t>
      </w:r>
    </w:p>
    <w:p w14:paraId="766BFF2F">
      <w:pPr>
        <w:overflowPunct w:val="0"/>
        <w:spacing w:line="58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楷体_GB2312" w:cs="Times New Roman"/>
          <w:sz w:val="32"/>
          <w:szCs w:val="32"/>
          <w:lang w:val="en-US" w:eastAsia="zh-CN"/>
        </w:rPr>
        <w:t xml:space="preserve">3. </w:t>
      </w:r>
      <w:r>
        <w:rPr>
          <w:rFonts w:hint="default" w:ascii="Times New Roman" w:hAnsi="Times New Roman" w:eastAsia="楷体_GB2312" w:cs="Times New Roman"/>
          <w:sz w:val="32"/>
          <w:szCs w:val="32"/>
        </w:rPr>
        <w:t>项目绩效目标。</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lang w:eastAsia="zh-CN"/>
        </w:rPr>
        <w:t>公共法律服务</w:t>
      </w:r>
      <w:r>
        <w:rPr>
          <w:rFonts w:ascii="Times New Roman" w:hAnsi="Times New Roman" w:eastAsia="仿宋_GB2312" w:cs="Times New Roman"/>
          <w:sz w:val="32"/>
          <w:szCs w:val="32"/>
        </w:rPr>
        <w:t>经费设立的绩效目标为：通过多平台、多举措的</w:t>
      </w:r>
      <w:r>
        <w:rPr>
          <w:rFonts w:hint="eastAsia" w:ascii="Times New Roman" w:hAnsi="Times New Roman" w:eastAsia="仿宋_GB2312" w:cs="Times New Roman"/>
          <w:sz w:val="32"/>
          <w:szCs w:val="32"/>
        </w:rPr>
        <w:t>费用管理机制</w:t>
      </w:r>
      <w:r>
        <w:rPr>
          <w:rFonts w:ascii="Times New Roman" w:hAnsi="Times New Roman" w:eastAsia="仿宋_GB2312" w:cs="Times New Roman"/>
          <w:sz w:val="32"/>
          <w:szCs w:val="32"/>
        </w:rPr>
        <w:t>，进一步提</w:t>
      </w:r>
      <w:r>
        <w:rPr>
          <w:rFonts w:hint="eastAsia" w:ascii="Times New Roman" w:hAnsi="Times New Roman" w:eastAsia="仿宋_GB2312" w:cs="Times New Roman"/>
          <w:sz w:val="32"/>
          <w:szCs w:val="32"/>
        </w:rPr>
        <w:t>升</w:t>
      </w:r>
      <w:r>
        <w:rPr>
          <w:rFonts w:ascii="Times New Roman" w:hAnsi="Times New Roman" w:eastAsia="仿宋_GB2312" w:cs="Times New Roman"/>
          <w:sz w:val="32"/>
          <w:szCs w:val="32"/>
        </w:rPr>
        <w:t>全县公民的</w:t>
      </w:r>
      <w:r>
        <w:rPr>
          <w:rFonts w:hint="default" w:ascii="Times New Roman" w:hAnsi="Times New Roman" w:eastAsia="仿宋_GB2312" w:cs="Times New Roman"/>
          <w:sz w:val="32"/>
          <w:szCs w:val="32"/>
          <w:lang w:eastAsia="zh-CN"/>
        </w:rPr>
        <w:t>公共法律服务</w:t>
      </w:r>
      <w:r>
        <w:rPr>
          <w:rFonts w:hint="eastAsia" w:ascii="Times New Roman" w:hAnsi="Times New Roman" w:eastAsia="仿宋_GB2312" w:cs="Times New Roman"/>
          <w:sz w:val="32"/>
          <w:szCs w:val="32"/>
        </w:rPr>
        <w:t>意识、</w:t>
      </w:r>
      <w:r>
        <w:rPr>
          <w:rFonts w:ascii="Times New Roman" w:hAnsi="Times New Roman" w:eastAsia="仿宋_GB2312" w:cs="Times New Roman"/>
          <w:sz w:val="32"/>
          <w:szCs w:val="32"/>
        </w:rPr>
        <w:t>全社会的法治化管理水平，为推进“法治桃江”建设营造和谐稳定的社会环境和公正高效的法治环境。</w:t>
      </w:r>
    </w:p>
    <w:p w14:paraId="0EBBB5B1">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二、项目资金使用及管理情况</w:t>
      </w:r>
    </w:p>
    <w:p w14:paraId="0A24564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1. 项目资金使用情况。</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lang w:val="en-US" w:eastAsia="zh-CN"/>
        </w:rPr>
        <w:t>县级财政</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中央和省级政法转移资金30.95万元，</w:t>
      </w:r>
      <w:r>
        <w:rPr>
          <w:rFonts w:hint="default" w:ascii="Times New Roman" w:hAnsi="Times New Roman" w:eastAsia="仿宋_GB2312" w:cs="Times New Roman"/>
          <w:sz w:val="32"/>
          <w:szCs w:val="32"/>
        </w:rPr>
        <w:t>实际到位资金</w:t>
      </w:r>
      <w:r>
        <w:rPr>
          <w:rFonts w:hint="eastAsia" w:ascii="Times New Roman" w:hAnsi="Times New Roman" w:eastAsia="仿宋_GB2312" w:cs="Times New Roman"/>
          <w:sz w:val="32"/>
          <w:szCs w:val="32"/>
          <w:lang w:val="en-US" w:eastAsia="zh-CN"/>
        </w:rPr>
        <w:t>50.95</w:t>
      </w:r>
      <w:r>
        <w:rPr>
          <w:rFonts w:hint="default" w:ascii="Times New Roman" w:hAnsi="Times New Roman" w:eastAsia="仿宋_GB2312" w:cs="Times New Roman"/>
          <w:sz w:val="32"/>
          <w:szCs w:val="32"/>
        </w:rPr>
        <w:t>万元，已全部用于</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执行率</w:t>
      </w:r>
      <w:r>
        <w:rPr>
          <w:rFonts w:hint="default" w:ascii="Times New Roman" w:hAnsi="Times New Roman" w:eastAsia="仿宋_GB2312" w:cs="Times New Roman"/>
          <w:sz w:val="32"/>
          <w:szCs w:val="32"/>
          <w:lang w:val="en-US" w:eastAsia="zh-CN"/>
        </w:rPr>
        <w:t>100%。</w:t>
      </w:r>
    </w:p>
    <w:p w14:paraId="365B61CA">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2. 项目资金管理情况。</w:t>
      </w:r>
      <w:r>
        <w:rPr>
          <w:rFonts w:hint="default" w:ascii="Times New Roman" w:hAnsi="Times New Roman" w:eastAsia="仿宋_GB2312" w:cs="Times New Roman"/>
          <w:sz w:val="32"/>
          <w:szCs w:val="32"/>
          <w:lang w:eastAsia="zh-CN"/>
        </w:rPr>
        <w:t>我局高度重视</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lang w:eastAsia="zh-CN"/>
        </w:rPr>
        <w:t>工作经费的管理，制定经费管理制度，严格按照项目支出的范围、用途依法依规支出，不挤占挪用项目资金。同时，加强对资金的专项清理和检查，对资金使用情况进行自查，提高项目资金使用效益，确保项目资金的安全。</w:t>
      </w:r>
      <w:r>
        <w:rPr>
          <w:rFonts w:hint="default" w:ascii="Times New Roman" w:hAnsi="Times New Roman" w:eastAsia="仿宋_GB2312" w:cs="Times New Roman"/>
          <w:sz w:val="32"/>
          <w:szCs w:val="32"/>
        </w:rPr>
        <w:t>设立专项经费，</w:t>
      </w:r>
      <w:r>
        <w:rPr>
          <w:rFonts w:hint="default" w:ascii="Times New Roman" w:hAnsi="Times New Roman" w:eastAsia="仿宋_GB2312" w:cs="Times New Roman"/>
          <w:sz w:val="32"/>
          <w:szCs w:val="32"/>
          <w:lang w:eastAsia="zh-CN"/>
        </w:rPr>
        <w:t>支出时严格按照财务相关规定，经局财务联审会签小组会审、财务分管领导签字审批同意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财政资金监管人签字同意</w:t>
      </w:r>
      <w:r>
        <w:rPr>
          <w:rFonts w:hint="default" w:ascii="Times New Roman" w:hAnsi="Times New Roman" w:eastAsia="仿宋_GB2312" w:cs="Times New Roman"/>
          <w:sz w:val="32"/>
          <w:szCs w:val="32"/>
          <w:lang w:eastAsia="zh-CN"/>
        </w:rPr>
        <w:t>后，在局财务室报账支出。</w:t>
      </w:r>
    </w:p>
    <w:p w14:paraId="30E23806">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三、项目组织实施情况</w:t>
      </w:r>
    </w:p>
    <w:p w14:paraId="59BE4BA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我局作为“</w:t>
      </w:r>
      <w:r>
        <w:rPr>
          <w:rFonts w:hint="eastAsia" w:ascii="Times New Roman" w:hAnsi="Times New Roman" w:eastAsia="仿宋_GB2312" w:cs="Times New Roman"/>
          <w:color w:val="auto"/>
          <w:sz w:val="32"/>
          <w:szCs w:val="32"/>
          <w:lang w:val="en-US" w:eastAsia="zh-CN"/>
        </w:rPr>
        <w:t>公共法律服务</w:t>
      </w:r>
      <w:r>
        <w:rPr>
          <w:rFonts w:hint="default" w:ascii="Times New Roman" w:hAnsi="Times New Roman" w:eastAsia="仿宋_GB2312" w:cs="Times New Roman"/>
          <w:color w:val="auto"/>
          <w:sz w:val="32"/>
          <w:szCs w:val="32"/>
          <w:lang w:val="en-US" w:eastAsia="zh-CN"/>
        </w:rPr>
        <w:t>经费”项目的管理单位，负责项目整体实施过程的管理和监管，确保项目正常运行；县财政局负责资金的拨付以及预算的审核。</w:t>
      </w:r>
      <w:r>
        <w:rPr>
          <w:rFonts w:ascii="Times New Roman" w:hAnsi="Times New Roman" w:eastAsia="仿宋_GB2312"/>
          <w:color w:val="000000"/>
          <w:sz w:val="32"/>
          <w:szCs w:val="32"/>
        </w:rPr>
        <w:t>我县公共法律服务坚持“专业化、均衡化、便民化”原则，强化服务保障、健全服务平台、整合服务资源、增强服务弹性，在加快建立健全符合县情、覆盖城乡、惠及全民的公共法律服务体系</w:t>
      </w:r>
      <w:r>
        <w:rPr>
          <w:rFonts w:hint="eastAsia" w:ascii="Times New Roman" w:hAnsi="Times New Roman" w:eastAsia="仿宋_GB2312"/>
          <w:color w:val="000000"/>
          <w:sz w:val="32"/>
          <w:szCs w:val="32"/>
          <w:lang w:eastAsia="zh-CN"/>
        </w:rPr>
        <w:t>中</w:t>
      </w:r>
      <w:r>
        <w:rPr>
          <w:rFonts w:ascii="Times New Roman" w:hAnsi="Times New Roman" w:eastAsia="仿宋_GB2312"/>
          <w:color w:val="000000"/>
          <w:sz w:val="32"/>
          <w:szCs w:val="32"/>
        </w:rPr>
        <w:t>取得了一定成效。</w:t>
      </w:r>
      <w:r>
        <w:rPr>
          <w:rFonts w:hint="eastAsia" w:ascii="Times New Roman" w:hAnsi="Times New Roman" w:eastAsia="仿宋_GB2312"/>
          <w:color w:val="000000"/>
          <w:sz w:val="32"/>
          <w:szCs w:val="32"/>
        </w:rPr>
        <w:t xml:space="preserve"> </w:t>
      </w:r>
    </w:p>
    <w:p w14:paraId="53A3166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kern w:val="0"/>
          <w:szCs w:val="32"/>
        </w:rPr>
      </w:pPr>
      <w:r>
        <w:rPr>
          <w:rFonts w:hint="default" w:ascii="Times New Roman" w:hAnsi="Times New Roman" w:eastAsia="黑体" w:cs="Times New Roman"/>
          <w:sz w:val="32"/>
          <w:szCs w:val="32"/>
        </w:rPr>
        <w:t>四、项目绩效情况分析</w:t>
      </w:r>
    </w:p>
    <w:p w14:paraId="10DD9A0E">
      <w:pPr>
        <w:pStyle w:val="2"/>
        <w:keepNext w:val="0"/>
        <w:keepLines w:val="0"/>
        <w:pageBreakBefore w:val="0"/>
        <w:widowControl w:val="0"/>
        <w:kinsoku/>
        <w:wordWrap/>
        <w:overflowPunct/>
        <w:topLinePunct w:val="0"/>
        <w:autoSpaceDE/>
        <w:autoSpaceDN/>
        <w:bidi w:val="0"/>
        <w:adjustRightInd/>
        <w:spacing w:line="580" w:lineRule="exact"/>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2024年，我局</w:t>
      </w:r>
      <w:r>
        <w:rPr>
          <w:rFonts w:hint="eastAsia" w:ascii="仿宋" w:hAnsi="仿宋" w:eastAsia="仿宋" w:cs="仿宋"/>
          <w:i w:val="0"/>
          <w:iCs w:val="0"/>
          <w:caps w:val="0"/>
          <w:color w:val="333333"/>
          <w:spacing w:val="0"/>
          <w:sz w:val="32"/>
          <w:szCs w:val="32"/>
          <w:shd w:val="clear" w:fill="FFFFFF"/>
        </w:rPr>
        <w:t>坚持服务大局，聚焦主责主业，充分履职，以创促新，积极适应新常态、新要求，为建设</w:t>
      </w:r>
      <w:r>
        <w:rPr>
          <w:rFonts w:hint="eastAsia" w:ascii="仿宋" w:hAnsi="仿宋" w:eastAsia="仿宋" w:cs="仿宋"/>
          <w:i w:val="0"/>
          <w:iCs w:val="0"/>
          <w:caps w:val="0"/>
          <w:color w:val="333333"/>
          <w:spacing w:val="0"/>
          <w:sz w:val="32"/>
          <w:szCs w:val="32"/>
          <w:shd w:val="clear" w:fill="FFFFFF"/>
          <w:lang w:eastAsia="zh-CN"/>
        </w:rPr>
        <w:t>“法治桃江”</w:t>
      </w:r>
      <w:r>
        <w:rPr>
          <w:rFonts w:hint="eastAsia" w:ascii="仿宋" w:hAnsi="仿宋" w:eastAsia="仿宋" w:cs="仿宋"/>
          <w:i w:val="0"/>
          <w:iCs w:val="0"/>
          <w:caps w:val="0"/>
          <w:color w:val="333333"/>
          <w:spacing w:val="0"/>
          <w:sz w:val="32"/>
          <w:szCs w:val="32"/>
          <w:shd w:val="clear" w:fill="FFFFFF"/>
        </w:rPr>
        <w:t>提供</w:t>
      </w:r>
      <w:r>
        <w:rPr>
          <w:rFonts w:hint="eastAsia" w:ascii="仿宋" w:hAnsi="仿宋" w:eastAsia="仿宋" w:cs="仿宋"/>
          <w:i w:val="0"/>
          <w:iCs w:val="0"/>
          <w:caps w:val="0"/>
          <w:color w:val="333333"/>
          <w:spacing w:val="0"/>
          <w:sz w:val="32"/>
          <w:szCs w:val="32"/>
          <w:shd w:val="clear" w:fill="FFFFFF"/>
          <w:lang w:eastAsia="zh-CN"/>
        </w:rPr>
        <w:t>了</w:t>
      </w:r>
      <w:r>
        <w:rPr>
          <w:rFonts w:hint="eastAsia" w:ascii="仿宋" w:hAnsi="仿宋" w:eastAsia="仿宋" w:cs="仿宋"/>
          <w:i w:val="0"/>
          <w:iCs w:val="0"/>
          <w:caps w:val="0"/>
          <w:color w:val="333333"/>
          <w:spacing w:val="0"/>
          <w:sz w:val="32"/>
          <w:szCs w:val="32"/>
          <w:shd w:val="clear" w:fill="FFFFFF"/>
        </w:rPr>
        <w:t>良好的法律服务</w:t>
      </w:r>
      <w:r>
        <w:rPr>
          <w:rFonts w:hint="eastAsia" w:ascii="仿宋" w:hAnsi="仿宋" w:eastAsia="仿宋" w:cs="仿宋"/>
          <w:i w:val="0"/>
          <w:iCs w:val="0"/>
          <w:caps w:val="0"/>
          <w:color w:val="333333"/>
          <w:spacing w:val="0"/>
          <w:sz w:val="32"/>
          <w:szCs w:val="32"/>
          <w:shd w:val="clear" w:fill="FFFFFF"/>
          <w:lang w:eastAsia="zh-CN"/>
        </w:rPr>
        <w:t>。</w:t>
      </w:r>
      <w:r>
        <w:rPr>
          <w:rFonts w:hint="eastAsia" w:ascii="Times New Roman" w:hAnsi="Times New Roman" w:eastAsia="仿宋_GB2312" w:cs="Times New Roman"/>
          <w:color w:val="000000"/>
          <w:sz w:val="32"/>
          <w:szCs w:val="32"/>
          <w:lang w:eastAsia="zh-CN"/>
        </w:rPr>
        <w:t>现将今年来的工作汇报如下：</w:t>
      </w:r>
    </w:p>
    <w:p w14:paraId="174DF4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hAnsi="仿宋_GB2312" w:eastAsia="仿宋_GB2312" w:cs="仿宋_GB2312"/>
          <w:b w:val="0"/>
          <w:bCs w:val="0"/>
          <w:color w:val="000000"/>
          <w:sz w:val="32"/>
          <w:szCs w:val="32"/>
          <w:lang w:val="en-US" w:eastAsia="zh-CN"/>
        </w:rPr>
      </w:pPr>
      <w:r>
        <w:rPr>
          <w:rFonts w:hint="eastAsia" w:hAnsi="仿宋_GB2312" w:eastAsia="仿宋_GB2312" w:cs="仿宋_GB2312"/>
          <w:b/>
          <w:bCs/>
          <w:color w:val="000000"/>
          <w:sz w:val="32"/>
          <w:szCs w:val="32"/>
          <w:lang w:val="en-US" w:eastAsia="zh-CN"/>
        </w:rPr>
        <w:t>一是提升法律服务质效。</w:t>
      </w:r>
      <w:r>
        <w:rPr>
          <w:rFonts w:hint="eastAsia" w:hAnsi="仿宋_GB2312" w:eastAsia="仿宋_GB2312" w:cs="仿宋_GB2312"/>
          <w:b w:val="0"/>
          <w:bCs w:val="0"/>
          <w:color w:val="000000"/>
          <w:sz w:val="32"/>
          <w:szCs w:val="32"/>
          <w:lang w:val="en-US" w:eastAsia="zh-CN"/>
        </w:rPr>
        <w:t>加强公共法律服务组织领导，局领导每月不定时开展监督检查，现场坐班参与法律援助服务工作。开展“法润三湘”公共法律服务志愿活动，针对重点人群开展“法援护苗”“法援惠民生，助力农民工”等公共法律服务品牌宣传活动6次。大力运用省、县两级互联网+政务服务平台，全力推进“一件事一次办”，累计受理服务400余次。开展“送法进机关”“送法进企业”活动，帮助企业有效防范风险，以法治促进企业高质量发展。</w:t>
      </w:r>
      <w:r>
        <w:rPr>
          <w:rFonts w:hint="eastAsia" w:ascii="仿宋_GB2312" w:hAnsi="仿宋_GB2312" w:eastAsia="仿宋_GB2312" w:cs="仿宋_GB2312"/>
          <w:sz w:val="32"/>
          <w:szCs w:val="32"/>
          <w:lang w:val="en-US" w:eastAsia="zh-CN"/>
        </w:rPr>
        <w:t>2024年以来，</w:t>
      </w:r>
      <w:r>
        <w:rPr>
          <w:rFonts w:hint="eastAsia" w:ascii="仿宋_GB2312" w:hAnsi="仿宋_GB2312" w:eastAsia="仿宋_GB2312" w:cs="仿宋_GB2312"/>
          <w:sz w:val="32"/>
          <w:szCs w:val="32"/>
          <w:lang w:eastAsia="zh-CN"/>
        </w:rPr>
        <w:t>共受理法律援助案件</w:t>
      </w: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lang w:eastAsia="zh-CN"/>
        </w:rPr>
        <w:t>起，含民事</w:t>
      </w:r>
      <w:r>
        <w:rPr>
          <w:rFonts w:hint="eastAsia" w:ascii="仿宋_GB2312" w:hAnsi="仿宋_GB2312" w:eastAsia="仿宋_GB2312" w:cs="仿宋_GB2312"/>
          <w:sz w:val="32"/>
          <w:szCs w:val="32"/>
          <w:lang w:val="en-US" w:eastAsia="zh-CN"/>
        </w:rPr>
        <w:t>157起</w:t>
      </w:r>
      <w:r>
        <w:rPr>
          <w:rFonts w:hint="eastAsia" w:ascii="仿宋_GB2312" w:hAnsi="仿宋_GB2312" w:eastAsia="仿宋_GB2312" w:cs="仿宋_GB2312"/>
          <w:sz w:val="32"/>
          <w:szCs w:val="32"/>
          <w:lang w:eastAsia="zh-CN"/>
        </w:rPr>
        <w:t>、刑事</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lang w:eastAsia="zh-CN"/>
        </w:rPr>
        <w:t>起、行政案件</w:t>
      </w:r>
      <w:r>
        <w:rPr>
          <w:rFonts w:hint="eastAsia" w:ascii="仿宋_GB2312" w:hAnsi="仿宋_GB2312" w:eastAsia="仿宋_GB2312" w:cs="仿宋_GB2312"/>
          <w:sz w:val="32"/>
          <w:szCs w:val="32"/>
          <w:lang w:val="en-US" w:eastAsia="zh-CN"/>
        </w:rPr>
        <w:t>4起</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援助未成年人90人次、妇女74人次、老年人42人次、农民工69人次、残疾人17人次，</w:t>
      </w:r>
      <w:r>
        <w:rPr>
          <w:rFonts w:hint="eastAsia" w:hAnsi="仿宋_GB2312" w:eastAsia="仿宋_GB2312" w:cs="仿宋_GB2312"/>
          <w:b w:val="0"/>
          <w:bCs w:val="0"/>
          <w:color w:val="000000"/>
          <w:sz w:val="32"/>
          <w:szCs w:val="32"/>
          <w:lang w:val="en-US" w:eastAsia="zh-CN"/>
        </w:rPr>
        <w:t>持续开展农民工、残疾人等弱势群体和军人军属法律援助专项活动，做到“应援尽援”。</w:t>
      </w:r>
    </w:p>
    <w:p w14:paraId="0DA2B0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二是全力保障民生福祉。</w:t>
      </w:r>
      <w:r>
        <w:rPr>
          <w:rFonts w:hint="eastAsia" w:ascii="Times New Roman" w:hAnsi="Times New Roman" w:eastAsia="仿宋_GB2312" w:cs="Times New Roman"/>
          <w:color w:val="auto"/>
          <w:sz w:val="32"/>
          <w:szCs w:val="32"/>
          <w:lang w:val="en-US" w:eastAsia="zh-CN"/>
        </w:rPr>
        <w:t>2024年县司法局的重点民生实事法律援助项目任务数为229件，实际共受理民事、刑事、行政类案件322件，超额完成全年目标任务。网络平台、实体窗口、热线电话“三大平台”为群众提供法律咨询服务2000余件，群众满意度100%。制定《2024年度双随机一公开监管抽查工作计划》，对各律所、法律服务所、司法鉴定机构开展执业检查，公布投诉举报电话，全年零投诉。</w:t>
      </w:r>
    </w:p>
    <w:p w14:paraId="0B6F89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三是强化行业日常监管。</w:t>
      </w:r>
      <w:r>
        <w:rPr>
          <w:rFonts w:hint="eastAsia" w:ascii="Times New Roman" w:hAnsi="Times New Roman" w:eastAsia="仿宋_GB2312" w:cs="Times New Roman"/>
          <w:b w:val="0"/>
          <w:bCs w:val="0"/>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对县内2家律所、6家基层法律服务所和24名基层法律服务工作者完成年度考核初审工作，指导两家司法鉴定所开展司法鉴定诚信登记评估工作，全面提升基层法律服务质量和公信力，公证业务保持平稳增长，全年办理公证事项1271件，两家司法鉴定所办结司法鉴定820件。</w:t>
      </w:r>
    </w:p>
    <w:p w14:paraId="4186A8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三是</w:t>
      </w:r>
      <w:r>
        <w:rPr>
          <w:rFonts w:hint="eastAsia" w:ascii="仿宋_GB2312" w:hAnsi="仿宋_GB2312" w:eastAsia="仿宋_GB2312" w:cs="仿宋_GB2312"/>
          <w:b/>
          <w:bCs/>
          <w:kern w:val="0"/>
          <w:sz w:val="32"/>
          <w:szCs w:val="32"/>
          <w:lang w:val="en-US" w:eastAsia="zh-CN" w:bidi="ar-SA"/>
        </w:rPr>
        <w:t>线上+线下同步推进，构建便民网络。</w:t>
      </w:r>
      <w:r>
        <w:rPr>
          <w:rFonts w:hint="eastAsia" w:ascii="仿宋_GB2312" w:hAnsi="仿宋_GB2312" w:eastAsia="仿宋_GB2312" w:cs="仿宋_GB2312"/>
          <w:sz w:val="32"/>
          <w:szCs w:val="32"/>
          <w:lang w:val="en-US" w:eastAsia="zh-CN"/>
        </w:rPr>
        <w:t>法援中心积极开展法律咨询服务工作，通过线上、线下相结合的方式，满足群众多元化的法律服务需求，完善便民利民措施。2024年以来，法援中心窗口提供各类法律咨询服务523余件；同时通过使用湖南省“智慧法援”平台，对线上咨询进行回复；中心工作人员保障值班电话24小时处于畅通状态，共计解答来电咨询721余件，确保群众满意度100%。</w:t>
      </w:r>
    </w:p>
    <w:p w14:paraId="334DC1EE">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580" w:lineRule="exact"/>
        <w:ind w:firstLine="643" w:firstLineChars="200"/>
        <w:jc w:val="both"/>
        <w:textAlignment w:val="baseline"/>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b/>
          <w:bCs/>
          <w:color w:val="auto"/>
          <w:sz w:val="32"/>
          <w:szCs w:val="32"/>
          <w:lang w:val="en-US" w:eastAsia="zh-CN"/>
        </w:rPr>
        <w:t>四是</w:t>
      </w:r>
      <w:r>
        <w:rPr>
          <w:rFonts w:hint="eastAsia" w:ascii="仿宋_GB2312" w:hAnsi="仿宋_GB2312" w:eastAsia="仿宋_GB2312" w:cs="仿宋_GB2312"/>
          <w:b/>
          <w:bCs/>
          <w:sz w:val="32"/>
          <w:szCs w:val="32"/>
          <w:lang w:val="en-US" w:eastAsia="zh-CN"/>
        </w:rPr>
        <w:t>强化案件质量审查，提升援助案件质量</w:t>
      </w:r>
      <w:r>
        <w:rPr>
          <w:rFonts w:hint="eastAsia"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一方面加强申请人资格审查，确保案件受理公正；另一方面对法律援助人员所提交的案卷进行严格把关，详化审查内容和评分制度，对优秀案卷给予表扬，不合格案件予以退回处理，并及时发放案件补贴，做好案件回访工作。2024年以来，</w:t>
      </w:r>
      <w:r>
        <w:rPr>
          <w:rFonts w:hint="eastAsia" w:ascii="仿宋" w:hAnsi="仿宋" w:eastAsia="仿宋" w:cs="仿宋"/>
          <w:sz w:val="32"/>
          <w:szCs w:val="32"/>
          <w:lang w:val="en-US" w:eastAsia="zh-CN"/>
        </w:rPr>
        <w:t>发放案件补贴共计38.74万元，</w:t>
      </w:r>
      <w:r>
        <w:rPr>
          <w:rFonts w:hint="eastAsia" w:ascii="仿宋_GB2312" w:hAnsi="仿宋_GB2312" w:eastAsia="仿宋_GB2312" w:cs="仿宋_GB2312"/>
          <w:sz w:val="32"/>
          <w:szCs w:val="32"/>
          <w:lang w:val="en-US" w:eastAsia="zh-CN"/>
        </w:rPr>
        <w:t>结案率远超过上级部门要求，案件回访满意度100%，确保案件质量有效提升。</w:t>
      </w:r>
    </w:p>
    <w:p w14:paraId="69BB0D5B">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五、绩效评价工作开展情况</w:t>
      </w:r>
    </w:p>
    <w:p w14:paraId="7C90483A">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（一）绩效评价目的</w:t>
      </w:r>
    </w:p>
    <w:p w14:paraId="3C9451C2">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通过开展项目绩效评价，了解并准确估计</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度</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经费绩效水平，认真查验经费使用是否合理科学高效，进一步规范我</w:t>
      </w:r>
      <w:r>
        <w:rPr>
          <w:rFonts w:hint="default"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经费</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管理和使用，确保经费合理高效使用。同时，总结经费预算编制、执行、管理的经验，建立科学的绩效管理制度，为今后</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经费预算、执行提供有效参考。</w:t>
      </w:r>
    </w:p>
    <w:p w14:paraId="33613CB5">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（二）绩效评价过程</w:t>
      </w:r>
    </w:p>
    <w:p w14:paraId="391F7C78">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我们对</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经费项目评价进行了前期准备，对一年来的项目资金使用情况进行了梳理和讨论。通过年度工作要点，对全年</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工作需要达成的目标进行细</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，设置科学合理的绩效评价指标体系。逐项对照设置的评价指标，核查完成情况，并进行评价打分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核查报销经费</w:t>
      </w:r>
      <w:r>
        <w:rPr>
          <w:rFonts w:hint="default" w:ascii="Times New Roman" w:hAnsi="Times New Roman" w:eastAsia="仿宋_GB2312" w:cs="Times New Roman"/>
          <w:sz w:val="32"/>
          <w:szCs w:val="32"/>
          <w:lang w:eastAsia="zh-CN"/>
        </w:rPr>
        <w:t>账目</w:t>
      </w:r>
      <w:r>
        <w:rPr>
          <w:rFonts w:hint="default" w:ascii="Times New Roman" w:hAnsi="Times New Roman" w:eastAsia="仿宋_GB2312" w:cs="Times New Roman"/>
          <w:sz w:val="32"/>
          <w:szCs w:val="32"/>
        </w:rPr>
        <w:t>，重点核查有无经费挪用、乱用、虚报情况，有无报销审批程序不规范等问题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查情况，形成绩效评价报告。</w:t>
      </w:r>
    </w:p>
    <w:p w14:paraId="41F5570F">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分析认为：</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rPr>
        <w:t>经费在使用上符合财政部门的要求，在资金的使用过程中不存在违纪违规问题，自评结果为优良。</w:t>
      </w:r>
    </w:p>
    <w:p w14:paraId="53CFDDD5">
      <w:pPr>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六、存在的问题及</w:t>
      </w:r>
      <w:r>
        <w:rPr>
          <w:rFonts w:hint="eastAsia" w:ascii="Times New Roman" w:hAnsi="Times New Roman" w:eastAsia="黑体" w:cs="Times New Roman"/>
          <w:sz w:val="32"/>
          <w:szCs w:val="32"/>
          <w:lang w:eastAsia="zh-CN"/>
        </w:rPr>
        <w:t>改进措施</w:t>
      </w:r>
    </w:p>
    <w:p w14:paraId="690B8547">
      <w:pPr>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我县</w:t>
      </w:r>
      <w:r>
        <w:rPr>
          <w:rFonts w:hint="eastAsia" w:ascii="Times New Roman" w:hAnsi="Times New Roman" w:eastAsia="仿宋_GB2312" w:cs="Times New Roman"/>
          <w:sz w:val="32"/>
          <w:szCs w:val="32"/>
          <w:lang w:val="en-US" w:eastAsia="zh-CN"/>
        </w:rPr>
        <w:t>公共法律服务</w:t>
      </w:r>
      <w:r>
        <w:rPr>
          <w:rFonts w:hint="default" w:ascii="Times New Roman" w:hAnsi="Times New Roman" w:eastAsia="仿宋_GB2312" w:cs="Times New Roman"/>
          <w:sz w:val="32"/>
          <w:szCs w:val="32"/>
          <w:lang w:val="en-US" w:eastAsia="zh-CN"/>
        </w:rPr>
        <w:t>工作亮点纷呈、成效显著，为全县经济社会发展、社会和谐稳定营造了良好的法治环境、提供了坚实的法治保障。但在总结成绩的同时，我们也清醒地认识到与上级和广大人民群众的要求还存在差距与不足。</w:t>
      </w:r>
    </w:p>
    <w:p w14:paraId="4E6550CD">
      <w:pPr>
        <w:spacing w:line="600" w:lineRule="exact"/>
        <w:ind w:firstLine="640" w:firstLineChars="200"/>
        <w:rPr>
          <w:rFonts w:hint="eastAsia" w:ascii="仿宋" w:hAnsi="仿宋" w:eastAsia="仿宋" w:cs="仿宋"/>
          <w:color w:val="auto"/>
          <w:sz w:val="32"/>
          <w:szCs w:val="32"/>
        </w:rPr>
      </w:pPr>
      <w:r>
        <w:rPr>
          <w:rFonts w:hint="default" w:ascii="Times New Roman" w:hAnsi="Times New Roman" w:eastAsia="仿宋_GB2312" w:cs="Times New Roman"/>
          <w:color w:val="auto"/>
          <w:sz w:val="32"/>
          <w:szCs w:val="32"/>
          <w:lang w:val="en-US" w:eastAsia="zh-CN"/>
        </w:rPr>
        <w:t>1. 存在的问题：</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lang w:val="en-US" w:eastAsia="zh-CN"/>
        </w:rPr>
        <w:t>公共法律服务</w:t>
      </w:r>
      <w:r>
        <w:rPr>
          <w:rFonts w:ascii="Times New Roman" w:hAnsi="Times New Roman" w:eastAsia="仿宋_GB2312" w:cs="Times New Roman"/>
          <w:sz w:val="32"/>
          <w:szCs w:val="32"/>
        </w:rPr>
        <w:t>经费项目，完成了</w:t>
      </w:r>
      <w:r>
        <w:rPr>
          <w:rFonts w:hint="eastAsia" w:ascii="Times New Roman" w:hAnsi="Times New Roman" w:eastAsia="仿宋_GB2312" w:cs="Times New Roman"/>
          <w:sz w:val="32"/>
          <w:szCs w:val="32"/>
          <w:lang w:eastAsia="zh-CN"/>
        </w:rPr>
        <w:t>2024年</w:t>
      </w:r>
      <w:r>
        <w:rPr>
          <w:rFonts w:ascii="Times New Roman" w:hAnsi="Times New Roman" w:eastAsia="仿宋_GB2312" w:cs="Times New Roman"/>
          <w:sz w:val="32"/>
          <w:szCs w:val="32"/>
        </w:rPr>
        <w:t>度</w:t>
      </w:r>
      <w:r>
        <w:rPr>
          <w:rFonts w:ascii="Times New Roman" w:hAnsi="Times New Roman" w:eastAsia="仿宋_GB2312"/>
          <w:color w:val="000000"/>
          <w:kern w:val="0"/>
          <w:sz w:val="32"/>
          <w:szCs w:val="32"/>
          <w:shd w:val="clear" w:color="auto" w:fill="FFFFFF"/>
        </w:rPr>
        <w:t>公共法律服务</w:t>
      </w:r>
      <w:r>
        <w:rPr>
          <w:rFonts w:ascii="Times New Roman" w:hAnsi="Times New Roman" w:eastAsia="仿宋_GB2312" w:cs="Times New Roman"/>
          <w:sz w:val="32"/>
          <w:szCs w:val="32"/>
        </w:rPr>
        <w:t>工作，实现了预定的绩效目标，明显提高了我县</w:t>
      </w:r>
      <w:r>
        <w:rPr>
          <w:rFonts w:ascii="Times New Roman" w:hAnsi="Times New Roman" w:eastAsia="仿宋_GB2312"/>
          <w:color w:val="000000"/>
          <w:kern w:val="0"/>
          <w:sz w:val="32"/>
          <w:szCs w:val="32"/>
          <w:shd w:val="clear" w:color="auto" w:fill="FFFFFF"/>
        </w:rPr>
        <w:t>公共法律服务</w:t>
      </w:r>
      <w:r>
        <w:rPr>
          <w:rFonts w:ascii="Times New Roman" w:hAnsi="Times New Roman" w:eastAsia="仿宋_GB2312" w:cs="Times New Roman"/>
          <w:sz w:val="32"/>
          <w:szCs w:val="32"/>
        </w:rPr>
        <w:t>工作的水平，在</w:t>
      </w: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推进法治桃江进程、维护社会和谐稳定中发挥了重要作用。</w:t>
      </w:r>
      <w:r>
        <w:rPr>
          <w:rFonts w:hint="eastAsia" w:ascii="Times New Roman" w:hAnsi="Times New Roman" w:eastAsia="仿宋_GB2312" w:cs="Times New Roman"/>
          <w:sz w:val="32"/>
          <w:szCs w:val="32"/>
        </w:rPr>
        <w:t>但</w:t>
      </w:r>
      <w:r>
        <w:rPr>
          <w:rFonts w:ascii="Times New Roman" w:hAnsi="Times New Roman" w:eastAsia="仿宋_GB2312"/>
          <w:color w:val="auto"/>
          <w:kern w:val="0"/>
          <w:sz w:val="32"/>
          <w:szCs w:val="32"/>
          <w:shd w:val="clear" w:color="auto" w:fill="FFFFFF"/>
        </w:rPr>
        <w:t>公共法律服务经费不足</w:t>
      </w:r>
      <w:r>
        <w:rPr>
          <w:rFonts w:hint="eastAsia" w:ascii="Times New Roman" w:hAnsi="Times New Roman" w:eastAsia="仿宋_GB2312"/>
          <w:color w:val="auto"/>
          <w:kern w:val="0"/>
          <w:sz w:val="32"/>
          <w:szCs w:val="32"/>
          <w:shd w:val="clear" w:color="auto" w:fill="FFFFFF"/>
        </w:rPr>
        <w:t>、</w:t>
      </w:r>
      <w:r>
        <w:rPr>
          <w:rFonts w:ascii="Times New Roman" w:hAnsi="Times New Roman" w:eastAsia="仿宋_GB2312"/>
          <w:color w:val="auto"/>
          <w:kern w:val="0"/>
          <w:sz w:val="32"/>
          <w:szCs w:val="32"/>
          <w:shd w:val="clear" w:color="auto" w:fill="FFFFFF"/>
        </w:rPr>
        <w:t>公共法律服务资源不足</w:t>
      </w:r>
      <w:r>
        <w:rPr>
          <w:rFonts w:hint="eastAsia" w:ascii="Times New Roman" w:hAnsi="Times New Roman" w:eastAsia="仿宋_GB2312"/>
          <w:color w:val="auto"/>
          <w:kern w:val="0"/>
          <w:sz w:val="32"/>
          <w:szCs w:val="32"/>
          <w:shd w:val="clear" w:color="auto" w:fill="FFFFFF"/>
        </w:rPr>
        <w:t>、</w:t>
      </w:r>
      <w:r>
        <w:rPr>
          <w:rFonts w:ascii="Times New Roman" w:hAnsi="Times New Roman" w:eastAsia="仿宋_GB2312"/>
          <w:color w:val="auto"/>
          <w:kern w:val="0"/>
          <w:sz w:val="32"/>
          <w:szCs w:val="32"/>
          <w:shd w:val="clear" w:color="auto" w:fill="FFFFFF"/>
        </w:rPr>
        <w:t>公共法律服务站点社会知晓率不高</w:t>
      </w:r>
      <w:r>
        <w:rPr>
          <w:rFonts w:hint="eastAsia" w:ascii="Times New Roman" w:hAnsi="Times New Roman" w:eastAsia="仿宋_GB2312"/>
          <w:color w:val="auto"/>
          <w:kern w:val="0"/>
          <w:sz w:val="32"/>
          <w:szCs w:val="32"/>
          <w:shd w:val="clear" w:color="auto" w:fill="FFFFFF"/>
        </w:rPr>
        <w:t>、</w:t>
      </w:r>
      <w:r>
        <w:rPr>
          <w:rFonts w:ascii="Times New Roman" w:hAnsi="Times New Roman" w:eastAsia="仿宋_GB2312"/>
          <w:color w:val="auto"/>
          <w:kern w:val="0"/>
          <w:sz w:val="32"/>
          <w:szCs w:val="32"/>
          <w:shd w:val="clear" w:color="auto" w:fill="FFFFFF"/>
        </w:rPr>
        <w:t>公共法律服务中心安全保障有待加强</w:t>
      </w:r>
      <w:r>
        <w:rPr>
          <w:rFonts w:hint="eastAsia" w:ascii="Times New Roman" w:hAnsi="Times New Roman" w:eastAsia="仿宋_GB2312"/>
          <w:color w:val="auto"/>
          <w:kern w:val="0"/>
          <w:sz w:val="32"/>
          <w:szCs w:val="32"/>
          <w:shd w:val="clear" w:color="auto" w:fill="FFFFFF"/>
        </w:rPr>
        <w:t>。</w:t>
      </w:r>
    </w:p>
    <w:p w14:paraId="513CAB84">
      <w:pPr>
        <w:pStyle w:val="2"/>
        <w:numPr>
          <w:ilvl w:val="0"/>
          <w:numId w:val="0"/>
        </w:numPr>
        <w:ind w:firstLine="640" w:firstLineChars="200"/>
        <w:rPr>
          <w:rFonts w:hint="eastAsia" w:ascii="仿宋" w:hAnsi="仿宋" w:eastAsia="仿宋" w:cs="仿宋"/>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 </w:t>
      </w:r>
      <w:r>
        <w:rPr>
          <w:rFonts w:hint="eastAsia" w:ascii="Times New Roman" w:hAnsi="Times New Roman" w:eastAsia="仿宋_GB2312" w:cs="Times New Roman"/>
          <w:color w:val="auto"/>
          <w:sz w:val="32"/>
          <w:szCs w:val="32"/>
          <w:lang w:val="en-US" w:eastAsia="zh-CN"/>
        </w:rPr>
        <w:t>改进措施</w:t>
      </w:r>
      <w:r>
        <w:rPr>
          <w:rFonts w:hint="default" w:ascii="Times New Roman" w:hAnsi="Times New Roman" w:eastAsia="仿宋_GB2312" w:cs="Times New Roman"/>
          <w:color w:val="auto"/>
          <w:sz w:val="32"/>
          <w:szCs w:val="32"/>
          <w:lang w:val="en-US" w:eastAsia="zh-CN"/>
        </w:rPr>
        <w:t>：</w:t>
      </w:r>
      <w:r>
        <w:rPr>
          <w:rFonts w:hint="eastAsia" w:ascii="仿宋" w:hAnsi="仿宋" w:eastAsia="仿宋" w:cs="仿宋"/>
          <w:sz w:val="32"/>
          <w:szCs w:val="32"/>
          <w:lang w:val="en-US" w:eastAsia="zh-CN"/>
        </w:rPr>
        <w:t>认真组织抓好湖南省律师事务所规范化建设，在2024年年底按承诺时间按质按量完成工作目标，辖区两家律师事务所建成合格所。高质量开展法律援助案件质量案卷评查活动，进一步强化案件质量管理，提升法律援助案件办理优良率。对司法鉴定机构开展“双随机一公开”检查工作，督促司法鉴定机构规范开展资质认定、能力验证等工作。加强重点群体法律援助工作，持续开展“法润三湘”公共法律服务品牌专项活动，重点保障特殊群体合法权益。</w:t>
      </w:r>
    </w:p>
    <w:p w14:paraId="24EF3402">
      <w:pPr>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其他需要说明的问题</w:t>
      </w:r>
    </w:p>
    <w:p w14:paraId="461D1A61">
      <w:pPr>
        <w:pStyle w:val="4"/>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cs="Times New Roman"/>
          <w:lang w:eastAsia="zh-CN"/>
        </w:rPr>
      </w:pPr>
      <w:r>
        <w:rPr>
          <w:rFonts w:hint="default" w:ascii="Times New Roman" w:hAnsi="Times New Roman" w:cs="Times New Roman"/>
          <w:lang w:eastAsia="zh-CN"/>
        </w:rPr>
        <w:t>无</w:t>
      </w:r>
    </w:p>
    <w:p w14:paraId="30ED9E94">
      <w:pPr>
        <w:keepNext w:val="0"/>
        <w:keepLines w:val="0"/>
        <w:pageBreakBefore w:val="0"/>
        <w:kinsoku/>
        <w:wordWrap/>
        <w:topLinePunct w:val="0"/>
        <w:autoSpaceDE/>
        <w:autoSpaceDN/>
        <w:bidi w:val="0"/>
        <w:adjustRightInd/>
        <w:snapToGrid/>
        <w:spacing w:line="580" w:lineRule="exact"/>
        <w:jc w:val="both"/>
        <w:textAlignment w:val="auto"/>
        <w:rPr>
          <w:rFonts w:hint="default" w:ascii="Times New Roman" w:hAnsi="Times New Roman" w:cs="Times New Roman"/>
          <w:lang w:eastAsia="zh-CN"/>
        </w:rPr>
      </w:pPr>
    </w:p>
    <w:p w14:paraId="61167C77">
      <w:pPr>
        <w:pStyle w:val="4"/>
        <w:keepNext w:val="0"/>
        <w:keepLines w:val="0"/>
        <w:pageBreakBefore w:val="0"/>
        <w:kinsoku/>
        <w:wordWrap/>
        <w:topLinePunct w:val="0"/>
        <w:autoSpaceDE/>
        <w:autoSpaceDN/>
        <w:bidi w:val="0"/>
        <w:adjustRightInd/>
        <w:snapToGrid/>
        <w:spacing w:line="580" w:lineRule="exact"/>
        <w:ind w:firstLine="6400" w:firstLineChars="2000"/>
        <w:jc w:val="both"/>
        <w:textAlignment w:val="auto"/>
        <w:rPr>
          <w:rFonts w:hint="default" w:ascii="Times New Roman" w:hAnsi="Times New Roman" w:cs="Times New Roman"/>
          <w:lang w:eastAsia="zh-CN"/>
        </w:rPr>
      </w:pPr>
    </w:p>
    <w:p w14:paraId="0822AF4E">
      <w:pPr>
        <w:pStyle w:val="4"/>
        <w:keepNext w:val="0"/>
        <w:keepLines w:val="0"/>
        <w:pageBreakBefore w:val="0"/>
        <w:kinsoku/>
        <w:wordWrap/>
        <w:topLinePunct w:val="0"/>
        <w:autoSpaceDE/>
        <w:autoSpaceDN/>
        <w:bidi w:val="0"/>
        <w:adjustRightInd/>
        <w:snapToGrid/>
        <w:spacing w:line="580" w:lineRule="exact"/>
        <w:ind w:firstLine="6400" w:firstLineChars="2000"/>
        <w:jc w:val="both"/>
        <w:textAlignment w:val="auto"/>
        <w:rPr>
          <w:rFonts w:hint="default" w:ascii="Times New Roman" w:hAnsi="Times New Roman" w:cs="Times New Roman"/>
          <w:lang w:eastAsia="zh-CN"/>
        </w:rPr>
      </w:pPr>
    </w:p>
    <w:p w14:paraId="193A91D2">
      <w:pPr>
        <w:pStyle w:val="4"/>
        <w:keepNext w:val="0"/>
        <w:keepLines w:val="0"/>
        <w:pageBreakBefore w:val="0"/>
        <w:kinsoku/>
        <w:wordWrap/>
        <w:topLinePunct w:val="0"/>
        <w:autoSpaceDE/>
        <w:autoSpaceDN/>
        <w:bidi w:val="0"/>
        <w:adjustRightInd/>
        <w:snapToGrid/>
        <w:spacing w:line="580" w:lineRule="exact"/>
        <w:ind w:firstLine="6720" w:firstLineChars="2100"/>
        <w:jc w:val="both"/>
        <w:textAlignment w:val="auto"/>
        <w:rPr>
          <w:rFonts w:hint="default" w:ascii="Times New Roman" w:hAnsi="Times New Roman" w:cs="Times New Roman"/>
          <w:lang w:eastAsia="zh-CN"/>
        </w:rPr>
      </w:pPr>
      <w:r>
        <w:rPr>
          <w:rFonts w:hint="default" w:ascii="Times New Roman" w:hAnsi="Times New Roman" w:cs="Times New Roman"/>
          <w:lang w:eastAsia="zh-CN"/>
        </w:rPr>
        <w:t>桃江县司法局</w:t>
      </w:r>
    </w:p>
    <w:p w14:paraId="28B0A079">
      <w:pPr>
        <w:pStyle w:val="4"/>
        <w:keepNext w:val="0"/>
        <w:keepLines w:val="0"/>
        <w:pageBreakBefore w:val="0"/>
        <w:kinsoku/>
        <w:wordWrap/>
        <w:topLinePunct w:val="0"/>
        <w:autoSpaceDE/>
        <w:autoSpaceDN/>
        <w:bidi w:val="0"/>
        <w:adjustRightInd/>
        <w:snapToGrid/>
        <w:spacing w:line="580" w:lineRule="exact"/>
        <w:ind w:firstLine="6400" w:firstLineChars="20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3</w:t>
      </w:r>
      <w:bookmarkStart w:id="0" w:name="_GoBack"/>
      <w:bookmarkEnd w:id="0"/>
      <w:r>
        <w:rPr>
          <w:rFonts w:hint="default" w:ascii="Times New Roman" w:hAnsi="Times New Roman" w:cs="Times New Roman"/>
          <w:lang w:val="en-US" w:eastAsia="zh-CN"/>
        </w:rPr>
        <w:t>月</w:t>
      </w:r>
      <w:r>
        <w:rPr>
          <w:rFonts w:hint="eastAsia" w:ascii="Times New Roman" w:hAnsi="Times New Roman" w:cs="Times New Roman"/>
          <w:lang w:val="en-US" w:eastAsia="zh-CN"/>
        </w:rPr>
        <w:t>5</w:t>
      </w:r>
      <w:r>
        <w:rPr>
          <w:rFonts w:hint="default" w:ascii="Times New Roman" w:hAnsi="Times New Roman" w:cs="Times New Roman"/>
          <w:lang w:val="en-US" w:eastAsia="zh-CN"/>
        </w:rPr>
        <w:t>日</w:t>
      </w:r>
    </w:p>
    <w:sectPr>
      <w:pgSz w:w="11906" w:h="16838"/>
      <w:pgMar w:top="1814" w:right="1361" w:bottom="1587" w:left="1644"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mIzNzZhZDNhNzA4YmM0OGM4NDNkZmU3NDEyOTgifQ=="/>
  </w:docVars>
  <w:rsids>
    <w:rsidRoot w:val="003E252D"/>
    <w:rsid w:val="00026277"/>
    <w:rsid w:val="00032E83"/>
    <w:rsid w:val="00041C45"/>
    <w:rsid w:val="00060E9A"/>
    <w:rsid w:val="00084BAB"/>
    <w:rsid w:val="000B1470"/>
    <w:rsid w:val="000F698A"/>
    <w:rsid w:val="00111C10"/>
    <w:rsid w:val="00114351"/>
    <w:rsid w:val="001445AD"/>
    <w:rsid w:val="00144CF1"/>
    <w:rsid w:val="001618E4"/>
    <w:rsid w:val="001B0A91"/>
    <w:rsid w:val="001B3749"/>
    <w:rsid w:val="001B4E8D"/>
    <w:rsid w:val="001E10C6"/>
    <w:rsid w:val="00236645"/>
    <w:rsid w:val="00252DBD"/>
    <w:rsid w:val="00264517"/>
    <w:rsid w:val="00290C87"/>
    <w:rsid w:val="002C436B"/>
    <w:rsid w:val="002C608E"/>
    <w:rsid w:val="002E6347"/>
    <w:rsid w:val="002F0E69"/>
    <w:rsid w:val="00316A2D"/>
    <w:rsid w:val="003374A5"/>
    <w:rsid w:val="00347146"/>
    <w:rsid w:val="00353272"/>
    <w:rsid w:val="0036185F"/>
    <w:rsid w:val="003D40AA"/>
    <w:rsid w:val="003E252D"/>
    <w:rsid w:val="003E5010"/>
    <w:rsid w:val="004105EC"/>
    <w:rsid w:val="0042330D"/>
    <w:rsid w:val="00425EC5"/>
    <w:rsid w:val="00445778"/>
    <w:rsid w:val="00447809"/>
    <w:rsid w:val="00486AD6"/>
    <w:rsid w:val="004B0EA7"/>
    <w:rsid w:val="004C310B"/>
    <w:rsid w:val="00520FDC"/>
    <w:rsid w:val="00560FAE"/>
    <w:rsid w:val="005D3BC2"/>
    <w:rsid w:val="005E4436"/>
    <w:rsid w:val="00600F4F"/>
    <w:rsid w:val="00615F68"/>
    <w:rsid w:val="006405F9"/>
    <w:rsid w:val="006C58DA"/>
    <w:rsid w:val="006E074E"/>
    <w:rsid w:val="007111DC"/>
    <w:rsid w:val="00732E8B"/>
    <w:rsid w:val="00736D1C"/>
    <w:rsid w:val="007374B1"/>
    <w:rsid w:val="007427C5"/>
    <w:rsid w:val="00791683"/>
    <w:rsid w:val="007A2DC3"/>
    <w:rsid w:val="007D53A7"/>
    <w:rsid w:val="007E3416"/>
    <w:rsid w:val="008070C1"/>
    <w:rsid w:val="00812072"/>
    <w:rsid w:val="00814795"/>
    <w:rsid w:val="008324B2"/>
    <w:rsid w:val="008413B5"/>
    <w:rsid w:val="008730FC"/>
    <w:rsid w:val="00882530"/>
    <w:rsid w:val="009279CA"/>
    <w:rsid w:val="00947441"/>
    <w:rsid w:val="009762D0"/>
    <w:rsid w:val="009B2EA9"/>
    <w:rsid w:val="009C32FA"/>
    <w:rsid w:val="009D7D5A"/>
    <w:rsid w:val="00A228B2"/>
    <w:rsid w:val="00A327D8"/>
    <w:rsid w:val="00A32ADA"/>
    <w:rsid w:val="00A40F29"/>
    <w:rsid w:val="00A54242"/>
    <w:rsid w:val="00A5435A"/>
    <w:rsid w:val="00A913CD"/>
    <w:rsid w:val="00A938B0"/>
    <w:rsid w:val="00AA41D3"/>
    <w:rsid w:val="00AB0567"/>
    <w:rsid w:val="00B154EF"/>
    <w:rsid w:val="00B2587B"/>
    <w:rsid w:val="00B47833"/>
    <w:rsid w:val="00B50684"/>
    <w:rsid w:val="00B8098A"/>
    <w:rsid w:val="00B80DF1"/>
    <w:rsid w:val="00C0227B"/>
    <w:rsid w:val="00C404A5"/>
    <w:rsid w:val="00C50B10"/>
    <w:rsid w:val="00C6440D"/>
    <w:rsid w:val="00C84555"/>
    <w:rsid w:val="00CC24D8"/>
    <w:rsid w:val="00D45AFB"/>
    <w:rsid w:val="00DB0457"/>
    <w:rsid w:val="00DE29F5"/>
    <w:rsid w:val="00E32454"/>
    <w:rsid w:val="00E501EC"/>
    <w:rsid w:val="00E71712"/>
    <w:rsid w:val="00EF0520"/>
    <w:rsid w:val="00F1223C"/>
    <w:rsid w:val="00F12AB0"/>
    <w:rsid w:val="00F44A68"/>
    <w:rsid w:val="00F66E00"/>
    <w:rsid w:val="00FA774A"/>
    <w:rsid w:val="00FA7D47"/>
    <w:rsid w:val="00FC2C87"/>
    <w:rsid w:val="00FE227A"/>
    <w:rsid w:val="00FF0E7B"/>
    <w:rsid w:val="02026E30"/>
    <w:rsid w:val="052D27BB"/>
    <w:rsid w:val="06135E8F"/>
    <w:rsid w:val="067032E2"/>
    <w:rsid w:val="08B9254E"/>
    <w:rsid w:val="09B3690E"/>
    <w:rsid w:val="0BD26DFA"/>
    <w:rsid w:val="0C7D6A2D"/>
    <w:rsid w:val="0D8C1063"/>
    <w:rsid w:val="0E69045F"/>
    <w:rsid w:val="10082257"/>
    <w:rsid w:val="10A61C9D"/>
    <w:rsid w:val="13E5147C"/>
    <w:rsid w:val="15836F1A"/>
    <w:rsid w:val="16182380"/>
    <w:rsid w:val="16A0684A"/>
    <w:rsid w:val="16C51193"/>
    <w:rsid w:val="170579CD"/>
    <w:rsid w:val="173C4361"/>
    <w:rsid w:val="176E22AE"/>
    <w:rsid w:val="17DD6543"/>
    <w:rsid w:val="1DB00010"/>
    <w:rsid w:val="1DD41F50"/>
    <w:rsid w:val="1FF02C48"/>
    <w:rsid w:val="219F40B7"/>
    <w:rsid w:val="231A6657"/>
    <w:rsid w:val="243F2C87"/>
    <w:rsid w:val="275F6D2E"/>
    <w:rsid w:val="28456EC5"/>
    <w:rsid w:val="28823EBD"/>
    <w:rsid w:val="29787CCE"/>
    <w:rsid w:val="2BB0575C"/>
    <w:rsid w:val="2E4B1D50"/>
    <w:rsid w:val="305D5DD5"/>
    <w:rsid w:val="30E107B4"/>
    <w:rsid w:val="332E396F"/>
    <w:rsid w:val="344918EE"/>
    <w:rsid w:val="34973C7F"/>
    <w:rsid w:val="3716199E"/>
    <w:rsid w:val="371B6E4D"/>
    <w:rsid w:val="380A4A95"/>
    <w:rsid w:val="3A1204A1"/>
    <w:rsid w:val="3CCA59AF"/>
    <w:rsid w:val="3DAD7F0E"/>
    <w:rsid w:val="3DD5433E"/>
    <w:rsid w:val="40497ED4"/>
    <w:rsid w:val="42036909"/>
    <w:rsid w:val="42892A5A"/>
    <w:rsid w:val="45240818"/>
    <w:rsid w:val="474D462A"/>
    <w:rsid w:val="47990A9D"/>
    <w:rsid w:val="4B533CA6"/>
    <w:rsid w:val="4DF10544"/>
    <w:rsid w:val="4FAB02D1"/>
    <w:rsid w:val="4FE92CD6"/>
    <w:rsid w:val="50AA72AC"/>
    <w:rsid w:val="51070833"/>
    <w:rsid w:val="517A013D"/>
    <w:rsid w:val="5287546A"/>
    <w:rsid w:val="539311D9"/>
    <w:rsid w:val="54783659"/>
    <w:rsid w:val="590D43CD"/>
    <w:rsid w:val="59E6026D"/>
    <w:rsid w:val="5B1307B9"/>
    <w:rsid w:val="5B8C0195"/>
    <w:rsid w:val="5CFB5F34"/>
    <w:rsid w:val="5E060574"/>
    <w:rsid w:val="5EAD0315"/>
    <w:rsid w:val="5ECF75EF"/>
    <w:rsid w:val="5F28765A"/>
    <w:rsid w:val="5FD16522"/>
    <w:rsid w:val="61806A4D"/>
    <w:rsid w:val="63744554"/>
    <w:rsid w:val="63F374BD"/>
    <w:rsid w:val="66CE1928"/>
    <w:rsid w:val="67210E5B"/>
    <w:rsid w:val="675039C2"/>
    <w:rsid w:val="68CF0917"/>
    <w:rsid w:val="6B2C180E"/>
    <w:rsid w:val="6E7739D8"/>
    <w:rsid w:val="6EE11F3B"/>
    <w:rsid w:val="6F47543A"/>
    <w:rsid w:val="701B2694"/>
    <w:rsid w:val="720A7308"/>
    <w:rsid w:val="7261515D"/>
    <w:rsid w:val="74546174"/>
    <w:rsid w:val="74CB463F"/>
    <w:rsid w:val="74FE0369"/>
    <w:rsid w:val="765B471D"/>
    <w:rsid w:val="7783246E"/>
    <w:rsid w:val="77B951E9"/>
    <w:rsid w:val="7DF369FE"/>
    <w:rsid w:val="7E871FAD"/>
    <w:rsid w:val="7E8B0B40"/>
    <w:rsid w:val="7ECB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widowControl/>
      <w:ind w:firstLine="200" w:firstLineChars="200"/>
      <w:jc w:val="left"/>
    </w:pPr>
    <w:rPr>
      <w:rFonts w:ascii="宋体" w:hAnsi="宋体" w:eastAsia="仿宋_GB2312" w:cs="宋体"/>
      <w:bCs/>
      <w:kern w:val="36"/>
      <w:sz w:val="32"/>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napToGrid w:val="0"/>
      <w:spacing w:after="0" w:line="660" w:lineRule="exact"/>
      <w:ind w:left="0" w:leftChars="0" w:firstLine="420" w:firstLineChars="200"/>
      <w:jc w:val="both"/>
      <w:textAlignment w:val="baseline"/>
    </w:pPr>
    <w:rPr>
      <w:rFonts w:ascii="仿宋_GB2312"/>
      <w:kern w:val="0"/>
    </w:rPr>
  </w:style>
  <w:style w:type="paragraph" w:customStyle="1" w:styleId="3">
    <w:name w:val="BodyTextIndent"/>
    <w:basedOn w:val="1"/>
    <w:autoRedefine/>
    <w:qFormat/>
    <w:uiPriority w:val="0"/>
    <w:pPr>
      <w:spacing w:after="120"/>
      <w:ind w:left="420" w:leftChars="200"/>
      <w:jc w:val="both"/>
      <w:textAlignment w:val="baseline"/>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jc w:val="left"/>
    </w:pPr>
    <w:rPr>
      <w:rFonts w:cs="Times New Roman"/>
      <w:kern w:val="0"/>
      <w:sz w:val="24"/>
    </w:rPr>
  </w:style>
  <w:style w:type="character" w:styleId="10">
    <w:name w:val="FollowedHyperlink"/>
    <w:basedOn w:val="9"/>
    <w:autoRedefine/>
    <w:semiHidden/>
    <w:unhideWhenUsed/>
    <w:qFormat/>
    <w:uiPriority w:val="99"/>
    <w:rPr>
      <w:color w:val="333333"/>
      <w:u w:val="none"/>
    </w:rPr>
  </w:style>
  <w:style w:type="character" w:styleId="11">
    <w:name w:val="Emphasis"/>
    <w:basedOn w:val="9"/>
    <w:autoRedefine/>
    <w:qFormat/>
    <w:uiPriority w:val="20"/>
  </w:style>
  <w:style w:type="character" w:styleId="12">
    <w:name w:val="Hyperlink"/>
    <w:basedOn w:val="9"/>
    <w:autoRedefine/>
    <w:semiHidden/>
    <w:unhideWhenUsed/>
    <w:qFormat/>
    <w:uiPriority w:val="99"/>
    <w:rPr>
      <w:color w:val="333333"/>
      <w:u w:val="none"/>
    </w:rPr>
  </w:style>
  <w:style w:type="character" w:customStyle="1" w:styleId="13">
    <w:name w:val="页眉 Char"/>
    <w:basedOn w:val="9"/>
    <w:link w:val="6"/>
    <w:autoRedefine/>
    <w:semiHidden/>
    <w:qFormat/>
    <w:uiPriority w:val="99"/>
    <w:rPr>
      <w:rFonts w:asciiTheme="minorHAnsi" w:hAnsiTheme="minorHAnsi" w:eastAsiaTheme="minorEastAsia" w:cstheme="minorBidi"/>
      <w:kern w:val="2"/>
      <w:sz w:val="18"/>
      <w:szCs w:val="18"/>
    </w:rPr>
  </w:style>
  <w:style w:type="character" w:customStyle="1" w:styleId="14">
    <w:name w:val="页脚 Char"/>
    <w:basedOn w:val="9"/>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法宣股</Company>
  <Pages>7</Pages>
  <Words>3227</Words>
  <Characters>3361</Characters>
  <Lines>15</Lines>
  <Paragraphs>4</Paragraphs>
  <TotalTime>22</TotalTime>
  <ScaleCrop>false</ScaleCrop>
  <LinksUpToDate>false</LinksUpToDate>
  <CharactersWithSpaces>3369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2021-04-21T01:40:00Z</dcterms:created>
  <dc:creator>姚蘅桉</dc:creator>
  <cp:lastModifiedBy>xyl</cp:lastModifiedBy>
  <dcterms:modified xsi:type="dcterms:W3CDTF">2025-09-19T03:17:51Z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ADAC6A8ADEFA4B7FB1E5042113DCADBA_13</vt:lpwstr>
  </property>
  <property fmtid="{D5CDD505-2E9C-101B-9397-08002B2CF9AE}" pid="4" name="KSOTemplateDocerSaveRecord">
    <vt:lpwstr>eyJoZGlkIjoiZGMxNmIzNzZhZDNhNzA4YmM0OGM4NDNkZmU3NDEyOTgiLCJ1c2VySWQiOiI3NTIzODM4NDQifQ==</vt:lpwstr>
  </property>
</Properties>
</file>