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8726">
      <w:pPr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kern w:val="0"/>
          <w:sz w:val="44"/>
          <w:szCs w:val="44"/>
        </w:rPr>
        <w:t>年度</w:t>
      </w:r>
      <w:r>
        <w:rPr>
          <w:rFonts w:eastAsia="方正小标宋简体"/>
          <w:kern w:val="0"/>
          <w:sz w:val="44"/>
          <w:szCs w:val="44"/>
        </w:rPr>
        <w:t>部门整体支出绩效报告</w:t>
      </w:r>
    </w:p>
    <w:p w14:paraId="7667AB65">
      <w:pPr>
        <w:spacing w:line="594" w:lineRule="exact"/>
        <w:jc w:val="center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（参考提纲）</w:t>
      </w:r>
    </w:p>
    <w:p w14:paraId="63B8838B">
      <w:pPr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 w14:paraId="4BA16847">
      <w:pPr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 w14:paraId="5AE3B061">
      <w:pPr>
        <w:widowControl/>
        <w:spacing w:line="594" w:lineRule="exact"/>
        <w:ind w:firstLine="643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b/>
          <w:bCs/>
          <w:kern w:val="0"/>
          <w:szCs w:val="32"/>
        </w:rPr>
        <w:t>名    称</w:t>
      </w:r>
      <w:r>
        <w:rPr>
          <w:rFonts w:hint="eastAsia"/>
          <w:kern w:val="0"/>
          <w:szCs w:val="32"/>
        </w:rPr>
        <w:t>：桃江县工伤保险</w:t>
      </w:r>
      <w:r>
        <w:rPr>
          <w:rFonts w:hint="eastAsia"/>
          <w:kern w:val="0"/>
          <w:szCs w:val="32"/>
          <w:lang w:eastAsia="zh-CN"/>
        </w:rPr>
        <w:t>基金管理所</w:t>
      </w:r>
    </w:p>
    <w:p w14:paraId="4FF51201">
      <w:pPr>
        <w:widowControl/>
        <w:spacing w:line="594" w:lineRule="exact"/>
        <w:ind w:firstLine="643" w:firstLineChars="200"/>
        <w:rPr>
          <w:rFonts w:hint="eastAsia"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机关性质</w:t>
      </w:r>
      <w:r>
        <w:rPr>
          <w:rFonts w:hint="eastAsia"/>
          <w:kern w:val="0"/>
          <w:szCs w:val="32"/>
        </w:rPr>
        <w:t>：参照公务员管理事业单位</w:t>
      </w:r>
    </w:p>
    <w:p w14:paraId="17D66864">
      <w:pPr>
        <w:widowControl/>
        <w:spacing w:line="594" w:lineRule="exact"/>
        <w:ind w:firstLine="643" w:firstLineChars="200"/>
        <w:rPr>
          <w:rFonts w:hint="eastAsia"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职能范围</w:t>
      </w:r>
      <w:r>
        <w:rPr>
          <w:rFonts w:hint="eastAsia"/>
          <w:kern w:val="0"/>
          <w:szCs w:val="32"/>
        </w:rPr>
        <w:t>：负责办理全县范围内的工伤保险参保登记，征缴工伤保险费；负责核定各项工伤待遇，管理工伤保险基金；负责开展工伤预防、安全生产宣传和业务培训；负责工伤事故勘察、监督工伤医疗费用使用情况；负责为参保单位和工伤职工免费提供咨询服务。</w:t>
      </w:r>
    </w:p>
    <w:p w14:paraId="207A8187">
      <w:pPr>
        <w:widowControl/>
        <w:spacing w:line="594" w:lineRule="exact"/>
        <w:ind w:firstLine="643" w:firstLineChars="200"/>
        <w:rPr>
          <w:rFonts w:hint="eastAsia"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机构设置</w:t>
      </w:r>
      <w:r>
        <w:rPr>
          <w:rFonts w:hint="eastAsia"/>
          <w:kern w:val="0"/>
          <w:szCs w:val="32"/>
        </w:rPr>
        <w:t>：为参照公务员管理事业单位，</w:t>
      </w:r>
      <w:r>
        <w:rPr>
          <w:rFonts w:hint="eastAsia"/>
          <w:kern w:val="0"/>
          <w:szCs w:val="32"/>
          <w:lang w:val="en-US" w:eastAsia="zh-CN"/>
        </w:rPr>
        <w:t>年末在编人数6人。</w:t>
      </w:r>
      <w:r>
        <w:rPr>
          <w:rFonts w:hint="eastAsia"/>
          <w:kern w:val="0"/>
          <w:szCs w:val="32"/>
        </w:rPr>
        <w:t>内设办公室、财务股、基金征缴股、待遇审核股、</w:t>
      </w:r>
      <w:r>
        <w:rPr>
          <w:rFonts w:hint="eastAsia"/>
          <w:kern w:val="0"/>
          <w:szCs w:val="32"/>
          <w:lang w:eastAsia="zh-CN"/>
        </w:rPr>
        <w:t>医疗监管股、</w:t>
      </w:r>
      <w:r>
        <w:rPr>
          <w:rFonts w:hint="eastAsia"/>
          <w:kern w:val="0"/>
          <w:szCs w:val="32"/>
        </w:rPr>
        <w:t>稽核股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rFonts w:hint="eastAsia"/>
          <w:kern w:val="0"/>
          <w:szCs w:val="32"/>
        </w:rPr>
        <w:t>个股室。</w:t>
      </w:r>
    </w:p>
    <w:p w14:paraId="05FED6B9">
      <w:pPr>
        <w:widowControl/>
        <w:spacing w:line="594" w:lineRule="exact"/>
        <w:ind w:firstLine="643" w:firstLineChars="200"/>
        <w:rPr>
          <w:rFonts w:hint="eastAsia" w:eastAsia="仿宋_GB2312"/>
          <w:kern w:val="0"/>
          <w:szCs w:val="32"/>
          <w:lang w:eastAsia="zh-CN"/>
        </w:rPr>
      </w:pPr>
      <w:r>
        <w:rPr>
          <w:rFonts w:hint="eastAsia"/>
          <w:b/>
          <w:bCs/>
          <w:kern w:val="0"/>
          <w:szCs w:val="32"/>
        </w:rPr>
        <w:t>人员</w:t>
      </w:r>
      <w:r>
        <w:rPr>
          <w:rFonts w:hint="eastAsia"/>
          <w:b/>
          <w:bCs/>
          <w:kern w:val="0"/>
          <w:szCs w:val="32"/>
          <w:lang w:eastAsia="zh-CN"/>
        </w:rPr>
        <w:t>情况</w:t>
      </w:r>
      <w:r>
        <w:rPr>
          <w:rFonts w:hint="eastAsia"/>
          <w:kern w:val="0"/>
          <w:szCs w:val="32"/>
        </w:rPr>
        <w:t>：</w:t>
      </w:r>
      <w:r>
        <w:rPr>
          <w:rFonts w:hint="eastAsia"/>
          <w:kern w:val="0"/>
          <w:szCs w:val="32"/>
          <w:lang w:eastAsia="zh-CN"/>
        </w:rPr>
        <w:t>在岗工作人员</w:t>
      </w:r>
      <w:r>
        <w:rPr>
          <w:rFonts w:hint="eastAsia"/>
          <w:kern w:val="0"/>
          <w:szCs w:val="32"/>
          <w:lang w:val="en-US" w:eastAsia="zh-CN"/>
        </w:rPr>
        <w:t>11名，其中</w:t>
      </w:r>
      <w:r>
        <w:rPr>
          <w:rFonts w:hint="eastAsia"/>
          <w:kern w:val="0"/>
          <w:szCs w:val="32"/>
        </w:rPr>
        <w:t>所长1名，副所长2</w:t>
      </w:r>
      <w:r>
        <w:rPr>
          <w:rFonts w:hint="eastAsia"/>
          <w:kern w:val="0"/>
          <w:szCs w:val="32"/>
          <w:lang w:eastAsia="zh-CN"/>
        </w:rPr>
        <w:t>名。</w:t>
      </w:r>
    </w:p>
    <w:p w14:paraId="7ADD4BBE">
      <w:pPr>
        <w:widowControl/>
        <w:spacing w:line="594" w:lineRule="exact"/>
        <w:ind w:firstLine="643" w:firstLineChars="200"/>
        <w:rPr>
          <w:rFonts w:eastAsia="黑体"/>
          <w:bCs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t>机关驻地</w:t>
      </w:r>
      <w:r>
        <w:rPr>
          <w:rFonts w:hint="eastAsia"/>
          <w:kern w:val="0"/>
          <w:szCs w:val="32"/>
        </w:rPr>
        <w:t>：桃江县政务服务中心</w:t>
      </w:r>
      <w:r>
        <w:rPr>
          <w:rFonts w:hint="eastAsia"/>
          <w:kern w:val="0"/>
          <w:szCs w:val="32"/>
          <w:lang w:eastAsia="zh-CN"/>
        </w:rPr>
        <w:t>。</w:t>
      </w:r>
    </w:p>
    <w:p w14:paraId="7F1E9B81"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 w14:paraId="76D4A511">
      <w:pPr>
        <w:widowControl/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我单位2024年整体支出81.89万元，其中基本支出81.89万元，项目支出0万元。</w:t>
      </w:r>
    </w:p>
    <w:p w14:paraId="6A79BDC1">
      <w:pPr>
        <w:widowControl/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（一）基本支出</w:t>
      </w:r>
    </w:p>
    <w:p w14:paraId="124AEE80">
      <w:pPr>
        <w:widowControl/>
        <w:spacing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2024年基本支出81.89万元，其中人员经费支出74.03万元、公用经费支出7.86万元。</w:t>
      </w:r>
    </w:p>
    <w:p w14:paraId="445C4F4C">
      <w:pPr>
        <w:widowControl/>
        <w:spacing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三公”经费年初预算1.84万元，实际开支1.83万元，全部为公务接待费。本单位贯彻落实党政机关厉行节约的有关规定，从严控制一般性支出，切实降低行政成本；以提高机构公共服务能力为着力点，进一步整合财政资金，合理安排各类预算支出。</w:t>
      </w:r>
    </w:p>
    <w:p w14:paraId="4306D76F">
      <w:pPr>
        <w:widowControl/>
        <w:tabs>
          <w:tab w:val="left" w:pos="3396"/>
        </w:tabs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（二）项目支出</w:t>
      </w:r>
      <w:r>
        <w:rPr>
          <w:rFonts w:eastAsia="楷体_GB2312"/>
          <w:kern w:val="0"/>
          <w:szCs w:val="32"/>
        </w:rPr>
        <w:tab/>
      </w:r>
    </w:p>
    <w:p w14:paraId="626E5CCB">
      <w:pPr>
        <w:widowControl/>
        <w:spacing w:line="594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2024年决算中项目支出0万元，主要是今年决算把项目支出全部计入到基本支出里面。</w:t>
      </w:r>
    </w:p>
    <w:p w14:paraId="63055FE3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 w14:paraId="31248A1E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优化营商环境和“一件事一次办”。坚持以营商环境优化提升为目标，认真贯彻落实简政放权、放管结合、优化服务改革的实施方案。致力打造“一窗式受理、一站式办结、一条龙服务”的服务平台。对“一件事一次办”审批流程流程进行精减和优化，实现并联审批，为个人和企业办事缩短了时间，审批效率明显提高，并于元月份起全面实施可微信办理业务。省去了两头跑的麻烦，极大的方便了办理业务的群众。</w:t>
      </w:r>
    </w:p>
    <w:p w14:paraId="509AB387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做好调查、待遇支付、稽核工作，确保职工利益。认真贯彻工伤保险政策法规，一是切实规范加强工伤保险事故调查，始终坚持以事实为依据、以法律为准绳。二是做好待遇审核、确保待遇支付。严把票据、用药关，及时支付工伤医疗、康复费用，及时调整支付伤残津贴、生活护理及供养亲属抚恤金等费用，三是加强工伤保险稽核力度，建立健全监督机制，通过微信视频、QQ视频等方式多举措确保基金安全，确保职工利益。</w:t>
      </w:r>
    </w:p>
    <w:p w14:paraId="5F54E88E"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6D6DC527">
      <w:pPr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</w:rPr>
        <w:t>本次绩效自评的目的是为了了解和剖析我</w:t>
      </w:r>
      <w:r>
        <w:rPr>
          <w:rFonts w:hint="eastAsia" w:ascii="仿宋" w:eastAsia="仿宋"/>
          <w:bCs/>
          <w:sz w:val="32"/>
          <w:szCs w:val="32"/>
          <w:lang w:eastAsia="zh-CN"/>
        </w:rPr>
        <w:t>所</w:t>
      </w:r>
      <w:r>
        <w:rPr>
          <w:rFonts w:hint="eastAsia" w:ascii="仿宋" w:eastAsia="仿宋"/>
          <w:bCs/>
          <w:sz w:val="32"/>
          <w:szCs w:val="32"/>
        </w:rPr>
        <w:t>20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eastAsia="仿宋"/>
          <w:bCs/>
          <w:sz w:val="32"/>
          <w:szCs w:val="32"/>
        </w:rPr>
        <w:t>年财政资金预算支出的绩效状况，进一步增强支出管理的责任、优化支出结构、提高预算管理水平</w:t>
      </w:r>
      <w:r>
        <w:rPr>
          <w:rFonts w:hint="eastAsia" w:ascii="仿宋" w:eastAsia="仿宋"/>
          <w:bCs/>
          <w:sz w:val="32"/>
          <w:szCs w:val="32"/>
          <w:lang w:eastAsia="zh-CN"/>
        </w:rPr>
        <w:t>。</w:t>
      </w:r>
      <w:r>
        <w:rPr>
          <w:rFonts w:hint="eastAsia" w:ascii="仿宋" w:eastAsia="仿宋"/>
          <w:bCs/>
          <w:sz w:val="32"/>
          <w:szCs w:val="32"/>
        </w:rPr>
        <w:t>为此，我</w:t>
      </w:r>
      <w:r>
        <w:rPr>
          <w:rFonts w:hint="eastAsia" w:ascii="仿宋" w:eastAsia="仿宋"/>
          <w:bCs/>
          <w:sz w:val="32"/>
          <w:szCs w:val="32"/>
          <w:lang w:eastAsia="zh-CN"/>
        </w:rPr>
        <w:t>所</w:t>
      </w:r>
      <w:r>
        <w:rPr>
          <w:rFonts w:hint="eastAsia" w:ascii="仿宋" w:eastAsia="仿宋"/>
          <w:bCs/>
          <w:sz w:val="32"/>
          <w:szCs w:val="32"/>
        </w:rPr>
        <w:t>成立了绩效评价工作小组。绩效评价工作主要如下：</w:t>
      </w:r>
    </w:p>
    <w:p w14:paraId="7FE3CDB6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</w:rPr>
        <w:t>（一）核实数据。对20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eastAsia="仿宋"/>
          <w:bCs/>
          <w:sz w:val="32"/>
          <w:szCs w:val="32"/>
        </w:rPr>
        <w:t>年度部门整体支出数据的准确性、真实性进行核实，将20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eastAsia="仿宋"/>
          <w:bCs/>
          <w:sz w:val="32"/>
          <w:szCs w:val="32"/>
        </w:rPr>
        <w:t>年度和20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23</w:t>
      </w:r>
      <w:r>
        <w:rPr>
          <w:rFonts w:hint="eastAsia" w:ascii="仿宋" w:eastAsia="仿宋"/>
          <w:bCs/>
          <w:sz w:val="32"/>
          <w:szCs w:val="32"/>
        </w:rPr>
        <w:t>年度部门整体支出情况进行比较分析。</w:t>
      </w:r>
    </w:p>
    <w:p w14:paraId="0B8C1C14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</w:rPr>
        <w:t>（二）查阅资料。查阅20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eastAsia="仿宋"/>
          <w:bCs/>
          <w:sz w:val="32"/>
          <w:szCs w:val="32"/>
        </w:rPr>
        <w:t>年度预算安排、预算追加、资金管理、经费支出、资产管理等相关文件资料和财务凭证。</w:t>
      </w:r>
    </w:p>
    <w:p w14:paraId="06DA9145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  <w:lang w:eastAsia="zh-CN"/>
        </w:rPr>
        <w:t>（</w:t>
      </w:r>
      <w:r>
        <w:rPr>
          <w:rFonts w:hint="eastAsia" w:ascii="仿宋" w:eastAsia="仿宋"/>
          <w:bCs/>
          <w:sz w:val="32"/>
          <w:szCs w:val="32"/>
        </w:rPr>
        <w:t>三）归纳汇总。对收集的评价材料结合本单位情况进行综合分析、归纳汇总。</w:t>
      </w:r>
    </w:p>
    <w:p w14:paraId="660441DA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  <w:lang w:eastAsia="zh-CN"/>
        </w:rPr>
        <w:t>（</w:t>
      </w:r>
      <w:r>
        <w:rPr>
          <w:rFonts w:hint="eastAsia" w:ascii="仿宋" w:eastAsia="仿宋"/>
          <w:bCs/>
          <w:sz w:val="32"/>
          <w:szCs w:val="32"/>
        </w:rPr>
        <w:t>四）根据评价材料结合各项评价指标进行分析评分。</w:t>
      </w:r>
    </w:p>
    <w:p w14:paraId="712F4D39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kern w:val="0"/>
          <w:szCs w:val="32"/>
        </w:rPr>
      </w:pPr>
      <w:r>
        <w:rPr>
          <w:rFonts w:hint="eastAsia" w:ascii="仿宋" w:eastAsia="仿宋"/>
          <w:bCs/>
          <w:sz w:val="32"/>
          <w:szCs w:val="32"/>
        </w:rPr>
        <w:t>（五）形成绩效评价自评报告。</w:t>
      </w:r>
    </w:p>
    <w:p w14:paraId="2AD33134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六、存在的主要问题</w:t>
      </w:r>
    </w:p>
    <w:p w14:paraId="1F2DACBF">
      <w:pPr>
        <w:numPr>
          <w:ilvl w:val="0"/>
          <w:numId w:val="0"/>
        </w:numPr>
        <w:spacing w:line="600" w:lineRule="exact"/>
        <w:ind w:leftChars="0" w:firstLine="640" w:firstLineChars="200"/>
        <w:outlineLvl w:val="0"/>
        <w:rPr>
          <w:rFonts w:hint="eastAsia" w:ascii="仿宋" w:eastAsia="仿宋"/>
          <w:bCs/>
          <w:sz w:val="32"/>
          <w:szCs w:val="32"/>
          <w:lang w:eastAsia="zh-CN"/>
        </w:rPr>
      </w:pPr>
      <w:r>
        <w:rPr>
          <w:rFonts w:hint="eastAsia" w:ascii="仿宋" w:eastAsia="仿宋"/>
          <w:bCs/>
          <w:sz w:val="32"/>
          <w:szCs w:val="32"/>
          <w:lang w:eastAsia="zh-CN"/>
        </w:rPr>
        <w:t>预算工作有待细化。</w:t>
      </w:r>
    </w:p>
    <w:p w14:paraId="00717B26"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七、改进措施和有关建议</w:t>
      </w:r>
    </w:p>
    <w:p w14:paraId="77412360">
      <w:pPr>
        <w:numPr>
          <w:ilvl w:val="0"/>
          <w:numId w:val="0"/>
        </w:numPr>
        <w:spacing w:line="600" w:lineRule="exact"/>
        <w:ind w:left="320" w:leftChars="100" w:firstLine="320" w:firstLineChars="100"/>
        <w:jc w:val="left"/>
        <w:outlineLvl w:val="0"/>
        <w:rPr>
          <w:rFonts w:hint="eastAsia" w:asci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eastAsia="仿宋"/>
          <w:bCs/>
          <w:sz w:val="32"/>
          <w:szCs w:val="32"/>
          <w:lang w:val="en-US" w:eastAsia="zh-CN"/>
        </w:rPr>
        <w:t>（一）加强组织领导。统一思想，明确责任，明确相关部门牵头，各部</w:t>
      </w:r>
      <w:bookmarkStart w:id="0" w:name="_GoBack"/>
      <w:bookmarkEnd w:id="0"/>
      <w:r>
        <w:rPr>
          <w:rFonts w:hint="eastAsia" w:ascii="仿宋" w:eastAsia="仿宋"/>
          <w:bCs/>
          <w:sz w:val="32"/>
          <w:szCs w:val="32"/>
          <w:lang w:val="en-US" w:eastAsia="zh-CN"/>
        </w:rPr>
        <w:t>门参与的绩效评价管理制度，为绩效评价工作开展创造良好的条件。</w:t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" w:eastAsia="仿宋"/>
          <w:bCs/>
          <w:sz w:val="32"/>
          <w:szCs w:val="32"/>
          <w:lang w:val="en-US" w:eastAsia="zh-CN"/>
        </w:rPr>
        <w:t>　　（二）建立长效机制。把绩效评价作为各级各部门的日常性工作，建立绩效评价管理工作考核的长效机制。 </w:t>
      </w:r>
    </w:p>
    <w:p w14:paraId="06832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50AF"/>
    <w:rsid w:val="665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2025-11-03T07:39:00Z</dcterms:created>
  <dc:creator>W</dc:creator>
  <cp:lastModifiedBy>W</cp:lastModifiedBy>
  <dcterms:modified xsi:type="dcterms:W3CDTF">2025-11-03T07:40:21Z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61B2291DB5584AB6938EEEED27500824_11</vt:lpwstr>
  </property>
  <property fmtid="{D5CDD505-2E9C-101B-9397-08002B2CF9AE}" pid="4" name="KSOTemplateDocerSaveRecord">
    <vt:lpwstr>eyJoZGlkIjoiMTZjYTU4NWUwZDMwZTczZTNhYzJhZTcwYjc4YjNmMTMiLCJ1c2VySWQiOiIzOTM5NjExODAifQ==</vt:lpwstr>
  </property>
</Properties>
</file>