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bidi w:val="0"/>
        <w:rPr>
          <w:rFonts w:asciiTheme="minorHAnsi" w:hAnsiTheme="minorHAnsi" w:eastAsiaTheme="minorEastAsia" w:cstheme="minorBidi"/>
          <w:kern w:val="2"/>
          <w:sz w:val="21"/>
          <w:szCs w:val="24"/>
          <w:lang w:val="en-US" w:eastAsia="zh-CN" w:bidi="ar-SA"/>
        </w:rPr>
      </w:pPr>
    </w:p>
    <w:p>
      <w:pPr>
        <w:spacing w:line="594" w:lineRule="exact"/>
        <w:jc w:val="left"/>
        <w:rPr>
          <w:rFonts w:ascii="Times New Roman" w:hAnsi="Times New Roman" w:eastAsia="黑体" w:cs="Times New Roman"/>
          <w:bCs/>
          <w:kern w:val="0"/>
          <w:sz w:val="32"/>
          <w:szCs w:val="32"/>
        </w:rPr>
      </w:pPr>
      <w:r>
        <w:rPr>
          <w:rFonts w:hint="eastAsia"/>
          <w:lang w:val="en-US" w:eastAsia="zh-CN"/>
        </w:rPr>
        <w:tab/>
      </w:r>
      <w:r>
        <w:rPr>
          <w:rFonts w:ascii="Times New Roman" w:hAnsi="Times New Roman" w:eastAsia="黑体" w:cs="Times New Roman"/>
          <w:bCs/>
          <w:kern w:val="0"/>
          <w:sz w:val="32"/>
          <w:szCs w:val="32"/>
        </w:rPr>
        <w:t>附件1</w:t>
      </w:r>
    </w:p>
    <w:p>
      <w:pPr>
        <w:spacing w:line="594" w:lineRule="exact"/>
        <w:jc w:val="center"/>
        <w:rPr>
          <w:rFonts w:hint="eastAsia" w:ascii="方正小标宋简体" w:hAnsi="Times New Roman" w:eastAsia="方正小标宋简体" w:cs="Times New Roman"/>
          <w:bCs/>
          <w:kern w:val="0"/>
          <w:sz w:val="44"/>
          <w:szCs w:val="44"/>
        </w:rPr>
      </w:pPr>
      <w:r>
        <w:rPr>
          <w:rFonts w:hint="eastAsia" w:ascii="方正小标宋简体" w:hAnsi="Times New Roman" w:eastAsia="方正小标宋简体" w:cs="Times New Roman"/>
          <w:bCs/>
          <w:kern w:val="0"/>
          <w:sz w:val="44"/>
          <w:szCs w:val="44"/>
        </w:rPr>
        <w:t>桃江县2024年度部门整体支出绩效评价</w:t>
      </w:r>
    </w:p>
    <w:p>
      <w:pPr>
        <w:spacing w:line="594" w:lineRule="exact"/>
        <w:jc w:val="center"/>
        <w:rPr>
          <w:rFonts w:hint="eastAsia" w:ascii="方正小标宋简体" w:hAnsi="Times New Roman" w:eastAsia="方正小标宋简体" w:cs="Times New Roman"/>
          <w:bCs/>
          <w:kern w:val="0"/>
          <w:sz w:val="44"/>
          <w:szCs w:val="44"/>
        </w:rPr>
      </w:pPr>
      <w:r>
        <w:rPr>
          <w:rFonts w:hint="eastAsia" w:ascii="方正小标宋简体" w:hAnsi="Times New Roman" w:eastAsia="方正小标宋简体" w:cs="Times New Roman"/>
          <w:bCs/>
          <w:kern w:val="0"/>
          <w:sz w:val="44"/>
          <w:szCs w:val="44"/>
        </w:rPr>
        <w:t>基础数据表</w:t>
      </w:r>
    </w:p>
    <w:tbl>
      <w:tblPr>
        <w:tblStyle w:val="5"/>
        <w:tblpPr w:leftFromText="180" w:rightFromText="180" w:vertAnchor="text" w:horzAnchor="page" w:tblpX="1137" w:tblpY="181"/>
        <w:tblOverlap w:val="never"/>
        <w:tblW w:w="9520" w:type="dxa"/>
        <w:tblInd w:w="-15"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3240"/>
        <w:gridCol w:w="906"/>
        <w:gridCol w:w="1004"/>
        <w:gridCol w:w="973"/>
        <w:gridCol w:w="1377"/>
        <w:gridCol w:w="1125"/>
        <w:gridCol w:w="89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vMerge w:val="restart"/>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b/>
                <w:bCs/>
                <w:i w:val="0"/>
                <w:iCs w:val="0"/>
                <w:color w:val="000000"/>
                <w:kern w:val="0"/>
                <w:sz w:val="18"/>
                <w:szCs w:val="18"/>
                <w:u w:val="none"/>
                <w:lang w:val="en-US" w:eastAsia="zh-CN" w:bidi="ar"/>
              </w:rPr>
              <w:t>财政供养人员情况</w:t>
            </w:r>
          </w:p>
        </w:tc>
        <w:tc>
          <w:tcPr>
            <w:tcW w:w="1910" w:type="dxa"/>
            <w:gridSpan w:val="2"/>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b/>
                <w:bCs/>
                <w:i w:val="0"/>
                <w:iCs w:val="0"/>
                <w:color w:val="000000"/>
                <w:kern w:val="0"/>
                <w:sz w:val="18"/>
                <w:szCs w:val="18"/>
                <w:u w:val="none"/>
                <w:lang w:val="en-US" w:eastAsia="zh-CN" w:bidi="ar"/>
              </w:rPr>
              <w:t>编制数</w:t>
            </w:r>
          </w:p>
        </w:tc>
        <w:tc>
          <w:tcPr>
            <w:tcW w:w="2350" w:type="dxa"/>
            <w:gridSpan w:val="2"/>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b/>
                <w:bCs/>
                <w:i w:val="0"/>
                <w:iCs w:val="0"/>
                <w:color w:val="000000"/>
                <w:kern w:val="0"/>
                <w:sz w:val="18"/>
                <w:szCs w:val="18"/>
                <w:u w:val="none"/>
                <w:lang w:val="en-US" w:eastAsia="zh-CN" w:bidi="ar"/>
              </w:rPr>
              <w:t>2024年实际在职人数</w:t>
            </w:r>
          </w:p>
        </w:tc>
        <w:tc>
          <w:tcPr>
            <w:tcW w:w="2020" w:type="dxa"/>
            <w:gridSpan w:val="2"/>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b/>
                <w:bCs/>
                <w:i w:val="0"/>
                <w:iCs w:val="0"/>
                <w:color w:val="000000"/>
                <w:kern w:val="0"/>
                <w:sz w:val="18"/>
                <w:szCs w:val="18"/>
                <w:u w:val="none"/>
                <w:lang w:val="en-US" w:eastAsia="zh-CN" w:bidi="ar"/>
              </w:rPr>
              <w:t>控制率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vMerge w:val="continue"/>
            <w:noWrap w:val="0"/>
            <w:vAlign w:val="center"/>
          </w:tcPr>
          <w:p>
            <w:pPr>
              <w:jc w:val="center"/>
              <w:rPr>
                <w:rFonts w:ascii="Times New Roman" w:hAnsi="Times New Roman" w:eastAsia="宋体" w:cs="Times New Roman"/>
                <w:kern w:val="0"/>
                <w:sz w:val="21"/>
                <w:szCs w:val="21"/>
              </w:rPr>
            </w:pPr>
          </w:p>
        </w:tc>
        <w:tc>
          <w:tcPr>
            <w:tcW w:w="1910" w:type="dxa"/>
            <w:gridSpan w:val="2"/>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iCs w:val="0"/>
                <w:color w:val="000000"/>
                <w:kern w:val="0"/>
                <w:sz w:val="18"/>
                <w:szCs w:val="18"/>
                <w:u w:val="none"/>
                <w:lang w:val="en-US" w:eastAsia="zh-CN" w:bidi="ar"/>
              </w:rPr>
              <w:t>41</w:t>
            </w:r>
          </w:p>
        </w:tc>
        <w:tc>
          <w:tcPr>
            <w:tcW w:w="2350" w:type="dxa"/>
            <w:gridSpan w:val="2"/>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41</w:t>
            </w:r>
          </w:p>
        </w:tc>
        <w:tc>
          <w:tcPr>
            <w:tcW w:w="2020" w:type="dxa"/>
            <w:gridSpan w:val="2"/>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100.00%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b/>
                <w:bCs/>
                <w:i w:val="0"/>
                <w:iCs w:val="0"/>
                <w:color w:val="000000"/>
                <w:kern w:val="0"/>
                <w:sz w:val="18"/>
                <w:szCs w:val="18"/>
                <w:u w:val="none"/>
                <w:lang w:val="en-US" w:eastAsia="zh-CN" w:bidi="ar"/>
              </w:rPr>
              <w:t>经费控制情况(万元)</w:t>
            </w:r>
          </w:p>
        </w:tc>
        <w:tc>
          <w:tcPr>
            <w:tcW w:w="1910" w:type="dxa"/>
            <w:gridSpan w:val="2"/>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b/>
                <w:bCs/>
                <w:i w:val="0"/>
                <w:iCs w:val="0"/>
                <w:color w:val="000000"/>
                <w:kern w:val="0"/>
                <w:sz w:val="18"/>
                <w:szCs w:val="18"/>
                <w:u w:val="none"/>
                <w:lang w:val="en-US" w:eastAsia="zh-CN" w:bidi="ar"/>
              </w:rPr>
              <w:t>2023年决算数</w:t>
            </w:r>
          </w:p>
        </w:tc>
        <w:tc>
          <w:tcPr>
            <w:tcW w:w="2350" w:type="dxa"/>
            <w:gridSpan w:val="2"/>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b/>
                <w:bCs/>
                <w:i w:val="0"/>
                <w:iCs w:val="0"/>
                <w:color w:val="000000"/>
                <w:kern w:val="0"/>
                <w:sz w:val="18"/>
                <w:szCs w:val="18"/>
                <w:u w:val="none"/>
                <w:lang w:val="en-US" w:eastAsia="zh-CN" w:bidi="ar"/>
              </w:rPr>
              <w:t>2024年预算数</w:t>
            </w:r>
          </w:p>
        </w:tc>
        <w:tc>
          <w:tcPr>
            <w:tcW w:w="2020" w:type="dxa"/>
            <w:gridSpan w:val="2"/>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b/>
                <w:bCs/>
                <w:i w:val="0"/>
                <w:iCs w:val="0"/>
                <w:color w:val="000000"/>
                <w:kern w:val="0"/>
                <w:sz w:val="18"/>
                <w:szCs w:val="18"/>
                <w:u w:val="none"/>
                <w:lang w:val="en-US" w:eastAsia="zh-CN" w:bidi="ar"/>
              </w:rPr>
              <w:t>2024年决算数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三公经费</w:t>
            </w:r>
          </w:p>
        </w:tc>
        <w:tc>
          <w:tcPr>
            <w:tcW w:w="1910" w:type="dxa"/>
            <w:gridSpan w:val="2"/>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9.95</w:t>
            </w:r>
          </w:p>
        </w:tc>
        <w:tc>
          <w:tcPr>
            <w:tcW w:w="2350" w:type="dxa"/>
            <w:gridSpan w:val="2"/>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9.95</w:t>
            </w:r>
          </w:p>
        </w:tc>
        <w:tc>
          <w:tcPr>
            <w:tcW w:w="2020" w:type="dxa"/>
            <w:gridSpan w:val="2"/>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5.59</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1、公务用车购置和维护经费</w:t>
            </w:r>
          </w:p>
        </w:tc>
        <w:tc>
          <w:tcPr>
            <w:tcW w:w="1910" w:type="dxa"/>
            <w:gridSpan w:val="2"/>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0</w:t>
            </w:r>
          </w:p>
        </w:tc>
        <w:tc>
          <w:tcPr>
            <w:tcW w:w="2350" w:type="dxa"/>
            <w:gridSpan w:val="2"/>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0</w:t>
            </w:r>
          </w:p>
        </w:tc>
        <w:tc>
          <w:tcPr>
            <w:tcW w:w="2020" w:type="dxa"/>
            <w:gridSpan w:val="2"/>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其中：公车购置</w:t>
            </w:r>
          </w:p>
        </w:tc>
        <w:tc>
          <w:tcPr>
            <w:tcW w:w="1910" w:type="dxa"/>
            <w:gridSpan w:val="2"/>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0</w:t>
            </w:r>
          </w:p>
        </w:tc>
        <w:tc>
          <w:tcPr>
            <w:tcW w:w="2350" w:type="dxa"/>
            <w:gridSpan w:val="2"/>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0</w:t>
            </w:r>
          </w:p>
        </w:tc>
        <w:tc>
          <w:tcPr>
            <w:tcW w:w="2020" w:type="dxa"/>
            <w:gridSpan w:val="2"/>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公车运行维护</w:t>
            </w:r>
          </w:p>
        </w:tc>
        <w:tc>
          <w:tcPr>
            <w:tcW w:w="1910" w:type="dxa"/>
            <w:gridSpan w:val="2"/>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0</w:t>
            </w:r>
          </w:p>
        </w:tc>
        <w:tc>
          <w:tcPr>
            <w:tcW w:w="2350" w:type="dxa"/>
            <w:gridSpan w:val="2"/>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0</w:t>
            </w:r>
          </w:p>
        </w:tc>
        <w:tc>
          <w:tcPr>
            <w:tcW w:w="2020" w:type="dxa"/>
            <w:gridSpan w:val="2"/>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2、出国经费</w:t>
            </w:r>
          </w:p>
        </w:tc>
        <w:tc>
          <w:tcPr>
            <w:tcW w:w="1910" w:type="dxa"/>
            <w:gridSpan w:val="2"/>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0</w:t>
            </w:r>
          </w:p>
        </w:tc>
        <w:tc>
          <w:tcPr>
            <w:tcW w:w="2350" w:type="dxa"/>
            <w:gridSpan w:val="2"/>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0</w:t>
            </w:r>
          </w:p>
        </w:tc>
        <w:tc>
          <w:tcPr>
            <w:tcW w:w="2020" w:type="dxa"/>
            <w:gridSpan w:val="2"/>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3、公务接待</w:t>
            </w:r>
          </w:p>
        </w:tc>
        <w:tc>
          <w:tcPr>
            <w:tcW w:w="1910" w:type="dxa"/>
            <w:gridSpan w:val="2"/>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9.95</w:t>
            </w:r>
          </w:p>
        </w:tc>
        <w:tc>
          <w:tcPr>
            <w:tcW w:w="2350" w:type="dxa"/>
            <w:gridSpan w:val="2"/>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9.95</w:t>
            </w:r>
          </w:p>
        </w:tc>
        <w:tc>
          <w:tcPr>
            <w:tcW w:w="2020" w:type="dxa"/>
            <w:gridSpan w:val="2"/>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5.59</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项目支出：</w:t>
            </w:r>
          </w:p>
        </w:tc>
        <w:tc>
          <w:tcPr>
            <w:tcW w:w="1910" w:type="dxa"/>
            <w:gridSpan w:val="2"/>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1453.75</w:t>
            </w:r>
          </w:p>
        </w:tc>
        <w:tc>
          <w:tcPr>
            <w:tcW w:w="2350" w:type="dxa"/>
            <w:gridSpan w:val="2"/>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0</w:t>
            </w:r>
          </w:p>
        </w:tc>
        <w:tc>
          <w:tcPr>
            <w:tcW w:w="2020" w:type="dxa"/>
            <w:gridSpan w:val="2"/>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1150.01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1、业务工作经费</w:t>
            </w:r>
          </w:p>
        </w:tc>
        <w:tc>
          <w:tcPr>
            <w:tcW w:w="1910" w:type="dxa"/>
            <w:gridSpan w:val="2"/>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262.59</w:t>
            </w:r>
          </w:p>
        </w:tc>
        <w:tc>
          <w:tcPr>
            <w:tcW w:w="2350" w:type="dxa"/>
            <w:gridSpan w:val="2"/>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0</w:t>
            </w:r>
          </w:p>
        </w:tc>
        <w:tc>
          <w:tcPr>
            <w:tcW w:w="2020" w:type="dxa"/>
            <w:gridSpan w:val="2"/>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223.01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2、运行维护经费</w:t>
            </w:r>
          </w:p>
        </w:tc>
        <w:tc>
          <w:tcPr>
            <w:tcW w:w="1910" w:type="dxa"/>
            <w:gridSpan w:val="2"/>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1191.16</w:t>
            </w:r>
          </w:p>
        </w:tc>
        <w:tc>
          <w:tcPr>
            <w:tcW w:w="2350" w:type="dxa"/>
            <w:gridSpan w:val="2"/>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0</w:t>
            </w:r>
          </w:p>
        </w:tc>
        <w:tc>
          <w:tcPr>
            <w:tcW w:w="2020" w:type="dxa"/>
            <w:gridSpan w:val="2"/>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927</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3、本级专项资金（一个专项一行）</w:t>
            </w:r>
          </w:p>
        </w:tc>
        <w:tc>
          <w:tcPr>
            <w:tcW w:w="1910" w:type="dxa"/>
            <w:gridSpan w:val="2"/>
            <w:noWrap w:val="0"/>
            <w:vAlign w:val="center"/>
          </w:tcPr>
          <w:p>
            <w:pPr>
              <w:jc w:val="center"/>
              <w:rPr>
                <w:rFonts w:ascii="Times New Roman" w:hAnsi="Times New Roman" w:eastAsia="宋体" w:cs="Times New Roman"/>
                <w:kern w:val="0"/>
                <w:sz w:val="21"/>
                <w:szCs w:val="21"/>
              </w:rPr>
            </w:pPr>
          </w:p>
        </w:tc>
        <w:tc>
          <w:tcPr>
            <w:tcW w:w="2350" w:type="dxa"/>
            <w:gridSpan w:val="2"/>
            <w:noWrap w:val="0"/>
            <w:vAlign w:val="center"/>
          </w:tcPr>
          <w:p>
            <w:pPr>
              <w:jc w:val="center"/>
              <w:rPr>
                <w:rFonts w:ascii="Times New Roman" w:hAnsi="Times New Roman" w:eastAsia="宋体" w:cs="Times New Roman"/>
                <w:kern w:val="0"/>
                <w:sz w:val="21"/>
                <w:szCs w:val="21"/>
              </w:rPr>
            </w:pPr>
          </w:p>
        </w:tc>
        <w:tc>
          <w:tcPr>
            <w:tcW w:w="2020" w:type="dxa"/>
            <w:gridSpan w:val="2"/>
            <w:noWrap w:val="0"/>
            <w:vAlign w:val="center"/>
          </w:tcPr>
          <w:p>
            <w:pPr>
              <w:jc w:val="center"/>
              <w:rPr>
                <w:rFonts w:ascii="Times New Roman" w:hAnsi="Times New Roman" w:eastAsia="宋体" w:cs="Times New Roman"/>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公用经费：</w:t>
            </w:r>
          </w:p>
        </w:tc>
        <w:tc>
          <w:tcPr>
            <w:tcW w:w="1910" w:type="dxa"/>
            <w:gridSpan w:val="2"/>
            <w:noWrap w:val="0"/>
            <w:vAlign w:val="center"/>
          </w:tcPr>
          <w:p>
            <w:pPr>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75.18</w:t>
            </w:r>
          </w:p>
        </w:tc>
        <w:tc>
          <w:tcPr>
            <w:tcW w:w="2350" w:type="dxa"/>
            <w:gridSpan w:val="2"/>
            <w:noWrap w:val="0"/>
            <w:vAlign w:val="center"/>
          </w:tcPr>
          <w:p>
            <w:pPr>
              <w:jc w:val="center"/>
              <w:rPr>
                <w:rFonts w:ascii="Times New Roman" w:hAnsi="Times New Roman" w:eastAsia="宋体" w:cs="Times New Roman"/>
                <w:kern w:val="0"/>
                <w:sz w:val="21"/>
                <w:szCs w:val="21"/>
              </w:rPr>
            </w:pPr>
          </w:p>
        </w:tc>
        <w:tc>
          <w:tcPr>
            <w:tcW w:w="2020" w:type="dxa"/>
            <w:gridSpan w:val="2"/>
            <w:noWrap w:val="0"/>
            <w:vAlign w:val="center"/>
          </w:tcPr>
          <w:p>
            <w:pPr>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64.05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其中：办公经费</w:t>
            </w:r>
          </w:p>
        </w:tc>
        <w:tc>
          <w:tcPr>
            <w:tcW w:w="1910" w:type="dxa"/>
            <w:gridSpan w:val="2"/>
            <w:noWrap w:val="0"/>
            <w:vAlign w:val="center"/>
          </w:tcPr>
          <w:p>
            <w:pPr>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14.59</w:t>
            </w:r>
          </w:p>
        </w:tc>
        <w:tc>
          <w:tcPr>
            <w:tcW w:w="2350" w:type="dxa"/>
            <w:gridSpan w:val="2"/>
            <w:noWrap w:val="0"/>
            <w:vAlign w:val="center"/>
          </w:tcPr>
          <w:p>
            <w:pPr>
              <w:jc w:val="center"/>
              <w:rPr>
                <w:rFonts w:ascii="Times New Roman" w:hAnsi="Times New Roman" w:eastAsia="宋体" w:cs="Times New Roman"/>
                <w:kern w:val="0"/>
                <w:sz w:val="21"/>
                <w:szCs w:val="21"/>
              </w:rPr>
            </w:pPr>
          </w:p>
        </w:tc>
        <w:tc>
          <w:tcPr>
            <w:tcW w:w="2020" w:type="dxa"/>
            <w:gridSpan w:val="2"/>
            <w:noWrap w:val="0"/>
            <w:vAlign w:val="center"/>
          </w:tcPr>
          <w:p>
            <w:pPr>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11.67</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水费、电费、差旅费</w:t>
            </w:r>
          </w:p>
        </w:tc>
        <w:tc>
          <w:tcPr>
            <w:tcW w:w="1910" w:type="dxa"/>
            <w:gridSpan w:val="2"/>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14.8</w:t>
            </w:r>
          </w:p>
        </w:tc>
        <w:tc>
          <w:tcPr>
            <w:tcW w:w="2350" w:type="dxa"/>
            <w:gridSpan w:val="2"/>
            <w:noWrap w:val="0"/>
            <w:vAlign w:val="center"/>
          </w:tcPr>
          <w:p>
            <w:pPr>
              <w:jc w:val="center"/>
              <w:rPr>
                <w:rFonts w:ascii="Times New Roman" w:hAnsi="Times New Roman" w:eastAsia="宋体" w:cs="Times New Roman"/>
                <w:kern w:val="0"/>
                <w:sz w:val="21"/>
                <w:szCs w:val="21"/>
              </w:rPr>
            </w:pPr>
          </w:p>
        </w:tc>
        <w:tc>
          <w:tcPr>
            <w:tcW w:w="2020" w:type="dxa"/>
            <w:gridSpan w:val="2"/>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16.19</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会议费、培训费</w:t>
            </w:r>
          </w:p>
        </w:tc>
        <w:tc>
          <w:tcPr>
            <w:tcW w:w="1910" w:type="dxa"/>
            <w:gridSpan w:val="2"/>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4.56</w:t>
            </w:r>
          </w:p>
        </w:tc>
        <w:tc>
          <w:tcPr>
            <w:tcW w:w="2350" w:type="dxa"/>
            <w:gridSpan w:val="2"/>
            <w:noWrap w:val="0"/>
            <w:vAlign w:val="center"/>
          </w:tcPr>
          <w:p>
            <w:pPr>
              <w:jc w:val="center"/>
              <w:rPr>
                <w:rFonts w:ascii="Times New Roman" w:hAnsi="Times New Roman" w:eastAsia="宋体" w:cs="Times New Roman"/>
                <w:kern w:val="0"/>
                <w:sz w:val="21"/>
                <w:szCs w:val="21"/>
              </w:rPr>
            </w:pPr>
          </w:p>
        </w:tc>
        <w:tc>
          <w:tcPr>
            <w:tcW w:w="2020" w:type="dxa"/>
            <w:gridSpan w:val="2"/>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4.59</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政府采购金额</w:t>
            </w:r>
          </w:p>
        </w:tc>
        <w:tc>
          <w:tcPr>
            <w:tcW w:w="1910" w:type="dxa"/>
            <w:gridSpan w:val="2"/>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26.65</w:t>
            </w:r>
          </w:p>
        </w:tc>
        <w:tc>
          <w:tcPr>
            <w:tcW w:w="2350" w:type="dxa"/>
            <w:gridSpan w:val="2"/>
            <w:noWrap w:val="0"/>
            <w:vAlign w:val="center"/>
          </w:tcPr>
          <w:p>
            <w:pPr>
              <w:jc w:val="center"/>
              <w:rPr>
                <w:rFonts w:ascii="Times New Roman" w:hAnsi="Times New Roman" w:eastAsia="宋体" w:cs="Times New Roman"/>
                <w:kern w:val="0"/>
                <w:sz w:val="21"/>
                <w:szCs w:val="21"/>
              </w:rPr>
            </w:pPr>
          </w:p>
        </w:tc>
        <w:tc>
          <w:tcPr>
            <w:tcW w:w="2020" w:type="dxa"/>
            <w:gridSpan w:val="2"/>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3.07</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i w:val="0"/>
                <w:iCs w:val="0"/>
                <w:color w:val="000000"/>
                <w:kern w:val="0"/>
                <w:sz w:val="18"/>
                <w:szCs w:val="18"/>
                <w:u w:val="none"/>
                <w:lang w:val="en-US" w:eastAsia="zh-CN" w:bidi="ar"/>
              </w:rPr>
              <w:t xml:space="preserve">部门基本支出预算调整 </w:t>
            </w:r>
          </w:p>
        </w:tc>
        <w:tc>
          <w:tcPr>
            <w:tcW w:w="1910" w:type="dxa"/>
            <w:gridSpan w:val="2"/>
            <w:noWrap w:val="0"/>
            <w:vAlign w:val="center"/>
          </w:tcPr>
          <w:p>
            <w:pPr>
              <w:jc w:val="center"/>
              <w:rPr>
                <w:rFonts w:ascii="Times New Roman" w:hAnsi="Times New Roman" w:eastAsia="宋体" w:cs="Times New Roman"/>
                <w:kern w:val="0"/>
                <w:sz w:val="21"/>
                <w:szCs w:val="21"/>
              </w:rPr>
            </w:pPr>
          </w:p>
        </w:tc>
        <w:tc>
          <w:tcPr>
            <w:tcW w:w="2350" w:type="dxa"/>
            <w:gridSpan w:val="2"/>
            <w:noWrap w:val="0"/>
            <w:vAlign w:val="center"/>
          </w:tcPr>
          <w:p>
            <w:pPr>
              <w:jc w:val="center"/>
              <w:rPr>
                <w:rFonts w:ascii="Times New Roman" w:hAnsi="Times New Roman" w:eastAsia="宋体" w:cs="Times New Roman"/>
                <w:kern w:val="0"/>
                <w:sz w:val="21"/>
                <w:szCs w:val="21"/>
              </w:rPr>
            </w:pPr>
          </w:p>
        </w:tc>
        <w:tc>
          <w:tcPr>
            <w:tcW w:w="2020" w:type="dxa"/>
            <w:gridSpan w:val="2"/>
            <w:noWrap w:val="0"/>
            <w:vAlign w:val="center"/>
          </w:tcPr>
          <w:p>
            <w:pPr>
              <w:jc w:val="center"/>
              <w:rPr>
                <w:rFonts w:ascii="Times New Roman" w:hAnsi="Times New Roman" w:eastAsia="宋体" w:cs="Times New Roman"/>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3240" w:type="dxa"/>
            <w:vMerge w:val="restart"/>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b/>
                <w:bCs/>
                <w:i w:val="0"/>
                <w:iCs w:val="0"/>
                <w:color w:val="000000"/>
                <w:kern w:val="0"/>
                <w:sz w:val="18"/>
                <w:szCs w:val="18"/>
                <w:u w:val="none"/>
                <w:lang w:val="en-US" w:eastAsia="zh-CN" w:bidi="ar"/>
              </w:rPr>
              <w:t xml:space="preserve">楼堂馆所控制情况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（2024年完工项目）</w:t>
            </w:r>
          </w:p>
        </w:tc>
        <w:tc>
          <w:tcPr>
            <w:tcW w:w="906" w:type="dxa"/>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b/>
                <w:bCs/>
                <w:i w:val="0"/>
                <w:iCs w:val="0"/>
                <w:color w:val="000000"/>
                <w:kern w:val="0"/>
                <w:sz w:val="18"/>
                <w:szCs w:val="18"/>
                <w:u w:val="none"/>
                <w:lang w:val="en-US" w:eastAsia="zh-CN" w:bidi="ar"/>
              </w:rPr>
              <w:t xml:space="preserve">批复规模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w:t>
            </w:r>
          </w:p>
        </w:tc>
        <w:tc>
          <w:tcPr>
            <w:tcW w:w="1004" w:type="dxa"/>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实际规模</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w:t>
            </w:r>
          </w:p>
        </w:tc>
        <w:tc>
          <w:tcPr>
            <w:tcW w:w="973" w:type="dxa"/>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b/>
                <w:bCs/>
                <w:i w:val="0"/>
                <w:iCs w:val="0"/>
                <w:color w:val="000000"/>
                <w:kern w:val="0"/>
                <w:sz w:val="18"/>
                <w:szCs w:val="18"/>
                <w:u w:val="none"/>
                <w:lang w:val="en-US" w:eastAsia="zh-CN" w:bidi="ar"/>
              </w:rPr>
              <w:t>规模控制率</w:t>
            </w:r>
          </w:p>
        </w:tc>
        <w:tc>
          <w:tcPr>
            <w:tcW w:w="1377" w:type="dxa"/>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b/>
                <w:bCs/>
                <w:i w:val="0"/>
                <w:iCs w:val="0"/>
                <w:color w:val="000000"/>
                <w:kern w:val="0"/>
                <w:sz w:val="18"/>
                <w:szCs w:val="18"/>
                <w:u w:val="none"/>
                <w:lang w:val="en-US" w:eastAsia="zh-CN" w:bidi="ar"/>
              </w:rPr>
              <w:t>预算投资</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（万元）</w:t>
            </w:r>
          </w:p>
        </w:tc>
        <w:tc>
          <w:tcPr>
            <w:tcW w:w="1125" w:type="dxa"/>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b/>
                <w:bCs/>
                <w:i w:val="0"/>
                <w:iCs w:val="0"/>
                <w:color w:val="000000"/>
                <w:kern w:val="0"/>
                <w:sz w:val="18"/>
                <w:szCs w:val="18"/>
                <w:u w:val="none"/>
                <w:lang w:val="en-US" w:eastAsia="zh-CN" w:bidi="ar"/>
              </w:rPr>
              <w:t>实际投资</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（万元）</w:t>
            </w:r>
          </w:p>
        </w:tc>
        <w:tc>
          <w:tcPr>
            <w:tcW w:w="895" w:type="dxa"/>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b/>
                <w:bCs/>
                <w:i w:val="0"/>
                <w:iCs w:val="0"/>
                <w:color w:val="000000"/>
                <w:kern w:val="0"/>
                <w:sz w:val="18"/>
                <w:szCs w:val="18"/>
                <w:u w:val="none"/>
                <w:lang w:val="en-US" w:eastAsia="zh-CN" w:bidi="ar"/>
              </w:rPr>
              <w:t>投资概算控制率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54" w:hRule="atLeast"/>
        </w:trPr>
        <w:tc>
          <w:tcPr>
            <w:tcW w:w="3240" w:type="dxa"/>
            <w:vMerge w:val="continue"/>
            <w:noWrap w:val="0"/>
            <w:vAlign w:val="center"/>
          </w:tcPr>
          <w:p>
            <w:pPr>
              <w:jc w:val="center"/>
              <w:rPr>
                <w:rFonts w:ascii="Times New Roman" w:hAnsi="Times New Roman" w:eastAsia="宋体" w:cs="Times New Roman"/>
                <w:kern w:val="0"/>
                <w:sz w:val="21"/>
                <w:szCs w:val="21"/>
              </w:rPr>
            </w:pPr>
          </w:p>
        </w:tc>
        <w:tc>
          <w:tcPr>
            <w:tcW w:w="906" w:type="dxa"/>
            <w:noWrap w:val="0"/>
            <w:vAlign w:val="center"/>
          </w:tcPr>
          <w:p>
            <w:pPr>
              <w:jc w:val="center"/>
              <w:rPr>
                <w:rFonts w:ascii="Times New Roman" w:hAnsi="Times New Roman" w:eastAsia="宋体" w:cs="Times New Roman"/>
                <w:kern w:val="0"/>
                <w:sz w:val="21"/>
                <w:szCs w:val="21"/>
              </w:rPr>
            </w:pPr>
          </w:p>
        </w:tc>
        <w:tc>
          <w:tcPr>
            <w:tcW w:w="1004" w:type="dxa"/>
            <w:noWrap w:val="0"/>
            <w:vAlign w:val="center"/>
          </w:tcPr>
          <w:p>
            <w:pPr>
              <w:jc w:val="center"/>
              <w:rPr>
                <w:rFonts w:ascii="Times New Roman" w:hAnsi="Times New Roman" w:eastAsia="宋体" w:cs="Times New Roman"/>
                <w:kern w:val="0"/>
                <w:sz w:val="21"/>
                <w:szCs w:val="21"/>
              </w:rPr>
            </w:pPr>
          </w:p>
        </w:tc>
        <w:tc>
          <w:tcPr>
            <w:tcW w:w="973" w:type="dxa"/>
            <w:noWrap w:val="0"/>
            <w:vAlign w:val="center"/>
          </w:tcPr>
          <w:p>
            <w:pPr>
              <w:jc w:val="center"/>
              <w:rPr>
                <w:rFonts w:ascii="Times New Roman" w:hAnsi="Times New Roman" w:eastAsia="宋体" w:cs="Times New Roman"/>
                <w:kern w:val="0"/>
                <w:sz w:val="21"/>
                <w:szCs w:val="21"/>
              </w:rPr>
            </w:pPr>
          </w:p>
        </w:tc>
        <w:tc>
          <w:tcPr>
            <w:tcW w:w="1377" w:type="dxa"/>
            <w:noWrap w:val="0"/>
            <w:vAlign w:val="center"/>
          </w:tcPr>
          <w:p>
            <w:pPr>
              <w:jc w:val="center"/>
              <w:rPr>
                <w:rFonts w:ascii="Times New Roman" w:hAnsi="Times New Roman" w:eastAsia="宋体" w:cs="Times New Roman"/>
                <w:kern w:val="0"/>
                <w:sz w:val="21"/>
                <w:szCs w:val="21"/>
              </w:rPr>
            </w:pPr>
          </w:p>
        </w:tc>
        <w:tc>
          <w:tcPr>
            <w:tcW w:w="1125" w:type="dxa"/>
            <w:noWrap w:val="0"/>
            <w:vAlign w:val="center"/>
          </w:tcPr>
          <w:p>
            <w:pPr>
              <w:jc w:val="center"/>
              <w:rPr>
                <w:rFonts w:ascii="Times New Roman" w:hAnsi="Times New Roman" w:eastAsia="宋体" w:cs="Times New Roman"/>
                <w:kern w:val="0"/>
                <w:sz w:val="21"/>
                <w:szCs w:val="21"/>
              </w:rPr>
            </w:pPr>
          </w:p>
        </w:tc>
        <w:tc>
          <w:tcPr>
            <w:tcW w:w="895" w:type="dxa"/>
            <w:noWrap w:val="0"/>
            <w:vAlign w:val="center"/>
          </w:tcPr>
          <w:p>
            <w:pPr>
              <w:jc w:val="center"/>
              <w:rPr>
                <w:rFonts w:ascii="Times New Roman" w:hAnsi="Times New Roman" w:eastAsia="宋体" w:cs="Times New Roman"/>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64" w:hRule="atLeast"/>
        </w:trPr>
        <w:tc>
          <w:tcPr>
            <w:tcW w:w="3240" w:type="dxa"/>
            <w:noWrap w:val="0"/>
            <w:vAlign w:val="center"/>
          </w:tcPr>
          <w:p>
            <w:pPr>
              <w:keepNext w:val="0"/>
              <w:keepLines w:val="0"/>
              <w:widowControl/>
              <w:suppressLineNumbers w:val="0"/>
              <w:jc w:val="center"/>
              <w:textAlignment w:val="center"/>
              <w:rPr>
                <w:rFonts w:ascii="Times New Roman" w:hAnsi="Times New Roman" w:eastAsia="宋体" w:cs="Times New Roman"/>
                <w:kern w:val="0"/>
                <w:sz w:val="21"/>
                <w:szCs w:val="21"/>
              </w:rPr>
            </w:pPr>
            <w:r>
              <w:rPr>
                <w:rFonts w:hint="eastAsia" w:ascii="宋体" w:hAnsi="宋体" w:eastAsia="宋体" w:cs="宋体"/>
                <w:b/>
                <w:bCs/>
                <w:i w:val="0"/>
                <w:iCs w:val="0"/>
                <w:color w:val="000000"/>
                <w:kern w:val="0"/>
                <w:sz w:val="18"/>
                <w:szCs w:val="18"/>
                <w:u w:val="none"/>
                <w:lang w:val="en-US" w:eastAsia="zh-CN" w:bidi="ar"/>
              </w:rPr>
              <w:t>厉行节约保障措施</w:t>
            </w:r>
          </w:p>
        </w:tc>
        <w:tc>
          <w:tcPr>
            <w:tcW w:w="6280" w:type="dxa"/>
            <w:gridSpan w:val="6"/>
            <w:noWrap w:val="0"/>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严格报账程序，严把票据审核关</w:t>
            </w:r>
            <w:r>
              <w:rPr>
                <w:rFonts w:hint="eastAsia" w:ascii="Times New Roman" w:hAnsi="Times New Roman" w:eastAsia="宋体" w:cs="Times New Roman"/>
                <w:kern w:val="0"/>
                <w:sz w:val="21"/>
                <w:szCs w:val="21"/>
                <w:lang w:val="en-US" w:eastAsia="zh-CN"/>
              </w:rPr>
              <w:t>.</w:t>
            </w:r>
          </w:p>
        </w:tc>
      </w:tr>
    </w:tbl>
    <w:p>
      <w:pPr>
        <w:autoSpaceDE w:val="0"/>
        <w:autoSpaceDN w:val="0"/>
        <w:spacing w:before="20" w:line="340" w:lineRule="atLeast"/>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kern w:val="0"/>
          <w:sz w:val="21"/>
          <w:szCs w:val="21"/>
        </w:rPr>
        <w:t>说明： “项目支出”需要填报基本支出以外的所有项目支出情况，“公用经费”填报基本支出中的一般商品和服务支出。</w:t>
      </w:r>
    </w:p>
    <w:p>
      <w:pPr>
        <w:spacing w:line="594" w:lineRule="exact"/>
        <w:jc w:val="left"/>
        <w:rPr>
          <w:rFonts w:hint="eastAsia" w:eastAsia="宋体"/>
          <w:kern w:val="0"/>
          <w:sz w:val="21"/>
          <w:szCs w:val="21"/>
          <w:lang w:val="en-US" w:eastAsia="zh-CN"/>
        </w:rPr>
      </w:pPr>
      <w:r>
        <w:rPr>
          <w:rFonts w:hAnsi="宋体" w:eastAsia="宋体"/>
          <w:kern w:val="0"/>
          <w:sz w:val="21"/>
          <w:szCs w:val="21"/>
        </w:rPr>
        <w:t>填表人：</w:t>
      </w:r>
      <w:r>
        <w:rPr>
          <w:rFonts w:hint="eastAsia" w:eastAsia="宋体"/>
          <w:kern w:val="0"/>
          <w:sz w:val="21"/>
          <w:szCs w:val="21"/>
          <w:lang w:val="en-US" w:eastAsia="zh-CN"/>
        </w:rPr>
        <w:t xml:space="preserve">高风君  </w:t>
      </w:r>
      <w:r>
        <w:rPr>
          <w:rFonts w:hAnsi="宋体" w:eastAsia="宋体"/>
          <w:kern w:val="0"/>
          <w:sz w:val="21"/>
          <w:szCs w:val="21"/>
        </w:rPr>
        <w:t>填报日期：</w:t>
      </w:r>
      <w:r>
        <w:rPr>
          <w:rFonts w:hint="eastAsia" w:eastAsia="宋体"/>
          <w:kern w:val="0"/>
          <w:sz w:val="21"/>
          <w:szCs w:val="21"/>
          <w:lang w:val="en-US" w:eastAsia="zh-CN"/>
        </w:rPr>
        <w:t xml:space="preserve">2025.04.10  </w:t>
      </w:r>
      <w:r>
        <w:rPr>
          <w:rFonts w:hAnsi="宋体" w:eastAsia="宋体"/>
          <w:kern w:val="0"/>
          <w:sz w:val="21"/>
          <w:szCs w:val="21"/>
        </w:rPr>
        <w:t>联系电话：</w:t>
      </w:r>
      <w:r>
        <w:rPr>
          <w:rFonts w:hint="eastAsia" w:hAnsi="宋体" w:eastAsia="宋体"/>
          <w:kern w:val="0"/>
          <w:sz w:val="21"/>
          <w:szCs w:val="21"/>
          <w:lang w:val="en-US" w:eastAsia="zh-CN"/>
        </w:rPr>
        <w:t xml:space="preserve">18873787818  </w:t>
      </w:r>
      <w:r>
        <w:rPr>
          <w:rFonts w:hAnsi="宋体" w:eastAsia="宋体"/>
          <w:kern w:val="0"/>
          <w:sz w:val="21"/>
          <w:szCs w:val="21"/>
        </w:rPr>
        <w:t>单位负责人签字：</w:t>
      </w:r>
      <w:r>
        <w:rPr>
          <w:rFonts w:hint="eastAsia" w:eastAsia="宋体"/>
          <w:kern w:val="0"/>
          <w:sz w:val="21"/>
          <w:szCs w:val="21"/>
          <w:lang w:val="en-US" w:eastAsia="zh-CN"/>
        </w:rPr>
        <w:t>郭龙辉</w:t>
      </w:r>
    </w:p>
    <w:p>
      <w:pPr>
        <w:spacing w:line="594" w:lineRule="exact"/>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附件2</w:t>
      </w:r>
    </w:p>
    <w:p>
      <w:pPr>
        <w:spacing w:line="594" w:lineRule="exact"/>
        <w:jc w:val="center"/>
        <w:rPr>
          <w:rFonts w:hint="eastAsia" w:ascii="方正小标宋简体" w:hAnsi="Times New Roman" w:eastAsia="方正小标宋简体" w:cs="Times New Roman"/>
          <w:bCs/>
          <w:kern w:val="0"/>
          <w:sz w:val="44"/>
          <w:szCs w:val="44"/>
        </w:rPr>
      </w:pPr>
      <w:r>
        <w:rPr>
          <w:rFonts w:hint="eastAsia" w:ascii="方正小标宋简体" w:hAnsi="Times New Roman" w:eastAsia="方正小标宋简体" w:cs="Times New Roman"/>
          <w:bCs/>
          <w:kern w:val="0"/>
          <w:sz w:val="44"/>
          <w:szCs w:val="44"/>
        </w:rPr>
        <w:t>桃江县2024年度部门整体支出绩效自评表</w:t>
      </w:r>
    </w:p>
    <w:tbl>
      <w:tblPr>
        <w:tblStyle w:val="5"/>
        <w:tblpPr w:leftFromText="180" w:rightFromText="180" w:vertAnchor="text" w:horzAnchor="page" w:tblpX="1077" w:tblpY="111"/>
        <w:tblOverlap w:val="never"/>
        <w:tblW w:w="9960" w:type="dxa"/>
        <w:tblInd w:w="-15"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749"/>
        <w:gridCol w:w="807"/>
        <w:gridCol w:w="1544"/>
        <w:gridCol w:w="894"/>
        <w:gridCol w:w="912"/>
        <w:gridCol w:w="920"/>
        <w:gridCol w:w="720"/>
        <w:gridCol w:w="738"/>
        <w:gridCol w:w="921"/>
        <w:gridCol w:w="834"/>
        <w:gridCol w:w="92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51" w:hRule="atLeast"/>
        </w:trPr>
        <w:tc>
          <w:tcPr>
            <w:tcW w:w="3100" w:type="dxa"/>
            <w:gridSpan w:val="3"/>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18"/>
                <w:szCs w:val="18"/>
                <w:u w:val="none"/>
                <w:lang w:val="en-US" w:eastAsia="zh-CN" w:bidi="ar"/>
              </w:rPr>
              <w:t>预算部门名称</w:t>
            </w:r>
          </w:p>
        </w:tc>
        <w:tc>
          <w:tcPr>
            <w:tcW w:w="6860" w:type="dxa"/>
            <w:gridSpan w:val="8"/>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18"/>
                <w:szCs w:val="18"/>
                <w:u w:val="none"/>
                <w:lang w:val="en-US" w:eastAsia="zh-CN" w:bidi="ar"/>
              </w:rPr>
              <w:t>桃江县科学技术和工业信息化局</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00" w:type="dxa"/>
            <w:gridSpan w:val="3"/>
            <w:vMerge w:val="restart"/>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Microsoft YaHei UI" w:hAnsi="Microsoft YaHei UI" w:eastAsia="Microsoft YaHei UI" w:cs="Microsoft YaHei UI"/>
                <w:i w:val="0"/>
                <w:iCs w:val="0"/>
                <w:color w:val="000000"/>
                <w:kern w:val="0"/>
                <w:sz w:val="18"/>
                <w:szCs w:val="18"/>
                <w:u w:val="none"/>
                <w:lang w:val="en-US" w:eastAsia="zh-CN" w:bidi="ar"/>
              </w:rPr>
              <w:t>年度预算申请</w:t>
            </w:r>
            <w:r>
              <w:rPr>
                <w:rFonts w:hint="default" w:ascii="Microsoft YaHei UI" w:hAnsi="Microsoft YaHei UI" w:eastAsia="Microsoft YaHei UI" w:cs="Microsoft YaHei UI"/>
                <w:i w:val="0"/>
                <w:iCs w:val="0"/>
                <w:color w:val="000000"/>
                <w:kern w:val="0"/>
                <w:sz w:val="18"/>
                <w:szCs w:val="18"/>
                <w:u w:val="none"/>
                <w:lang w:val="en-US" w:eastAsia="zh-CN" w:bidi="ar"/>
              </w:rPr>
              <w:br w:type="textWrapping"/>
            </w:r>
            <w:r>
              <w:rPr>
                <w:rFonts w:hint="default" w:ascii="Microsoft YaHei UI" w:hAnsi="Microsoft YaHei UI" w:eastAsia="Microsoft YaHei UI" w:cs="Microsoft YaHei UI"/>
                <w:i w:val="0"/>
                <w:iCs w:val="0"/>
                <w:color w:val="000000"/>
                <w:kern w:val="0"/>
                <w:sz w:val="18"/>
                <w:szCs w:val="18"/>
                <w:u w:val="none"/>
                <w:lang w:val="en-US" w:eastAsia="zh-CN" w:bidi="ar"/>
              </w:rPr>
              <w:t>(万元)</w:t>
            </w:r>
          </w:p>
        </w:tc>
        <w:tc>
          <w:tcPr>
            <w:tcW w:w="894" w:type="dxa"/>
            <w:noWrap w:val="0"/>
            <w:vAlign w:val="center"/>
          </w:tcPr>
          <w:p>
            <w:pPr>
              <w:jc w:val="center"/>
              <w:rPr>
                <w:rFonts w:hint="eastAsia" w:ascii="宋体" w:hAnsi="宋体" w:eastAsia="宋体" w:cs="宋体"/>
                <w:kern w:val="0"/>
                <w:sz w:val="21"/>
                <w:szCs w:val="21"/>
              </w:rPr>
            </w:pPr>
          </w:p>
        </w:tc>
        <w:tc>
          <w:tcPr>
            <w:tcW w:w="91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b/>
                <w:bCs/>
                <w:i w:val="0"/>
                <w:iCs w:val="0"/>
                <w:color w:val="000000"/>
                <w:kern w:val="0"/>
                <w:sz w:val="18"/>
                <w:szCs w:val="18"/>
                <w:u w:val="none"/>
                <w:lang w:val="en-US" w:eastAsia="zh-CN" w:bidi="ar"/>
              </w:rPr>
              <w:t>年初预算数</w:t>
            </w:r>
            <w:r>
              <w:rPr>
                <w:rFonts w:hint="default" w:ascii="仿宋_GB2312" w:hAnsi="宋体" w:eastAsia="仿宋_GB2312" w:cs="仿宋_GB2312"/>
                <w:b/>
                <w:bCs/>
                <w:i w:val="0"/>
                <w:iCs w:val="0"/>
                <w:color w:val="000000"/>
                <w:kern w:val="0"/>
                <w:sz w:val="18"/>
                <w:szCs w:val="18"/>
                <w:u w:val="none"/>
                <w:lang w:val="en-US" w:eastAsia="zh-CN" w:bidi="ar"/>
              </w:rPr>
              <w:br w:type="textWrapping"/>
            </w:r>
            <w:r>
              <w:rPr>
                <w:rFonts w:hint="default" w:ascii="仿宋_GB2312" w:hAnsi="宋体" w:eastAsia="仿宋_GB2312" w:cs="仿宋_GB2312"/>
                <w:b/>
                <w:bCs/>
                <w:i w:val="0"/>
                <w:iCs w:val="0"/>
                <w:color w:val="000000"/>
                <w:kern w:val="0"/>
                <w:sz w:val="18"/>
                <w:szCs w:val="18"/>
                <w:u w:val="none"/>
                <w:lang w:val="en-US" w:eastAsia="zh-CN" w:bidi="ar"/>
              </w:rPr>
              <w:t>(万元)</w:t>
            </w:r>
          </w:p>
        </w:tc>
        <w:tc>
          <w:tcPr>
            <w:tcW w:w="920"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18"/>
                <w:szCs w:val="18"/>
                <w:u w:val="none"/>
                <w:lang w:val="en-US" w:eastAsia="zh-CN" w:bidi="ar"/>
              </w:rPr>
              <w:t>全年预算数</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（万元）</w:t>
            </w:r>
          </w:p>
        </w:tc>
        <w:tc>
          <w:tcPr>
            <w:tcW w:w="1458" w:type="dxa"/>
            <w:gridSpan w:val="2"/>
            <w:noWrap w:val="0"/>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18"/>
                <w:szCs w:val="18"/>
                <w:u w:val="none"/>
                <w:lang w:val="en-US" w:eastAsia="zh-CN" w:bidi="ar"/>
              </w:rPr>
              <w:t>全年执行数</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（万元）</w:t>
            </w:r>
          </w:p>
        </w:tc>
        <w:tc>
          <w:tcPr>
            <w:tcW w:w="921"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18"/>
                <w:szCs w:val="18"/>
                <w:u w:val="none"/>
                <w:lang w:val="en-US" w:eastAsia="zh-CN" w:bidi="ar"/>
              </w:rPr>
              <w:t>分值</w:t>
            </w:r>
          </w:p>
        </w:tc>
        <w:tc>
          <w:tcPr>
            <w:tcW w:w="83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18"/>
                <w:szCs w:val="18"/>
                <w:u w:val="none"/>
                <w:lang w:val="en-US" w:eastAsia="zh-CN" w:bidi="ar"/>
              </w:rPr>
              <w:t>执行率</w:t>
            </w:r>
          </w:p>
        </w:tc>
        <w:tc>
          <w:tcPr>
            <w:tcW w:w="921"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b/>
                <w:bCs/>
                <w:i w:val="0"/>
                <w:iCs w:val="0"/>
                <w:color w:val="000000"/>
                <w:kern w:val="0"/>
                <w:sz w:val="18"/>
                <w:szCs w:val="18"/>
                <w:u w:val="none"/>
                <w:lang w:val="en-US" w:eastAsia="zh-CN" w:bidi="ar"/>
              </w:rPr>
              <w:t>得分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10" w:hRule="atLeast"/>
        </w:trPr>
        <w:tc>
          <w:tcPr>
            <w:tcW w:w="3100" w:type="dxa"/>
            <w:gridSpan w:val="3"/>
            <w:vMerge w:val="continue"/>
            <w:noWrap w:val="0"/>
            <w:vAlign w:val="center"/>
          </w:tcPr>
          <w:p>
            <w:pPr>
              <w:jc w:val="center"/>
              <w:rPr>
                <w:rFonts w:hint="eastAsia" w:ascii="宋体" w:hAnsi="宋体" w:eastAsia="宋体" w:cs="宋体"/>
                <w:kern w:val="0"/>
                <w:sz w:val="21"/>
                <w:szCs w:val="21"/>
              </w:rPr>
            </w:pPr>
          </w:p>
        </w:tc>
        <w:tc>
          <w:tcPr>
            <w:tcW w:w="89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b/>
                <w:bCs/>
                <w:i w:val="0"/>
                <w:iCs w:val="0"/>
                <w:color w:val="000000"/>
                <w:kern w:val="0"/>
                <w:sz w:val="18"/>
                <w:szCs w:val="18"/>
                <w:u w:val="none"/>
                <w:lang w:val="en-US" w:eastAsia="zh-CN" w:bidi="ar"/>
              </w:rPr>
              <w:t>年度资金总额：</w:t>
            </w:r>
          </w:p>
        </w:tc>
        <w:tc>
          <w:tcPr>
            <w:tcW w:w="91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Times New Roman" w:hAnsi="Times New Roman" w:eastAsia="宋体" w:cs="Times New Roman"/>
                <w:i w:val="0"/>
                <w:iCs w:val="0"/>
                <w:color w:val="000000"/>
                <w:kern w:val="0"/>
                <w:sz w:val="18"/>
                <w:szCs w:val="18"/>
                <w:u w:val="none"/>
                <w:lang w:val="en-US" w:eastAsia="zh-CN" w:bidi="ar"/>
              </w:rPr>
              <w:t>559.97</w:t>
            </w:r>
          </w:p>
        </w:tc>
        <w:tc>
          <w:tcPr>
            <w:tcW w:w="920"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Times New Roman" w:hAnsi="Times New Roman" w:eastAsia="宋体" w:cs="Times New Roman"/>
                <w:i w:val="0"/>
                <w:iCs w:val="0"/>
                <w:color w:val="000000"/>
                <w:kern w:val="0"/>
                <w:sz w:val="18"/>
                <w:szCs w:val="18"/>
                <w:u w:val="none"/>
                <w:lang w:val="en-US" w:eastAsia="zh-CN" w:bidi="ar"/>
              </w:rPr>
              <w:t>1774.18</w:t>
            </w:r>
          </w:p>
        </w:tc>
        <w:tc>
          <w:tcPr>
            <w:tcW w:w="1458" w:type="dxa"/>
            <w:gridSpan w:val="2"/>
            <w:noWrap w:val="0"/>
            <w:vAlign w:val="center"/>
          </w:tcPr>
          <w:p>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18"/>
                <w:szCs w:val="18"/>
                <w:u w:val="none"/>
                <w:lang w:val="en-US" w:eastAsia="zh-CN" w:bidi="ar"/>
              </w:rPr>
              <w:t>1774.18</w:t>
            </w:r>
          </w:p>
        </w:tc>
        <w:tc>
          <w:tcPr>
            <w:tcW w:w="921"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3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921"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Times New Roman" w:hAnsi="Times New Roman" w:eastAsia="宋体" w:cs="Times New Roman"/>
                <w:i w:val="0"/>
                <w:iCs w:val="0"/>
                <w:color w:val="000000"/>
                <w:kern w:val="0"/>
                <w:sz w:val="18"/>
                <w:szCs w:val="18"/>
                <w:u w:val="none"/>
                <w:lang w:val="en-US" w:eastAsia="zh-CN" w:bidi="ar"/>
              </w:rPr>
              <w:t>10.00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3100" w:type="dxa"/>
            <w:gridSpan w:val="3"/>
            <w:vMerge w:val="continue"/>
            <w:noWrap w:val="0"/>
            <w:vAlign w:val="center"/>
          </w:tcPr>
          <w:p>
            <w:pPr>
              <w:jc w:val="center"/>
              <w:rPr>
                <w:rFonts w:hint="eastAsia" w:ascii="宋体" w:hAnsi="宋体" w:eastAsia="宋体" w:cs="宋体"/>
                <w:kern w:val="0"/>
                <w:sz w:val="21"/>
                <w:szCs w:val="21"/>
              </w:rPr>
            </w:pPr>
          </w:p>
        </w:tc>
        <w:tc>
          <w:tcPr>
            <w:tcW w:w="4184" w:type="dxa"/>
            <w:gridSpan w:val="5"/>
            <w:noWrap w:val="0"/>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default" w:ascii="仿宋_GB2312" w:hAnsi="宋体" w:eastAsia="仿宋_GB2312" w:cs="仿宋_GB2312"/>
                <w:b/>
                <w:bCs/>
                <w:i w:val="0"/>
                <w:iCs w:val="0"/>
                <w:color w:val="000000"/>
                <w:kern w:val="0"/>
                <w:sz w:val="18"/>
                <w:szCs w:val="18"/>
                <w:u w:val="none"/>
                <w:lang w:val="en-US" w:eastAsia="zh-CN" w:bidi="ar"/>
              </w:rPr>
              <w:t>按收入性质分：</w:t>
            </w:r>
          </w:p>
        </w:tc>
        <w:tc>
          <w:tcPr>
            <w:tcW w:w="2676" w:type="dxa"/>
            <w:gridSpan w:val="3"/>
            <w:noWrap w:val="0"/>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18"/>
                <w:szCs w:val="18"/>
                <w:u w:val="none"/>
                <w:lang w:val="en-US" w:eastAsia="zh-CN" w:bidi="ar"/>
              </w:rPr>
              <w:t>按支出性质分：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3100" w:type="dxa"/>
            <w:gridSpan w:val="3"/>
            <w:vMerge w:val="continue"/>
            <w:noWrap w:val="0"/>
            <w:vAlign w:val="center"/>
          </w:tcPr>
          <w:p>
            <w:pPr>
              <w:jc w:val="center"/>
              <w:rPr>
                <w:rFonts w:hint="eastAsia" w:ascii="宋体" w:hAnsi="宋体" w:eastAsia="宋体" w:cs="宋体"/>
                <w:kern w:val="0"/>
                <w:sz w:val="21"/>
                <w:szCs w:val="21"/>
              </w:rPr>
            </w:pPr>
          </w:p>
        </w:tc>
        <w:tc>
          <w:tcPr>
            <w:tcW w:w="89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b/>
                <w:bCs/>
                <w:i w:val="0"/>
                <w:iCs w:val="0"/>
                <w:color w:val="000000"/>
                <w:kern w:val="0"/>
                <w:sz w:val="18"/>
                <w:szCs w:val="18"/>
                <w:u w:val="none"/>
                <w:lang w:val="en-US" w:eastAsia="zh-CN" w:bidi="ar"/>
              </w:rPr>
              <w:t>一般公共预算：</w:t>
            </w:r>
          </w:p>
        </w:tc>
        <w:tc>
          <w:tcPr>
            <w:tcW w:w="3290" w:type="dxa"/>
            <w:gridSpan w:val="4"/>
            <w:noWrap w:val="0"/>
            <w:vAlign w:val="center"/>
          </w:tcPr>
          <w:p>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18"/>
                <w:szCs w:val="18"/>
                <w:u w:val="none"/>
                <w:lang w:val="en-US" w:eastAsia="zh-CN" w:bidi="ar"/>
              </w:rPr>
              <w:t>1774.18</w:t>
            </w:r>
          </w:p>
        </w:tc>
        <w:tc>
          <w:tcPr>
            <w:tcW w:w="921" w:type="dxa"/>
            <w:vMerge w:val="restart"/>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18"/>
                <w:szCs w:val="18"/>
                <w:u w:val="none"/>
                <w:lang w:val="en-US" w:eastAsia="zh-CN" w:bidi="ar"/>
              </w:rPr>
              <w:t>其中:基本支出：</w:t>
            </w:r>
          </w:p>
        </w:tc>
        <w:tc>
          <w:tcPr>
            <w:tcW w:w="1755" w:type="dxa"/>
            <w:gridSpan w:val="2"/>
            <w:vMerge w:val="restart"/>
            <w:noWrap w:val="0"/>
            <w:vAlign w:val="center"/>
          </w:tcPr>
          <w:p>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18"/>
                <w:szCs w:val="18"/>
                <w:u w:val="none"/>
                <w:lang w:val="en-US" w:eastAsia="zh-CN" w:bidi="ar"/>
              </w:rPr>
              <w:t>624.17</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3100" w:type="dxa"/>
            <w:gridSpan w:val="3"/>
            <w:vMerge w:val="continue"/>
            <w:noWrap w:val="0"/>
            <w:vAlign w:val="center"/>
          </w:tcPr>
          <w:p>
            <w:pPr>
              <w:jc w:val="center"/>
              <w:rPr>
                <w:rFonts w:hint="eastAsia" w:ascii="宋体" w:hAnsi="宋体" w:eastAsia="宋体" w:cs="宋体"/>
                <w:kern w:val="0"/>
                <w:sz w:val="21"/>
                <w:szCs w:val="21"/>
              </w:rPr>
            </w:pPr>
          </w:p>
        </w:tc>
        <w:tc>
          <w:tcPr>
            <w:tcW w:w="89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b/>
                <w:bCs/>
                <w:i w:val="0"/>
                <w:iCs w:val="0"/>
                <w:color w:val="000000"/>
                <w:kern w:val="0"/>
                <w:sz w:val="18"/>
                <w:szCs w:val="18"/>
                <w:u w:val="none"/>
                <w:lang w:val="en-US" w:eastAsia="zh-CN" w:bidi="ar"/>
              </w:rPr>
              <w:t>政府性基金拨款：</w:t>
            </w:r>
          </w:p>
        </w:tc>
        <w:tc>
          <w:tcPr>
            <w:tcW w:w="3290" w:type="dxa"/>
            <w:gridSpan w:val="4"/>
            <w:noWrap w:val="0"/>
            <w:vAlign w:val="center"/>
          </w:tcPr>
          <w:p>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18"/>
                <w:szCs w:val="18"/>
                <w:u w:val="none"/>
                <w:lang w:val="en-US" w:eastAsia="zh-CN" w:bidi="ar"/>
              </w:rPr>
              <w:t>0.00</w:t>
            </w:r>
          </w:p>
        </w:tc>
        <w:tc>
          <w:tcPr>
            <w:tcW w:w="921" w:type="dxa"/>
            <w:vMerge w:val="continue"/>
            <w:noWrap w:val="0"/>
            <w:vAlign w:val="center"/>
          </w:tcPr>
          <w:p>
            <w:pPr>
              <w:jc w:val="center"/>
              <w:rPr>
                <w:rFonts w:hint="eastAsia" w:ascii="宋体" w:hAnsi="宋体" w:eastAsia="宋体" w:cs="宋体"/>
                <w:kern w:val="0"/>
                <w:sz w:val="21"/>
                <w:szCs w:val="21"/>
              </w:rPr>
            </w:pPr>
          </w:p>
        </w:tc>
        <w:tc>
          <w:tcPr>
            <w:tcW w:w="1755" w:type="dxa"/>
            <w:gridSpan w:val="2"/>
            <w:vMerge w:val="continue"/>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3100" w:type="dxa"/>
            <w:gridSpan w:val="3"/>
            <w:vMerge w:val="continue"/>
            <w:noWrap w:val="0"/>
            <w:vAlign w:val="center"/>
          </w:tcPr>
          <w:p>
            <w:pPr>
              <w:jc w:val="center"/>
              <w:rPr>
                <w:rFonts w:hint="eastAsia" w:ascii="宋体" w:hAnsi="宋体" w:eastAsia="宋体" w:cs="宋体"/>
                <w:kern w:val="0"/>
                <w:sz w:val="21"/>
                <w:szCs w:val="21"/>
              </w:rPr>
            </w:pPr>
          </w:p>
        </w:tc>
        <w:tc>
          <w:tcPr>
            <w:tcW w:w="89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b/>
                <w:bCs/>
                <w:i w:val="0"/>
                <w:iCs w:val="0"/>
                <w:color w:val="000000"/>
                <w:kern w:val="0"/>
                <w:sz w:val="18"/>
                <w:szCs w:val="18"/>
                <w:u w:val="none"/>
                <w:lang w:val="en-US" w:eastAsia="zh-CN" w:bidi="ar"/>
              </w:rPr>
              <w:t>纳入专户管理的非税收入拨款：</w:t>
            </w:r>
          </w:p>
        </w:tc>
        <w:tc>
          <w:tcPr>
            <w:tcW w:w="3290" w:type="dxa"/>
            <w:gridSpan w:val="4"/>
            <w:noWrap w:val="0"/>
            <w:vAlign w:val="center"/>
          </w:tcPr>
          <w:p>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18"/>
                <w:szCs w:val="18"/>
                <w:u w:val="none"/>
                <w:lang w:val="en-US" w:eastAsia="zh-CN" w:bidi="ar"/>
              </w:rPr>
              <w:t>0.00</w:t>
            </w:r>
          </w:p>
        </w:tc>
        <w:tc>
          <w:tcPr>
            <w:tcW w:w="921" w:type="dxa"/>
            <w:vMerge w:val="restart"/>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18"/>
                <w:szCs w:val="18"/>
                <w:u w:val="none"/>
                <w:lang w:val="en-US" w:eastAsia="zh-CN" w:bidi="ar"/>
              </w:rPr>
              <w:t>项目支出：</w:t>
            </w:r>
          </w:p>
        </w:tc>
        <w:tc>
          <w:tcPr>
            <w:tcW w:w="1755" w:type="dxa"/>
            <w:gridSpan w:val="2"/>
            <w:vMerge w:val="restart"/>
            <w:noWrap w:val="0"/>
            <w:vAlign w:val="center"/>
          </w:tcPr>
          <w:p>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18"/>
                <w:szCs w:val="18"/>
                <w:u w:val="none"/>
                <w:lang w:val="en-US" w:eastAsia="zh-CN" w:bidi="ar"/>
              </w:rPr>
              <w:t>1150.01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100" w:type="dxa"/>
            <w:gridSpan w:val="3"/>
            <w:vMerge w:val="continue"/>
            <w:noWrap w:val="0"/>
            <w:vAlign w:val="center"/>
          </w:tcPr>
          <w:p>
            <w:pPr>
              <w:jc w:val="center"/>
              <w:rPr>
                <w:rFonts w:hint="eastAsia" w:ascii="宋体" w:hAnsi="宋体" w:eastAsia="宋体" w:cs="宋体"/>
                <w:kern w:val="0"/>
                <w:sz w:val="21"/>
                <w:szCs w:val="21"/>
              </w:rPr>
            </w:pPr>
          </w:p>
        </w:tc>
        <w:tc>
          <w:tcPr>
            <w:tcW w:w="89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b/>
                <w:bCs/>
                <w:i w:val="0"/>
                <w:iCs w:val="0"/>
                <w:color w:val="000000"/>
                <w:kern w:val="0"/>
                <w:sz w:val="18"/>
                <w:szCs w:val="18"/>
                <w:u w:val="none"/>
                <w:lang w:val="en-US" w:eastAsia="zh-CN" w:bidi="ar"/>
              </w:rPr>
              <w:t>其他资金</w:t>
            </w:r>
          </w:p>
        </w:tc>
        <w:tc>
          <w:tcPr>
            <w:tcW w:w="3290" w:type="dxa"/>
            <w:gridSpan w:val="4"/>
            <w:noWrap w:val="0"/>
            <w:vAlign w:val="center"/>
          </w:tcPr>
          <w:p>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18"/>
                <w:szCs w:val="18"/>
                <w:u w:val="none"/>
                <w:lang w:val="en-US" w:eastAsia="zh-CN" w:bidi="ar"/>
              </w:rPr>
              <w:t>0.00</w:t>
            </w:r>
          </w:p>
        </w:tc>
        <w:tc>
          <w:tcPr>
            <w:tcW w:w="921" w:type="dxa"/>
            <w:vMerge w:val="continue"/>
            <w:noWrap w:val="0"/>
            <w:vAlign w:val="center"/>
          </w:tcPr>
          <w:p>
            <w:pPr>
              <w:jc w:val="center"/>
              <w:rPr>
                <w:rFonts w:hint="eastAsia" w:ascii="宋体" w:hAnsi="宋体" w:eastAsia="宋体" w:cs="宋体"/>
                <w:kern w:val="0"/>
                <w:sz w:val="21"/>
                <w:szCs w:val="21"/>
              </w:rPr>
            </w:pPr>
          </w:p>
        </w:tc>
        <w:tc>
          <w:tcPr>
            <w:tcW w:w="1755" w:type="dxa"/>
            <w:gridSpan w:val="2"/>
            <w:vMerge w:val="continue"/>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3100" w:type="dxa"/>
            <w:gridSpan w:val="3"/>
            <w:vMerge w:val="restart"/>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b/>
                <w:bCs/>
                <w:i w:val="0"/>
                <w:iCs w:val="0"/>
                <w:color w:val="000000"/>
                <w:kern w:val="0"/>
                <w:sz w:val="18"/>
                <w:szCs w:val="18"/>
                <w:u w:val="none"/>
                <w:lang w:val="en-US" w:eastAsia="zh-CN" w:bidi="ar"/>
              </w:rPr>
              <w:t>年度总体目标</w:t>
            </w:r>
          </w:p>
        </w:tc>
        <w:tc>
          <w:tcPr>
            <w:tcW w:w="4184" w:type="dxa"/>
            <w:gridSpan w:val="5"/>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b/>
                <w:bCs/>
                <w:i w:val="0"/>
                <w:iCs w:val="0"/>
                <w:color w:val="000000"/>
                <w:kern w:val="0"/>
                <w:sz w:val="18"/>
                <w:szCs w:val="18"/>
                <w:u w:val="none"/>
                <w:lang w:val="en-US" w:eastAsia="zh-CN" w:bidi="ar"/>
              </w:rPr>
              <w:t>预期目标</w:t>
            </w:r>
          </w:p>
        </w:tc>
        <w:tc>
          <w:tcPr>
            <w:tcW w:w="2676" w:type="dxa"/>
            <w:gridSpan w:val="3"/>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18"/>
                <w:szCs w:val="18"/>
                <w:u w:val="none"/>
                <w:lang w:val="en-US" w:eastAsia="zh-CN" w:bidi="ar"/>
              </w:rPr>
              <w:t>实际完成情况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3100" w:type="dxa"/>
            <w:gridSpan w:val="3"/>
            <w:vMerge w:val="continue"/>
            <w:noWrap w:val="0"/>
            <w:vAlign w:val="center"/>
          </w:tcPr>
          <w:p>
            <w:pPr>
              <w:jc w:val="center"/>
              <w:rPr>
                <w:rFonts w:hint="eastAsia" w:ascii="宋体" w:hAnsi="宋体" w:eastAsia="宋体" w:cs="宋体"/>
                <w:kern w:val="0"/>
                <w:sz w:val="21"/>
                <w:szCs w:val="21"/>
              </w:rPr>
            </w:pPr>
          </w:p>
        </w:tc>
        <w:tc>
          <w:tcPr>
            <w:tcW w:w="4184" w:type="dxa"/>
            <w:gridSpan w:val="5"/>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一是着力推动制造业转型升级，加快建设制造强县；二是着力实施创新驱动发展战略，增强科技创新引领力。</w:t>
            </w:r>
          </w:p>
        </w:tc>
        <w:tc>
          <w:tcPr>
            <w:tcW w:w="2676" w:type="dxa"/>
            <w:gridSpan w:val="3"/>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Times New Roman" w:hAnsi="Times New Roman" w:eastAsia="宋体" w:cs="Times New Roman"/>
                <w:i w:val="0"/>
                <w:iCs w:val="0"/>
                <w:color w:val="000000"/>
                <w:kern w:val="0"/>
                <w:sz w:val="18"/>
                <w:szCs w:val="18"/>
                <w:u w:val="none"/>
                <w:lang w:val="en-US" w:eastAsia="zh-CN" w:bidi="ar"/>
              </w:rPr>
              <w:t>1.抓监测，稳运行，工业经济承压恢复。</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2.抓创新，增优势，企业活力持续迸发。</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3.抓新锐，扩增量，梯队培育稳步递增。</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4.抓项目，扩产能，产业升级提质增效。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5" w:hRule="exact"/>
        </w:trPr>
        <w:tc>
          <w:tcPr>
            <w:tcW w:w="749"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b/>
                <w:bCs/>
                <w:i w:val="0"/>
                <w:iCs w:val="0"/>
                <w:color w:val="000000"/>
                <w:kern w:val="0"/>
                <w:sz w:val="18"/>
                <w:szCs w:val="18"/>
                <w:u w:val="none"/>
                <w:lang w:val="en-US" w:eastAsia="zh-CN" w:bidi="ar"/>
              </w:rPr>
              <w:t>绩效指标</w:t>
            </w:r>
          </w:p>
        </w:tc>
        <w:tc>
          <w:tcPr>
            <w:tcW w:w="807"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b/>
                <w:bCs/>
                <w:i w:val="0"/>
                <w:iCs w:val="0"/>
                <w:color w:val="000000"/>
                <w:kern w:val="0"/>
                <w:sz w:val="18"/>
                <w:szCs w:val="18"/>
                <w:u w:val="none"/>
                <w:lang w:val="en-US" w:eastAsia="zh-CN" w:bidi="ar"/>
              </w:rPr>
              <w:t>一级指标</w:t>
            </w:r>
          </w:p>
        </w:tc>
        <w:tc>
          <w:tcPr>
            <w:tcW w:w="154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18"/>
                <w:szCs w:val="18"/>
                <w:u w:val="none"/>
                <w:lang w:val="en-US" w:eastAsia="zh-CN" w:bidi="ar"/>
              </w:rPr>
              <w:t>二级指标</w:t>
            </w:r>
          </w:p>
        </w:tc>
        <w:tc>
          <w:tcPr>
            <w:tcW w:w="89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b/>
                <w:bCs/>
                <w:i w:val="0"/>
                <w:iCs w:val="0"/>
                <w:color w:val="000000"/>
                <w:kern w:val="0"/>
                <w:sz w:val="18"/>
                <w:szCs w:val="18"/>
                <w:u w:val="none"/>
                <w:lang w:val="en-US" w:eastAsia="zh-CN" w:bidi="ar"/>
              </w:rPr>
              <w:t>三级指标</w:t>
            </w:r>
          </w:p>
        </w:tc>
        <w:tc>
          <w:tcPr>
            <w:tcW w:w="91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b/>
                <w:bCs/>
                <w:i w:val="0"/>
                <w:iCs w:val="0"/>
                <w:color w:val="000000"/>
                <w:kern w:val="0"/>
                <w:sz w:val="18"/>
                <w:szCs w:val="18"/>
                <w:u w:val="none"/>
                <w:lang w:val="en-US" w:eastAsia="zh-CN" w:bidi="ar"/>
              </w:rPr>
              <w:t>年度指标值</w:t>
            </w:r>
          </w:p>
        </w:tc>
        <w:tc>
          <w:tcPr>
            <w:tcW w:w="920"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18"/>
                <w:szCs w:val="18"/>
                <w:u w:val="none"/>
                <w:lang w:val="en-US" w:eastAsia="zh-CN" w:bidi="ar"/>
              </w:rPr>
              <w:t>实际完成值</w:t>
            </w:r>
          </w:p>
        </w:tc>
        <w:tc>
          <w:tcPr>
            <w:tcW w:w="720" w:type="dxa"/>
            <w:noWrap w:val="0"/>
            <w:vAlign w:val="center"/>
          </w:tcPr>
          <w:p>
            <w:pPr>
              <w:keepNext w:val="0"/>
              <w:keepLines w:val="0"/>
              <w:widowControl/>
              <w:suppressLineNumbers w:val="0"/>
              <w:jc w:val="center"/>
              <w:textAlignment w:val="center"/>
            </w:pPr>
            <w:r>
              <w:rPr>
                <w:rFonts w:hint="default" w:ascii="仿宋_GB2312" w:hAnsi="宋体" w:eastAsia="仿宋_GB2312" w:cs="仿宋_GB2312"/>
                <w:b/>
                <w:bCs/>
                <w:i w:val="0"/>
                <w:iCs w:val="0"/>
                <w:color w:val="000000"/>
                <w:kern w:val="0"/>
                <w:sz w:val="18"/>
                <w:szCs w:val="18"/>
                <w:u w:val="none"/>
                <w:lang w:val="en-US" w:eastAsia="zh-CN" w:bidi="ar"/>
              </w:rPr>
              <w:t>分值</w:t>
            </w:r>
          </w:p>
        </w:tc>
        <w:tc>
          <w:tcPr>
            <w:tcW w:w="738"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b/>
                <w:bCs/>
                <w:i w:val="0"/>
                <w:iCs w:val="0"/>
                <w:color w:val="000000"/>
                <w:kern w:val="0"/>
                <w:sz w:val="18"/>
                <w:szCs w:val="18"/>
                <w:u w:val="none"/>
                <w:lang w:val="en-US" w:eastAsia="zh-CN" w:bidi="ar"/>
              </w:rPr>
              <w:t>得分</w:t>
            </w:r>
          </w:p>
        </w:tc>
        <w:tc>
          <w:tcPr>
            <w:tcW w:w="2676" w:type="dxa"/>
            <w:gridSpan w:val="3"/>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749" w:type="dxa"/>
            <w:vMerge w:val="restart"/>
            <w:noWrap w:val="0"/>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绩效指标</w:t>
            </w:r>
          </w:p>
        </w:tc>
        <w:tc>
          <w:tcPr>
            <w:tcW w:w="807" w:type="dxa"/>
            <w:vMerge w:val="restart"/>
            <w:noWrap w:val="0"/>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产出指标</w:t>
            </w:r>
          </w:p>
        </w:tc>
        <w:tc>
          <w:tcPr>
            <w:tcW w:w="1544" w:type="dxa"/>
            <w:noWrap w:val="0"/>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18"/>
                <w:szCs w:val="18"/>
                <w:u w:val="none"/>
                <w:lang w:val="en-US" w:eastAsia="zh-CN" w:bidi="ar"/>
              </w:rPr>
              <w:t>数量指标</w:t>
            </w:r>
          </w:p>
        </w:tc>
        <w:tc>
          <w:tcPr>
            <w:tcW w:w="89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仿宋" w:hAnsi="仿宋" w:eastAsia="仿宋" w:cs="仿宋"/>
                <w:i w:val="0"/>
                <w:iCs w:val="0"/>
                <w:color w:val="000000"/>
                <w:kern w:val="0"/>
                <w:sz w:val="18"/>
                <w:szCs w:val="18"/>
                <w:u w:val="none"/>
                <w:lang w:val="en-US" w:eastAsia="zh-CN" w:bidi="ar"/>
              </w:rPr>
              <w:t>无</w:t>
            </w:r>
          </w:p>
        </w:tc>
        <w:tc>
          <w:tcPr>
            <w:tcW w:w="91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无</w:t>
            </w:r>
          </w:p>
        </w:tc>
        <w:tc>
          <w:tcPr>
            <w:tcW w:w="920"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无</w:t>
            </w:r>
          </w:p>
        </w:tc>
        <w:tc>
          <w:tcPr>
            <w:tcW w:w="720" w:type="dxa"/>
            <w:noWrap w:val="0"/>
            <w:vAlign w:val="center"/>
          </w:tcPr>
          <w:p>
            <w:pPr>
              <w:jc w:val="center"/>
            </w:pPr>
          </w:p>
        </w:tc>
        <w:tc>
          <w:tcPr>
            <w:tcW w:w="738" w:type="dxa"/>
            <w:noWrap w:val="0"/>
            <w:vAlign w:val="center"/>
          </w:tcPr>
          <w:p>
            <w:pPr>
              <w:jc w:val="center"/>
              <w:rPr>
                <w:rFonts w:hint="eastAsia" w:ascii="宋体" w:hAnsi="宋体" w:eastAsia="宋体" w:cs="宋体"/>
                <w:kern w:val="0"/>
                <w:sz w:val="21"/>
                <w:szCs w:val="21"/>
              </w:rPr>
            </w:pPr>
          </w:p>
        </w:tc>
        <w:tc>
          <w:tcPr>
            <w:tcW w:w="2676" w:type="dxa"/>
            <w:gridSpan w:val="3"/>
            <w:noWrap w:val="0"/>
            <w:vAlign w:val="center"/>
          </w:tcPr>
          <w:p>
            <w:pPr>
              <w:jc w:val="center"/>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749" w:type="dxa"/>
            <w:vMerge w:val="continue"/>
            <w:noWrap w:val="0"/>
            <w:vAlign w:val="center"/>
          </w:tcPr>
          <w:p>
            <w:pPr>
              <w:rPr>
                <w:rFonts w:hint="eastAsia" w:ascii="宋体" w:hAnsi="宋体" w:eastAsia="宋体" w:cs="宋体"/>
                <w:kern w:val="0"/>
                <w:sz w:val="21"/>
                <w:szCs w:val="21"/>
              </w:rPr>
            </w:pPr>
          </w:p>
        </w:tc>
        <w:tc>
          <w:tcPr>
            <w:tcW w:w="807" w:type="dxa"/>
            <w:vMerge w:val="continue"/>
            <w:noWrap w:val="0"/>
            <w:vAlign w:val="center"/>
          </w:tcPr>
          <w:p>
            <w:pPr>
              <w:rPr>
                <w:rFonts w:hint="eastAsia" w:ascii="宋体" w:hAnsi="宋体" w:eastAsia="宋体" w:cs="宋体"/>
                <w:kern w:val="0"/>
                <w:sz w:val="21"/>
                <w:szCs w:val="21"/>
              </w:rPr>
            </w:pPr>
          </w:p>
        </w:tc>
        <w:tc>
          <w:tcPr>
            <w:tcW w:w="1544" w:type="dxa"/>
            <w:vMerge w:val="restart"/>
            <w:noWrap w:val="0"/>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18"/>
                <w:szCs w:val="18"/>
                <w:u w:val="none"/>
                <w:lang w:val="en-US" w:eastAsia="zh-CN" w:bidi="ar"/>
              </w:rPr>
              <w:t>质量指标</w:t>
            </w:r>
          </w:p>
        </w:tc>
        <w:tc>
          <w:tcPr>
            <w:tcW w:w="89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仿宋" w:hAnsi="仿宋" w:eastAsia="仿宋" w:cs="仿宋"/>
                <w:i w:val="0"/>
                <w:iCs w:val="0"/>
                <w:color w:val="000000"/>
                <w:kern w:val="0"/>
                <w:sz w:val="18"/>
                <w:szCs w:val="18"/>
                <w:u w:val="none"/>
                <w:lang w:val="en-US" w:eastAsia="zh-CN" w:bidi="ar"/>
              </w:rPr>
              <w:t>推动优势产业提质增效</w:t>
            </w:r>
          </w:p>
        </w:tc>
        <w:tc>
          <w:tcPr>
            <w:tcW w:w="91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不断加强</w:t>
            </w:r>
          </w:p>
        </w:tc>
        <w:tc>
          <w:tcPr>
            <w:tcW w:w="920"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不断加强</w:t>
            </w:r>
          </w:p>
        </w:tc>
        <w:tc>
          <w:tcPr>
            <w:tcW w:w="720" w:type="dxa"/>
            <w:noWrap w:val="0"/>
            <w:vAlign w:val="center"/>
          </w:tcPr>
          <w:p>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18"/>
                <w:szCs w:val="18"/>
                <w:u w:val="none"/>
                <w:lang w:val="en-US" w:eastAsia="zh-CN" w:bidi="ar"/>
              </w:rPr>
              <w:t>10</w:t>
            </w:r>
          </w:p>
        </w:tc>
        <w:tc>
          <w:tcPr>
            <w:tcW w:w="738"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10</w:t>
            </w:r>
          </w:p>
        </w:tc>
        <w:tc>
          <w:tcPr>
            <w:tcW w:w="2676" w:type="dxa"/>
            <w:gridSpan w:val="3"/>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18"/>
                <w:szCs w:val="18"/>
                <w:u w:val="none"/>
                <w:lang w:val="en-US" w:eastAsia="zh-CN" w:bidi="ar"/>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749" w:type="dxa"/>
            <w:vMerge w:val="continue"/>
            <w:noWrap w:val="0"/>
            <w:vAlign w:val="center"/>
          </w:tcPr>
          <w:p>
            <w:pPr>
              <w:rPr>
                <w:rFonts w:hint="eastAsia" w:ascii="宋体" w:hAnsi="宋体" w:eastAsia="宋体" w:cs="宋体"/>
                <w:kern w:val="0"/>
                <w:sz w:val="21"/>
                <w:szCs w:val="21"/>
              </w:rPr>
            </w:pPr>
          </w:p>
        </w:tc>
        <w:tc>
          <w:tcPr>
            <w:tcW w:w="807" w:type="dxa"/>
            <w:vMerge w:val="continue"/>
            <w:noWrap w:val="0"/>
            <w:vAlign w:val="center"/>
          </w:tcPr>
          <w:p>
            <w:pPr>
              <w:rPr>
                <w:rFonts w:hint="eastAsia" w:ascii="宋体" w:hAnsi="宋体" w:eastAsia="宋体" w:cs="宋体"/>
                <w:kern w:val="0"/>
                <w:sz w:val="21"/>
                <w:szCs w:val="21"/>
              </w:rPr>
            </w:pPr>
          </w:p>
        </w:tc>
        <w:tc>
          <w:tcPr>
            <w:tcW w:w="1544" w:type="dxa"/>
            <w:vMerge w:val="continue"/>
            <w:noWrap w:val="0"/>
            <w:vAlign w:val="center"/>
          </w:tcPr>
          <w:p>
            <w:pPr>
              <w:rPr>
                <w:rFonts w:hint="eastAsia" w:ascii="宋体" w:hAnsi="宋体" w:eastAsia="宋体" w:cs="宋体"/>
                <w:kern w:val="0"/>
                <w:sz w:val="21"/>
                <w:szCs w:val="21"/>
              </w:rPr>
            </w:pPr>
          </w:p>
        </w:tc>
        <w:tc>
          <w:tcPr>
            <w:tcW w:w="89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仿宋" w:hAnsi="仿宋" w:eastAsia="仿宋" w:cs="仿宋"/>
                <w:i w:val="0"/>
                <w:iCs w:val="0"/>
                <w:color w:val="000000"/>
                <w:kern w:val="0"/>
                <w:sz w:val="18"/>
                <w:szCs w:val="18"/>
                <w:u w:val="none"/>
                <w:lang w:val="en-US" w:eastAsia="zh-CN" w:bidi="ar"/>
              </w:rPr>
              <w:t>推动数字经济赋能升级</w:t>
            </w:r>
          </w:p>
        </w:tc>
        <w:tc>
          <w:tcPr>
            <w:tcW w:w="91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不断加强</w:t>
            </w:r>
          </w:p>
        </w:tc>
        <w:tc>
          <w:tcPr>
            <w:tcW w:w="920"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不断加强</w:t>
            </w:r>
          </w:p>
        </w:tc>
        <w:tc>
          <w:tcPr>
            <w:tcW w:w="720" w:type="dxa"/>
            <w:noWrap w:val="0"/>
            <w:vAlign w:val="center"/>
          </w:tcPr>
          <w:p>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18"/>
                <w:szCs w:val="18"/>
                <w:u w:val="none"/>
                <w:lang w:val="en-US" w:eastAsia="zh-CN" w:bidi="ar"/>
              </w:rPr>
              <w:t>10</w:t>
            </w:r>
          </w:p>
        </w:tc>
        <w:tc>
          <w:tcPr>
            <w:tcW w:w="738"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10</w:t>
            </w:r>
          </w:p>
        </w:tc>
        <w:tc>
          <w:tcPr>
            <w:tcW w:w="2676" w:type="dxa"/>
            <w:gridSpan w:val="3"/>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18"/>
                <w:szCs w:val="18"/>
                <w:u w:val="none"/>
                <w:lang w:val="en-US" w:eastAsia="zh-CN" w:bidi="ar"/>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749" w:type="dxa"/>
            <w:vMerge w:val="continue"/>
            <w:noWrap w:val="0"/>
            <w:vAlign w:val="center"/>
          </w:tcPr>
          <w:p>
            <w:pPr>
              <w:rPr>
                <w:rFonts w:hint="eastAsia" w:ascii="宋体" w:hAnsi="宋体" w:eastAsia="宋体" w:cs="宋体"/>
                <w:kern w:val="0"/>
                <w:sz w:val="21"/>
                <w:szCs w:val="21"/>
              </w:rPr>
            </w:pPr>
          </w:p>
        </w:tc>
        <w:tc>
          <w:tcPr>
            <w:tcW w:w="807" w:type="dxa"/>
            <w:vMerge w:val="continue"/>
            <w:noWrap w:val="0"/>
            <w:vAlign w:val="center"/>
          </w:tcPr>
          <w:p>
            <w:pPr>
              <w:rPr>
                <w:rFonts w:hint="eastAsia" w:ascii="宋体" w:hAnsi="宋体" w:eastAsia="宋体" w:cs="宋体"/>
                <w:kern w:val="0"/>
                <w:sz w:val="21"/>
                <w:szCs w:val="21"/>
              </w:rPr>
            </w:pPr>
          </w:p>
        </w:tc>
        <w:tc>
          <w:tcPr>
            <w:tcW w:w="1544" w:type="dxa"/>
            <w:vMerge w:val="continue"/>
            <w:noWrap w:val="0"/>
            <w:vAlign w:val="center"/>
          </w:tcPr>
          <w:p>
            <w:pPr>
              <w:rPr>
                <w:rFonts w:hint="eastAsia" w:ascii="宋体" w:hAnsi="宋体" w:eastAsia="宋体" w:cs="宋体"/>
                <w:kern w:val="0"/>
                <w:sz w:val="21"/>
                <w:szCs w:val="21"/>
              </w:rPr>
            </w:pPr>
          </w:p>
        </w:tc>
        <w:tc>
          <w:tcPr>
            <w:tcW w:w="89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仿宋" w:hAnsi="仿宋" w:eastAsia="仿宋" w:cs="仿宋"/>
                <w:i w:val="0"/>
                <w:iCs w:val="0"/>
                <w:color w:val="000000"/>
                <w:kern w:val="0"/>
                <w:sz w:val="18"/>
                <w:szCs w:val="18"/>
                <w:u w:val="none"/>
                <w:lang w:val="en-US" w:eastAsia="zh-CN" w:bidi="ar"/>
              </w:rPr>
              <w:t>推动市场主体做优做强</w:t>
            </w:r>
          </w:p>
        </w:tc>
        <w:tc>
          <w:tcPr>
            <w:tcW w:w="91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 xml:space="preserve">  ≥全省平均水平</w:t>
            </w:r>
          </w:p>
        </w:tc>
        <w:tc>
          <w:tcPr>
            <w:tcW w:w="920"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≥全省平均水平</w:t>
            </w:r>
          </w:p>
        </w:tc>
        <w:tc>
          <w:tcPr>
            <w:tcW w:w="720" w:type="dxa"/>
            <w:noWrap w:val="0"/>
            <w:vAlign w:val="center"/>
          </w:tcPr>
          <w:p>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18"/>
                <w:szCs w:val="18"/>
                <w:u w:val="none"/>
                <w:lang w:val="en-US" w:eastAsia="zh-CN" w:bidi="ar"/>
              </w:rPr>
              <w:t>10</w:t>
            </w:r>
          </w:p>
        </w:tc>
        <w:tc>
          <w:tcPr>
            <w:tcW w:w="738"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10</w:t>
            </w:r>
          </w:p>
        </w:tc>
        <w:tc>
          <w:tcPr>
            <w:tcW w:w="2676" w:type="dxa"/>
            <w:gridSpan w:val="3"/>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18"/>
                <w:szCs w:val="18"/>
                <w:u w:val="none"/>
                <w:lang w:val="en-US" w:eastAsia="zh-CN" w:bidi="ar"/>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749" w:type="dxa"/>
            <w:vMerge w:val="continue"/>
            <w:noWrap w:val="0"/>
            <w:vAlign w:val="center"/>
          </w:tcPr>
          <w:p>
            <w:pPr>
              <w:rPr>
                <w:rFonts w:hint="eastAsia" w:ascii="宋体" w:hAnsi="宋体" w:eastAsia="宋体" w:cs="宋体"/>
                <w:kern w:val="0"/>
                <w:sz w:val="21"/>
                <w:szCs w:val="21"/>
              </w:rPr>
            </w:pPr>
          </w:p>
        </w:tc>
        <w:tc>
          <w:tcPr>
            <w:tcW w:w="807" w:type="dxa"/>
            <w:vMerge w:val="continue"/>
            <w:noWrap w:val="0"/>
            <w:vAlign w:val="center"/>
          </w:tcPr>
          <w:p>
            <w:pPr>
              <w:rPr>
                <w:rFonts w:hint="eastAsia" w:ascii="宋体" w:hAnsi="宋体" w:eastAsia="宋体" w:cs="宋体"/>
                <w:kern w:val="0"/>
                <w:sz w:val="21"/>
                <w:szCs w:val="21"/>
              </w:rPr>
            </w:pPr>
          </w:p>
        </w:tc>
        <w:tc>
          <w:tcPr>
            <w:tcW w:w="1544" w:type="dxa"/>
            <w:noWrap w:val="0"/>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18"/>
                <w:szCs w:val="18"/>
                <w:u w:val="none"/>
                <w:lang w:val="en-US" w:eastAsia="zh-CN" w:bidi="ar"/>
              </w:rPr>
              <w:t>时效指标</w:t>
            </w:r>
          </w:p>
        </w:tc>
        <w:tc>
          <w:tcPr>
            <w:tcW w:w="89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仿宋" w:hAnsi="仿宋" w:eastAsia="仿宋" w:cs="仿宋"/>
                <w:i w:val="0"/>
                <w:iCs w:val="0"/>
                <w:color w:val="000000"/>
                <w:kern w:val="0"/>
                <w:sz w:val="18"/>
                <w:szCs w:val="18"/>
                <w:u w:val="none"/>
                <w:lang w:val="en-US" w:eastAsia="zh-CN" w:bidi="ar"/>
              </w:rPr>
              <w:t>一年</w:t>
            </w:r>
          </w:p>
        </w:tc>
        <w:tc>
          <w:tcPr>
            <w:tcW w:w="91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按期完成</w:t>
            </w:r>
          </w:p>
        </w:tc>
        <w:tc>
          <w:tcPr>
            <w:tcW w:w="920"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按期完成</w:t>
            </w:r>
          </w:p>
        </w:tc>
        <w:tc>
          <w:tcPr>
            <w:tcW w:w="720" w:type="dxa"/>
            <w:noWrap w:val="0"/>
            <w:vAlign w:val="center"/>
          </w:tcPr>
          <w:p>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18"/>
                <w:szCs w:val="18"/>
                <w:u w:val="none"/>
                <w:lang w:val="en-US" w:eastAsia="zh-CN" w:bidi="ar"/>
              </w:rPr>
              <w:t>10</w:t>
            </w:r>
          </w:p>
        </w:tc>
        <w:tc>
          <w:tcPr>
            <w:tcW w:w="738"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10</w:t>
            </w:r>
          </w:p>
        </w:tc>
        <w:tc>
          <w:tcPr>
            <w:tcW w:w="2676" w:type="dxa"/>
            <w:gridSpan w:val="3"/>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18"/>
                <w:szCs w:val="18"/>
                <w:u w:val="none"/>
                <w:lang w:val="en-US" w:eastAsia="zh-CN" w:bidi="ar"/>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749" w:type="dxa"/>
            <w:vMerge w:val="continue"/>
            <w:noWrap w:val="0"/>
            <w:vAlign w:val="center"/>
          </w:tcPr>
          <w:p>
            <w:pPr>
              <w:rPr>
                <w:rFonts w:hint="eastAsia" w:ascii="宋体" w:hAnsi="宋体" w:eastAsia="宋体" w:cs="宋体"/>
                <w:kern w:val="0"/>
                <w:sz w:val="21"/>
                <w:szCs w:val="21"/>
              </w:rPr>
            </w:pPr>
          </w:p>
        </w:tc>
        <w:tc>
          <w:tcPr>
            <w:tcW w:w="807" w:type="dxa"/>
            <w:vMerge w:val="restart"/>
            <w:noWrap w:val="0"/>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效益指标</w:t>
            </w:r>
          </w:p>
        </w:tc>
        <w:tc>
          <w:tcPr>
            <w:tcW w:w="1544" w:type="dxa"/>
            <w:noWrap w:val="0"/>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18"/>
                <w:szCs w:val="18"/>
                <w:u w:val="none"/>
                <w:lang w:val="en-US" w:eastAsia="zh-CN" w:bidi="ar"/>
              </w:rPr>
              <w:t>经济效益指标</w:t>
            </w:r>
          </w:p>
        </w:tc>
        <w:tc>
          <w:tcPr>
            <w:tcW w:w="89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仿宋" w:hAnsi="仿宋" w:eastAsia="仿宋" w:cs="仿宋"/>
                <w:i w:val="0"/>
                <w:iCs w:val="0"/>
                <w:color w:val="000000"/>
                <w:kern w:val="0"/>
                <w:sz w:val="18"/>
                <w:szCs w:val="18"/>
                <w:u w:val="none"/>
                <w:lang w:val="en-US" w:eastAsia="zh-CN" w:bidi="ar"/>
              </w:rPr>
              <w:t>推动县内工业发展</w:t>
            </w:r>
          </w:p>
        </w:tc>
        <w:tc>
          <w:tcPr>
            <w:tcW w:w="91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不断加强</w:t>
            </w:r>
          </w:p>
        </w:tc>
        <w:tc>
          <w:tcPr>
            <w:tcW w:w="920"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不断加强</w:t>
            </w:r>
          </w:p>
        </w:tc>
        <w:tc>
          <w:tcPr>
            <w:tcW w:w="720" w:type="dxa"/>
            <w:noWrap w:val="0"/>
            <w:vAlign w:val="center"/>
          </w:tcPr>
          <w:p>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18"/>
                <w:szCs w:val="18"/>
                <w:u w:val="none"/>
                <w:lang w:val="en-US" w:eastAsia="zh-CN" w:bidi="ar"/>
              </w:rPr>
              <w:t>10</w:t>
            </w:r>
          </w:p>
        </w:tc>
        <w:tc>
          <w:tcPr>
            <w:tcW w:w="738"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10</w:t>
            </w:r>
          </w:p>
        </w:tc>
        <w:tc>
          <w:tcPr>
            <w:tcW w:w="2676" w:type="dxa"/>
            <w:gridSpan w:val="3"/>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18"/>
                <w:szCs w:val="18"/>
                <w:u w:val="none"/>
                <w:lang w:val="en-US" w:eastAsia="zh-CN" w:bidi="ar"/>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749" w:type="dxa"/>
            <w:vMerge w:val="continue"/>
            <w:noWrap w:val="0"/>
            <w:vAlign w:val="center"/>
          </w:tcPr>
          <w:p>
            <w:pPr>
              <w:rPr>
                <w:rFonts w:hint="eastAsia" w:ascii="宋体" w:hAnsi="宋体" w:eastAsia="宋体" w:cs="宋体"/>
                <w:kern w:val="0"/>
                <w:sz w:val="21"/>
                <w:szCs w:val="21"/>
              </w:rPr>
            </w:pPr>
          </w:p>
        </w:tc>
        <w:tc>
          <w:tcPr>
            <w:tcW w:w="807" w:type="dxa"/>
            <w:vMerge w:val="continue"/>
            <w:noWrap w:val="0"/>
            <w:vAlign w:val="center"/>
          </w:tcPr>
          <w:p>
            <w:pPr>
              <w:rPr>
                <w:rFonts w:hint="eastAsia" w:ascii="宋体" w:hAnsi="宋体" w:eastAsia="宋体" w:cs="宋体"/>
                <w:kern w:val="0"/>
                <w:sz w:val="21"/>
                <w:szCs w:val="21"/>
              </w:rPr>
            </w:pPr>
          </w:p>
        </w:tc>
        <w:tc>
          <w:tcPr>
            <w:tcW w:w="1544" w:type="dxa"/>
            <w:vMerge w:val="restart"/>
            <w:noWrap w:val="0"/>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18"/>
                <w:szCs w:val="18"/>
                <w:u w:val="none"/>
                <w:lang w:val="en-US" w:eastAsia="zh-CN" w:bidi="ar"/>
              </w:rPr>
              <w:t>社会效益指标</w:t>
            </w:r>
          </w:p>
        </w:tc>
        <w:tc>
          <w:tcPr>
            <w:tcW w:w="89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仿宋" w:hAnsi="仿宋" w:eastAsia="仿宋" w:cs="仿宋"/>
                <w:i w:val="0"/>
                <w:iCs w:val="0"/>
                <w:color w:val="000000"/>
                <w:kern w:val="0"/>
                <w:sz w:val="18"/>
                <w:szCs w:val="18"/>
                <w:u w:val="none"/>
                <w:lang w:val="en-US" w:eastAsia="zh-CN" w:bidi="ar"/>
              </w:rPr>
              <w:t>加强科技企业培育</w:t>
            </w:r>
          </w:p>
        </w:tc>
        <w:tc>
          <w:tcPr>
            <w:tcW w:w="91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 xml:space="preserve">  ≥全省平均水平</w:t>
            </w:r>
          </w:p>
        </w:tc>
        <w:tc>
          <w:tcPr>
            <w:tcW w:w="920"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 xml:space="preserve"> ≥全省平均水平</w:t>
            </w:r>
          </w:p>
        </w:tc>
        <w:tc>
          <w:tcPr>
            <w:tcW w:w="720" w:type="dxa"/>
            <w:noWrap w:val="0"/>
            <w:vAlign w:val="center"/>
          </w:tcPr>
          <w:p>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18"/>
                <w:szCs w:val="18"/>
                <w:u w:val="none"/>
                <w:lang w:val="en-US" w:eastAsia="zh-CN" w:bidi="ar"/>
              </w:rPr>
              <w:t>10</w:t>
            </w:r>
          </w:p>
        </w:tc>
        <w:tc>
          <w:tcPr>
            <w:tcW w:w="738"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10</w:t>
            </w:r>
          </w:p>
        </w:tc>
        <w:tc>
          <w:tcPr>
            <w:tcW w:w="2676" w:type="dxa"/>
            <w:gridSpan w:val="3"/>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18"/>
                <w:szCs w:val="18"/>
                <w:u w:val="none"/>
                <w:lang w:val="en-US" w:eastAsia="zh-CN" w:bidi="ar"/>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749" w:type="dxa"/>
            <w:vMerge w:val="continue"/>
            <w:noWrap w:val="0"/>
            <w:vAlign w:val="center"/>
          </w:tcPr>
          <w:p>
            <w:pPr>
              <w:rPr>
                <w:rFonts w:hint="eastAsia" w:ascii="宋体" w:hAnsi="宋体" w:eastAsia="宋体" w:cs="宋体"/>
                <w:kern w:val="0"/>
                <w:sz w:val="21"/>
                <w:szCs w:val="21"/>
              </w:rPr>
            </w:pPr>
          </w:p>
        </w:tc>
        <w:tc>
          <w:tcPr>
            <w:tcW w:w="807" w:type="dxa"/>
            <w:vMerge w:val="continue"/>
            <w:noWrap w:val="0"/>
            <w:vAlign w:val="center"/>
          </w:tcPr>
          <w:p>
            <w:pPr>
              <w:rPr>
                <w:rFonts w:hint="eastAsia" w:ascii="宋体" w:hAnsi="宋体" w:eastAsia="宋体" w:cs="宋体"/>
                <w:kern w:val="0"/>
                <w:sz w:val="21"/>
                <w:szCs w:val="21"/>
              </w:rPr>
            </w:pPr>
          </w:p>
        </w:tc>
        <w:tc>
          <w:tcPr>
            <w:tcW w:w="1544" w:type="dxa"/>
            <w:vMerge w:val="continue"/>
            <w:noWrap w:val="0"/>
            <w:vAlign w:val="center"/>
          </w:tcPr>
          <w:p>
            <w:pPr>
              <w:rPr>
                <w:rFonts w:hint="eastAsia" w:ascii="宋体" w:hAnsi="宋体" w:eastAsia="宋体" w:cs="宋体"/>
                <w:kern w:val="0"/>
                <w:sz w:val="21"/>
                <w:szCs w:val="21"/>
              </w:rPr>
            </w:pPr>
          </w:p>
        </w:tc>
        <w:tc>
          <w:tcPr>
            <w:tcW w:w="89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仿宋" w:hAnsi="仿宋" w:eastAsia="仿宋" w:cs="仿宋"/>
                <w:i w:val="0"/>
                <w:iCs w:val="0"/>
                <w:color w:val="000000"/>
                <w:kern w:val="0"/>
                <w:sz w:val="18"/>
                <w:szCs w:val="18"/>
                <w:u w:val="none"/>
                <w:lang w:val="en-US" w:eastAsia="zh-CN" w:bidi="ar"/>
              </w:rPr>
              <w:t>推动科技成果转化</w:t>
            </w:r>
          </w:p>
        </w:tc>
        <w:tc>
          <w:tcPr>
            <w:tcW w:w="91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 xml:space="preserve">  ≥全省平均水平</w:t>
            </w:r>
          </w:p>
        </w:tc>
        <w:tc>
          <w:tcPr>
            <w:tcW w:w="920"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 xml:space="preserve"> ≥全省平均水平</w:t>
            </w:r>
          </w:p>
        </w:tc>
        <w:tc>
          <w:tcPr>
            <w:tcW w:w="720" w:type="dxa"/>
            <w:noWrap w:val="0"/>
            <w:vAlign w:val="center"/>
          </w:tcPr>
          <w:p>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18"/>
                <w:szCs w:val="18"/>
                <w:u w:val="none"/>
                <w:lang w:val="en-US" w:eastAsia="zh-CN" w:bidi="ar"/>
              </w:rPr>
              <w:t>10</w:t>
            </w:r>
          </w:p>
        </w:tc>
        <w:tc>
          <w:tcPr>
            <w:tcW w:w="738"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10</w:t>
            </w:r>
          </w:p>
        </w:tc>
        <w:tc>
          <w:tcPr>
            <w:tcW w:w="2676" w:type="dxa"/>
            <w:gridSpan w:val="3"/>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18"/>
                <w:szCs w:val="18"/>
                <w:u w:val="none"/>
                <w:lang w:val="en-US" w:eastAsia="zh-CN" w:bidi="ar"/>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749" w:type="dxa"/>
            <w:vMerge w:val="continue"/>
            <w:noWrap w:val="0"/>
            <w:vAlign w:val="center"/>
          </w:tcPr>
          <w:p>
            <w:pPr>
              <w:rPr>
                <w:rFonts w:hint="eastAsia" w:ascii="宋体" w:hAnsi="宋体" w:eastAsia="宋体" w:cs="宋体"/>
                <w:kern w:val="0"/>
                <w:sz w:val="21"/>
                <w:szCs w:val="21"/>
              </w:rPr>
            </w:pPr>
          </w:p>
        </w:tc>
        <w:tc>
          <w:tcPr>
            <w:tcW w:w="807" w:type="dxa"/>
            <w:vMerge w:val="continue"/>
            <w:noWrap w:val="0"/>
            <w:vAlign w:val="center"/>
          </w:tcPr>
          <w:p>
            <w:pPr>
              <w:rPr>
                <w:rFonts w:hint="eastAsia" w:ascii="宋体" w:hAnsi="宋体" w:eastAsia="宋体" w:cs="宋体"/>
                <w:kern w:val="0"/>
                <w:sz w:val="21"/>
                <w:szCs w:val="21"/>
              </w:rPr>
            </w:pPr>
          </w:p>
        </w:tc>
        <w:tc>
          <w:tcPr>
            <w:tcW w:w="1544" w:type="dxa"/>
            <w:vMerge w:val="continue"/>
            <w:noWrap w:val="0"/>
            <w:vAlign w:val="center"/>
          </w:tcPr>
          <w:p>
            <w:pPr>
              <w:rPr>
                <w:rFonts w:hint="eastAsia" w:ascii="宋体" w:hAnsi="宋体" w:eastAsia="宋体" w:cs="宋体"/>
                <w:kern w:val="0"/>
                <w:sz w:val="21"/>
                <w:szCs w:val="21"/>
              </w:rPr>
            </w:pPr>
          </w:p>
        </w:tc>
        <w:tc>
          <w:tcPr>
            <w:tcW w:w="89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仿宋" w:hAnsi="仿宋" w:eastAsia="仿宋" w:cs="仿宋"/>
                <w:i w:val="0"/>
                <w:iCs w:val="0"/>
                <w:color w:val="000000"/>
                <w:kern w:val="0"/>
                <w:sz w:val="18"/>
                <w:szCs w:val="18"/>
                <w:u w:val="none"/>
                <w:lang w:val="en-US" w:eastAsia="zh-CN" w:bidi="ar"/>
              </w:rPr>
              <w:t>助力乡村振兴发展</w:t>
            </w:r>
          </w:p>
        </w:tc>
        <w:tc>
          <w:tcPr>
            <w:tcW w:w="91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不断加强</w:t>
            </w:r>
          </w:p>
        </w:tc>
        <w:tc>
          <w:tcPr>
            <w:tcW w:w="920"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不断加强</w:t>
            </w:r>
          </w:p>
        </w:tc>
        <w:tc>
          <w:tcPr>
            <w:tcW w:w="720" w:type="dxa"/>
            <w:noWrap w:val="0"/>
            <w:vAlign w:val="center"/>
          </w:tcPr>
          <w:p>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18"/>
                <w:szCs w:val="18"/>
                <w:u w:val="none"/>
                <w:lang w:val="en-US" w:eastAsia="zh-CN" w:bidi="ar"/>
              </w:rPr>
              <w:t>5</w:t>
            </w:r>
          </w:p>
        </w:tc>
        <w:tc>
          <w:tcPr>
            <w:tcW w:w="738"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5</w:t>
            </w:r>
          </w:p>
        </w:tc>
        <w:tc>
          <w:tcPr>
            <w:tcW w:w="2676" w:type="dxa"/>
            <w:gridSpan w:val="3"/>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18"/>
                <w:szCs w:val="18"/>
                <w:u w:val="none"/>
                <w:lang w:val="en-US" w:eastAsia="zh-CN" w:bidi="ar"/>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749" w:type="dxa"/>
            <w:vMerge w:val="continue"/>
            <w:noWrap w:val="0"/>
            <w:vAlign w:val="center"/>
          </w:tcPr>
          <w:p>
            <w:pPr>
              <w:rPr>
                <w:rFonts w:hint="eastAsia" w:ascii="宋体" w:hAnsi="宋体" w:eastAsia="宋体" w:cs="宋体"/>
                <w:kern w:val="0"/>
                <w:sz w:val="21"/>
                <w:szCs w:val="21"/>
              </w:rPr>
            </w:pPr>
          </w:p>
        </w:tc>
        <w:tc>
          <w:tcPr>
            <w:tcW w:w="807" w:type="dxa"/>
            <w:vMerge w:val="continue"/>
            <w:noWrap w:val="0"/>
            <w:vAlign w:val="center"/>
          </w:tcPr>
          <w:p>
            <w:pPr>
              <w:rPr>
                <w:rFonts w:hint="eastAsia" w:ascii="宋体" w:hAnsi="宋体" w:eastAsia="宋体" w:cs="宋体"/>
                <w:kern w:val="0"/>
                <w:sz w:val="21"/>
                <w:szCs w:val="21"/>
              </w:rPr>
            </w:pPr>
          </w:p>
        </w:tc>
        <w:tc>
          <w:tcPr>
            <w:tcW w:w="1544" w:type="dxa"/>
            <w:noWrap w:val="0"/>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18"/>
                <w:szCs w:val="18"/>
                <w:u w:val="none"/>
                <w:lang w:val="en-US" w:eastAsia="zh-CN" w:bidi="ar"/>
              </w:rPr>
              <w:t>生态效益指标</w:t>
            </w:r>
          </w:p>
        </w:tc>
        <w:tc>
          <w:tcPr>
            <w:tcW w:w="89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仿宋" w:hAnsi="仿宋" w:eastAsia="仿宋" w:cs="仿宋"/>
                <w:i w:val="0"/>
                <w:iCs w:val="0"/>
                <w:color w:val="000000"/>
                <w:kern w:val="0"/>
                <w:sz w:val="18"/>
                <w:szCs w:val="18"/>
                <w:u w:val="none"/>
                <w:lang w:val="en-US" w:eastAsia="zh-CN" w:bidi="ar"/>
              </w:rPr>
              <w:t>无</w:t>
            </w:r>
          </w:p>
        </w:tc>
        <w:tc>
          <w:tcPr>
            <w:tcW w:w="91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无</w:t>
            </w:r>
          </w:p>
        </w:tc>
        <w:tc>
          <w:tcPr>
            <w:tcW w:w="920"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无</w:t>
            </w:r>
          </w:p>
        </w:tc>
        <w:tc>
          <w:tcPr>
            <w:tcW w:w="720" w:type="dxa"/>
            <w:noWrap w:val="0"/>
            <w:vAlign w:val="center"/>
          </w:tcPr>
          <w:p>
            <w:pPr>
              <w:jc w:val="center"/>
            </w:pPr>
          </w:p>
        </w:tc>
        <w:tc>
          <w:tcPr>
            <w:tcW w:w="738" w:type="dxa"/>
            <w:noWrap w:val="0"/>
            <w:vAlign w:val="center"/>
          </w:tcPr>
          <w:p>
            <w:pPr>
              <w:jc w:val="center"/>
              <w:rPr>
                <w:rFonts w:hint="eastAsia" w:ascii="宋体" w:hAnsi="宋体" w:eastAsia="宋体" w:cs="宋体"/>
                <w:kern w:val="0"/>
                <w:sz w:val="21"/>
                <w:szCs w:val="21"/>
              </w:rPr>
            </w:pPr>
          </w:p>
        </w:tc>
        <w:tc>
          <w:tcPr>
            <w:tcW w:w="2676" w:type="dxa"/>
            <w:gridSpan w:val="3"/>
            <w:noWrap w:val="0"/>
            <w:vAlign w:val="center"/>
          </w:tcPr>
          <w:p>
            <w:pPr>
              <w:jc w:val="center"/>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749" w:type="dxa"/>
            <w:vMerge w:val="continue"/>
            <w:noWrap w:val="0"/>
            <w:vAlign w:val="center"/>
          </w:tcPr>
          <w:p>
            <w:pPr>
              <w:rPr>
                <w:rFonts w:hint="eastAsia" w:ascii="宋体" w:hAnsi="宋体" w:eastAsia="宋体" w:cs="宋体"/>
                <w:kern w:val="0"/>
                <w:sz w:val="21"/>
                <w:szCs w:val="21"/>
              </w:rPr>
            </w:pPr>
          </w:p>
        </w:tc>
        <w:tc>
          <w:tcPr>
            <w:tcW w:w="807" w:type="dxa"/>
            <w:vMerge w:val="continue"/>
            <w:noWrap w:val="0"/>
            <w:vAlign w:val="center"/>
          </w:tcPr>
          <w:p>
            <w:pPr>
              <w:rPr>
                <w:rFonts w:hint="eastAsia" w:ascii="宋体" w:hAnsi="宋体" w:eastAsia="宋体" w:cs="宋体"/>
                <w:kern w:val="0"/>
                <w:sz w:val="21"/>
                <w:szCs w:val="21"/>
              </w:rPr>
            </w:pPr>
          </w:p>
        </w:tc>
        <w:tc>
          <w:tcPr>
            <w:tcW w:w="1544" w:type="dxa"/>
            <w:noWrap w:val="0"/>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18"/>
                <w:szCs w:val="18"/>
                <w:u w:val="none"/>
                <w:lang w:val="en-US" w:eastAsia="zh-CN" w:bidi="ar"/>
              </w:rPr>
              <w:t>可持续影响指标</w:t>
            </w:r>
          </w:p>
        </w:tc>
        <w:tc>
          <w:tcPr>
            <w:tcW w:w="89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仿宋" w:hAnsi="仿宋" w:eastAsia="仿宋" w:cs="仿宋"/>
                <w:i w:val="0"/>
                <w:iCs w:val="0"/>
                <w:color w:val="000000"/>
                <w:kern w:val="0"/>
                <w:sz w:val="18"/>
                <w:szCs w:val="18"/>
                <w:u w:val="none"/>
                <w:lang w:val="en-US" w:eastAsia="zh-CN" w:bidi="ar"/>
              </w:rPr>
              <w:t>无</w:t>
            </w:r>
          </w:p>
        </w:tc>
        <w:tc>
          <w:tcPr>
            <w:tcW w:w="91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无</w:t>
            </w:r>
          </w:p>
        </w:tc>
        <w:tc>
          <w:tcPr>
            <w:tcW w:w="920"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无</w:t>
            </w:r>
          </w:p>
        </w:tc>
        <w:tc>
          <w:tcPr>
            <w:tcW w:w="720" w:type="dxa"/>
            <w:noWrap w:val="0"/>
            <w:vAlign w:val="center"/>
          </w:tcPr>
          <w:p>
            <w:pPr>
              <w:jc w:val="center"/>
            </w:pPr>
          </w:p>
        </w:tc>
        <w:tc>
          <w:tcPr>
            <w:tcW w:w="738" w:type="dxa"/>
            <w:noWrap w:val="0"/>
            <w:vAlign w:val="center"/>
          </w:tcPr>
          <w:p>
            <w:pPr>
              <w:jc w:val="center"/>
              <w:rPr>
                <w:rFonts w:hint="eastAsia" w:ascii="宋体" w:hAnsi="宋体" w:eastAsia="宋体" w:cs="宋体"/>
                <w:kern w:val="0"/>
                <w:sz w:val="21"/>
                <w:szCs w:val="21"/>
              </w:rPr>
            </w:pPr>
          </w:p>
        </w:tc>
        <w:tc>
          <w:tcPr>
            <w:tcW w:w="2676" w:type="dxa"/>
            <w:gridSpan w:val="3"/>
            <w:noWrap w:val="0"/>
            <w:vAlign w:val="center"/>
          </w:tcPr>
          <w:p>
            <w:pPr>
              <w:jc w:val="center"/>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749" w:type="dxa"/>
            <w:vMerge w:val="continue"/>
            <w:noWrap w:val="0"/>
            <w:vAlign w:val="center"/>
          </w:tcPr>
          <w:p>
            <w:pPr>
              <w:rPr>
                <w:rFonts w:hint="eastAsia" w:ascii="宋体" w:hAnsi="宋体" w:eastAsia="宋体" w:cs="宋体"/>
                <w:kern w:val="0"/>
                <w:sz w:val="21"/>
                <w:szCs w:val="21"/>
              </w:rPr>
            </w:pPr>
          </w:p>
        </w:tc>
        <w:tc>
          <w:tcPr>
            <w:tcW w:w="807" w:type="dxa"/>
            <w:noWrap w:val="0"/>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满意度指标</w:t>
            </w:r>
          </w:p>
        </w:tc>
        <w:tc>
          <w:tcPr>
            <w:tcW w:w="1544" w:type="dxa"/>
            <w:noWrap w:val="0"/>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89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仿宋" w:hAnsi="仿宋" w:eastAsia="仿宋" w:cs="仿宋"/>
                <w:i w:val="0"/>
                <w:iCs w:val="0"/>
                <w:color w:val="000000"/>
                <w:kern w:val="0"/>
                <w:sz w:val="18"/>
                <w:szCs w:val="18"/>
                <w:u w:val="none"/>
                <w:lang w:val="en-US" w:eastAsia="zh-CN" w:bidi="ar"/>
              </w:rPr>
              <w:t>助力乡村振兴发展</w:t>
            </w:r>
          </w:p>
        </w:tc>
        <w:tc>
          <w:tcPr>
            <w:tcW w:w="91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90</w:t>
            </w:r>
          </w:p>
        </w:tc>
        <w:tc>
          <w:tcPr>
            <w:tcW w:w="920"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90</w:t>
            </w:r>
          </w:p>
        </w:tc>
        <w:tc>
          <w:tcPr>
            <w:tcW w:w="720" w:type="dxa"/>
            <w:noWrap w:val="0"/>
            <w:vAlign w:val="center"/>
          </w:tcPr>
          <w:p>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18"/>
                <w:szCs w:val="18"/>
                <w:u w:val="none"/>
                <w:lang w:val="en-US" w:eastAsia="zh-CN" w:bidi="ar"/>
              </w:rPr>
              <w:t>5</w:t>
            </w:r>
          </w:p>
        </w:tc>
        <w:tc>
          <w:tcPr>
            <w:tcW w:w="738"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5</w:t>
            </w:r>
          </w:p>
        </w:tc>
        <w:tc>
          <w:tcPr>
            <w:tcW w:w="2676" w:type="dxa"/>
            <w:gridSpan w:val="3"/>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18"/>
                <w:szCs w:val="18"/>
                <w:u w:val="none"/>
                <w:lang w:val="en-US" w:eastAsia="zh-CN" w:bidi="ar"/>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749" w:type="dxa"/>
            <w:vMerge w:val="continue"/>
            <w:noWrap w:val="0"/>
            <w:vAlign w:val="center"/>
          </w:tcPr>
          <w:p>
            <w:pPr>
              <w:rPr>
                <w:rFonts w:hint="eastAsia" w:ascii="宋体" w:hAnsi="宋体" w:eastAsia="宋体" w:cs="宋体"/>
                <w:kern w:val="0"/>
                <w:sz w:val="21"/>
                <w:szCs w:val="21"/>
              </w:rPr>
            </w:pPr>
          </w:p>
        </w:tc>
        <w:tc>
          <w:tcPr>
            <w:tcW w:w="807" w:type="dxa"/>
            <w:vMerge w:val="restart"/>
            <w:noWrap w:val="0"/>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成本指标</w:t>
            </w:r>
          </w:p>
        </w:tc>
        <w:tc>
          <w:tcPr>
            <w:tcW w:w="1544" w:type="dxa"/>
            <w:noWrap w:val="0"/>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18"/>
                <w:szCs w:val="18"/>
                <w:u w:val="none"/>
                <w:lang w:val="en-US" w:eastAsia="zh-CN" w:bidi="ar"/>
              </w:rPr>
              <w:t>经济成本指标</w:t>
            </w:r>
          </w:p>
        </w:tc>
        <w:tc>
          <w:tcPr>
            <w:tcW w:w="89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仿宋" w:hAnsi="仿宋" w:eastAsia="仿宋" w:cs="仿宋"/>
                <w:i w:val="0"/>
                <w:iCs w:val="0"/>
                <w:color w:val="000000"/>
                <w:kern w:val="0"/>
                <w:sz w:val="18"/>
                <w:szCs w:val="18"/>
                <w:u w:val="none"/>
                <w:lang w:val="en-US" w:eastAsia="zh-CN" w:bidi="ar"/>
              </w:rPr>
              <w:t>509万元</w:t>
            </w:r>
          </w:p>
        </w:tc>
        <w:tc>
          <w:tcPr>
            <w:tcW w:w="91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509</w:t>
            </w:r>
          </w:p>
        </w:tc>
        <w:tc>
          <w:tcPr>
            <w:tcW w:w="920"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1774.18</w:t>
            </w:r>
          </w:p>
        </w:tc>
        <w:tc>
          <w:tcPr>
            <w:tcW w:w="720" w:type="dxa"/>
            <w:noWrap w:val="0"/>
            <w:vAlign w:val="center"/>
          </w:tcPr>
          <w:p>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18"/>
                <w:szCs w:val="18"/>
                <w:u w:val="none"/>
                <w:lang w:val="en-US" w:eastAsia="zh-CN" w:bidi="ar"/>
              </w:rPr>
              <w:t>10</w:t>
            </w:r>
          </w:p>
        </w:tc>
        <w:tc>
          <w:tcPr>
            <w:tcW w:w="738"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10</w:t>
            </w:r>
          </w:p>
        </w:tc>
        <w:tc>
          <w:tcPr>
            <w:tcW w:w="2676" w:type="dxa"/>
            <w:gridSpan w:val="3"/>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18"/>
                <w:szCs w:val="18"/>
                <w:u w:val="none"/>
                <w:lang w:val="en-US" w:eastAsia="zh-CN" w:bidi="ar"/>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749" w:type="dxa"/>
            <w:vMerge w:val="continue"/>
            <w:noWrap w:val="0"/>
            <w:vAlign w:val="center"/>
          </w:tcPr>
          <w:p>
            <w:pPr>
              <w:rPr>
                <w:rFonts w:hint="eastAsia" w:ascii="宋体" w:hAnsi="宋体" w:eastAsia="宋体" w:cs="宋体"/>
                <w:kern w:val="0"/>
                <w:sz w:val="21"/>
                <w:szCs w:val="21"/>
              </w:rPr>
            </w:pPr>
          </w:p>
        </w:tc>
        <w:tc>
          <w:tcPr>
            <w:tcW w:w="807" w:type="dxa"/>
            <w:vMerge w:val="continue"/>
            <w:noWrap w:val="0"/>
            <w:vAlign w:val="center"/>
          </w:tcPr>
          <w:p>
            <w:pPr>
              <w:rPr>
                <w:rFonts w:hint="eastAsia" w:ascii="宋体" w:hAnsi="宋体" w:eastAsia="宋体" w:cs="宋体"/>
                <w:kern w:val="0"/>
                <w:sz w:val="21"/>
                <w:szCs w:val="21"/>
              </w:rPr>
            </w:pPr>
          </w:p>
        </w:tc>
        <w:tc>
          <w:tcPr>
            <w:tcW w:w="1544" w:type="dxa"/>
            <w:noWrap w:val="0"/>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18"/>
                <w:szCs w:val="18"/>
                <w:u w:val="none"/>
                <w:lang w:val="en-US" w:eastAsia="zh-CN" w:bidi="ar"/>
              </w:rPr>
              <w:t>社会成本指标</w:t>
            </w:r>
          </w:p>
        </w:tc>
        <w:tc>
          <w:tcPr>
            <w:tcW w:w="89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仿宋" w:hAnsi="仿宋" w:eastAsia="仿宋" w:cs="仿宋"/>
                <w:i w:val="0"/>
                <w:iCs w:val="0"/>
                <w:color w:val="000000"/>
                <w:kern w:val="0"/>
                <w:sz w:val="18"/>
                <w:szCs w:val="18"/>
                <w:u w:val="none"/>
                <w:lang w:val="en-US" w:eastAsia="zh-CN" w:bidi="ar"/>
              </w:rPr>
              <w:t>无</w:t>
            </w:r>
          </w:p>
        </w:tc>
        <w:tc>
          <w:tcPr>
            <w:tcW w:w="91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无</w:t>
            </w:r>
          </w:p>
        </w:tc>
        <w:tc>
          <w:tcPr>
            <w:tcW w:w="920"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无</w:t>
            </w:r>
          </w:p>
        </w:tc>
        <w:tc>
          <w:tcPr>
            <w:tcW w:w="720" w:type="dxa"/>
            <w:noWrap w:val="0"/>
            <w:vAlign w:val="center"/>
          </w:tcPr>
          <w:p>
            <w:pPr>
              <w:jc w:val="center"/>
            </w:pPr>
          </w:p>
        </w:tc>
        <w:tc>
          <w:tcPr>
            <w:tcW w:w="738" w:type="dxa"/>
            <w:noWrap w:val="0"/>
            <w:vAlign w:val="center"/>
          </w:tcPr>
          <w:p>
            <w:pPr>
              <w:jc w:val="center"/>
              <w:rPr>
                <w:rFonts w:hint="eastAsia" w:ascii="宋体" w:hAnsi="宋体" w:eastAsia="宋体" w:cs="宋体"/>
                <w:kern w:val="0"/>
                <w:sz w:val="21"/>
                <w:szCs w:val="21"/>
              </w:rPr>
            </w:pPr>
          </w:p>
        </w:tc>
        <w:tc>
          <w:tcPr>
            <w:tcW w:w="2676" w:type="dxa"/>
            <w:gridSpan w:val="3"/>
            <w:noWrap w:val="0"/>
            <w:vAlign w:val="center"/>
          </w:tcPr>
          <w:p>
            <w:pPr>
              <w:jc w:val="center"/>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749" w:type="dxa"/>
            <w:vMerge w:val="continue"/>
            <w:noWrap w:val="0"/>
            <w:vAlign w:val="center"/>
          </w:tcPr>
          <w:p>
            <w:pPr>
              <w:rPr>
                <w:rFonts w:hint="eastAsia" w:ascii="宋体" w:hAnsi="宋体" w:eastAsia="宋体" w:cs="宋体"/>
                <w:kern w:val="0"/>
                <w:sz w:val="21"/>
                <w:szCs w:val="21"/>
              </w:rPr>
            </w:pPr>
          </w:p>
        </w:tc>
        <w:tc>
          <w:tcPr>
            <w:tcW w:w="807" w:type="dxa"/>
            <w:vMerge w:val="continue"/>
            <w:noWrap w:val="0"/>
            <w:vAlign w:val="center"/>
          </w:tcPr>
          <w:p>
            <w:pPr>
              <w:rPr>
                <w:rFonts w:hint="eastAsia" w:ascii="宋体" w:hAnsi="宋体" w:eastAsia="宋体" w:cs="宋体"/>
                <w:kern w:val="0"/>
                <w:sz w:val="21"/>
                <w:szCs w:val="21"/>
              </w:rPr>
            </w:pPr>
          </w:p>
        </w:tc>
        <w:tc>
          <w:tcPr>
            <w:tcW w:w="1544" w:type="dxa"/>
            <w:noWrap w:val="0"/>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18"/>
                <w:szCs w:val="18"/>
                <w:u w:val="none"/>
                <w:lang w:val="en-US" w:eastAsia="zh-CN" w:bidi="ar"/>
              </w:rPr>
              <w:t>生态环境成本指标</w:t>
            </w:r>
          </w:p>
        </w:tc>
        <w:tc>
          <w:tcPr>
            <w:tcW w:w="89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仿宋" w:hAnsi="仿宋" w:eastAsia="仿宋" w:cs="仿宋"/>
                <w:i w:val="0"/>
                <w:iCs w:val="0"/>
                <w:color w:val="000000"/>
                <w:kern w:val="0"/>
                <w:sz w:val="18"/>
                <w:szCs w:val="18"/>
                <w:u w:val="none"/>
                <w:lang w:val="en-US" w:eastAsia="zh-CN" w:bidi="ar"/>
              </w:rPr>
              <w:t>无</w:t>
            </w:r>
          </w:p>
        </w:tc>
        <w:tc>
          <w:tcPr>
            <w:tcW w:w="91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无</w:t>
            </w:r>
          </w:p>
        </w:tc>
        <w:tc>
          <w:tcPr>
            <w:tcW w:w="920"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default" w:ascii="仿宋_GB2312" w:hAnsi="宋体" w:eastAsia="仿宋_GB2312" w:cs="仿宋_GB2312"/>
                <w:i w:val="0"/>
                <w:iCs w:val="0"/>
                <w:color w:val="000000"/>
                <w:kern w:val="0"/>
                <w:sz w:val="18"/>
                <w:szCs w:val="18"/>
                <w:u w:val="none"/>
                <w:lang w:val="en-US" w:eastAsia="zh-CN" w:bidi="ar"/>
              </w:rPr>
              <w:t>无</w:t>
            </w:r>
          </w:p>
        </w:tc>
        <w:tc>
          <w:tcPr>
            <w:tcW w:w="720" w:type="dxa"/>
            <w:noWrap w:val="0"/>
            <w:vAlign w:val="center"/>
          </w:tcPr>
          <w:p>
            <w:pPr>
              <w:jc w:val="center"/>
            </w:pPr>
          </w:p>
        </w:tc>
        <w:tc>
          <w:tcPr>
            <w:tcW w:w="738" w:type="dxa"/>
            <w:noWrap w:val="0"/>
            <w:vAlign w:val="center"/>
          </w:tcPr>
          <w:p>
            <w:pPr>
              <w:jc w:val="center"/>
              <w:rPr>
                <w:rFonts w:hint="eastAsia" w:ascii="宋体" w:hAnsi="宋体" w:eastAsia="宋体" w:cs="宋体"/>
                <w:kern w:val="0"/>
                <w:sz w:val="21"/>
                <w:szCs w:val="21"/>
              </w:rPr>
            </w:pPr>
          </w:p>
        </w:tc>
        <w:tc>
          <w:tcPr>
            <w:tcW w:w="2676" w:type="dxa"/>
            <w:gridSpan w:val="3"/>
            <w:noWrap w:val="0"/>
            <w:vAlign w:val="center"/>
          </w:tcPr>
          <w:p>
            <w:pPr>
              <w:jc w:val="center"/>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3100" w:type="dxa"/>
            <w:gridSpan w:val="3"/>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18"/>
                <w:szCs w:val="18"/>
                <w:u w:val="none"/>
                <w:lang w:val="en-US" w:eastAsia="zh-CN" w:bidi="ar"/>
              </w:rPr>
              <w:t>总分</w:t>
            </w:r>
          </w:p>
        </w:tc>
        <w:tc>
          <w:tcPr>
            <w:tcW w:w="6860" w:type="dxa"/>
            <w:gridSpan w:val="8"/>
            <w:noWrap w:val="0"/>
            <w:vAlign w:val="center"/>
          </w:tcPr>
          <w:p>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eastAsia="宋体" w:cs="宋体"/>
                <w:i w:val="0"/>
                <w:iCs w:val="0"/>
                <w:color w:val="000000"/>
                <w:kern w:val="0"/>
                <w:sz w:val="18"/>
                <w:szCs w:val="18"/>
                <w:u w:val="none"/>
                <w:lang w:val="en-US" w:eastAsia="zh-CN" w:bidi="ar"/>
              </w:rPr>
              <w:t>100</w:t>
            </w:r>
          </w:p>
        </w:tc>
      </w:tr>
    </w:tbl>
    <w:p>
      <w:pPr>
        <w:autoSpaceDE w:val="0"/>
        <w:autoSpaceDN w:val="0"/>
        <w:spacing w:before="20" w:line="340" w:lineRule="atLeast"/>
        <w:jc w:val="both"/>
        <w:rPr>
          <w:rFonts w:hint="eastAsia" w:ascii="宋体" w:hAnsi="宋体" w:eastAsia="宋体" w:cs="宋体"/>
          <w:kern w:val="0"/>
          <w:sz w:val="21"/>
          <w:szCs w:val="21"/>
          <w:lang w:eastAsia="zh-CN"/>
        </w:rPr>
      </w:pPr>
      <w:r>
        <w:rPr>
          <w:rFonts w:hint="eastAsia" w:ascii="宋体" w:hAnsi="宋体" w:eastAsia="宋体" w:cs="宋体"/>
          <w:kern w:val="0"/>
          <w:sz w:val="21"/>
          <w:szCs w:val="21"/>
        </w:rPr>
        <w:t>填表人：</w:t>
      </w:r>
      <w:r>
        <w:rPr>
          <w:rFonts w:hint="eastAsia" w:ascii="宋体" w:hAnsi="宋体" w:eastAsia="宋体" w:cs="宋体"/>
          <w:kern w:val="0"/>
          <w:sz w:val="21"/>
          <w:szCs w:val="21"/>
          <w:lang w:eastAsia="zh-CN"/>
        </w:rPr>
        <w:t>高风君</w:t>
      </w:r>
      <w:r>
        <w:rPr>
          <w:rFonts w:hint="eastAsia" w:ascii="宋体" w:hAnsi="宋体" w:eastAsia="宋体" w:cs="宋体"/>
          <w:kern w:val="0"/>
          <w:sz w:val="21"/>
          <w:szCs w:val="21"/>
        </w:rPr>
        <w:t xml:space="preserve"> 填报日期：</w:t>
      </w:r>
      <w:r>
        <w:rPr>
          <w:rFonts w:hint="eastAsia" w:ascii="宋体" w:hAnsi="宋体" w:eastAsia="宋体" w:cs="宋体"/>
          <w:kern w:val="0"/>
          <w:sz w:val="21"/>
          <w:szCs w:val="21"/>
          <w:lang w:val="en-US" w:eastAsia="zh-CN"/>
        </w:rPr>
        <w:t>2025.04.10</w:t>
      </w:r>
      <w:r>
        <w:rPr>
          <w:rFonts w:hint="eastAsia" w:ascii="宋体" w:hAnsi="宋体" w:eastAsia="宋体" w:cs="宋体"/>
          <w:kern w:val="0"/>
          <w:sz w:val="21"/>
          <w:szCs w:val="21"/>
        </w:rPr>
        <w:t xml:space="preserve">  联系电话：</w:t>
      </w:r>
      <w:r>
        <w:rPr>
          <w:rFonts w:hint="eastAsia" w:ascii="宋体" w:hAnsi="宋体" w:eastAsia="宋体" w:cs="宋体"/>
          <w:kern w:val="0"/>
          <w:sz w:val="21"/>
          <w:szCs w:val="21"/>
          <w:lang w:val="en-US" w:eastAsia="zh-CN"/>
        </w:rPr>
        <w:t>18873787818</w:t>
      </w:r>
      <w:r>
        <w:rPr>
          <w:rFonts w:hint="eastAsia" w:ascii="宋体" w:hAnsi="宋体" w:eastAsia="宋体" w:cs="宋体"/>
          <w:kern w:val="0"/>
          <w:sz w:val="21"/>
          <w:szCs w:val="21"/>
        </w:rPr>
        <w:t xml:space="preserve">  单位负责人签字：</w:t>
      </w:r>
      <w:r>
        <w:rPr>
          <w:rFonts w:hint="eastAsia" w:ascii="宋体" w:hAnsi="宋体" w:eastAsia="宋体" w:cs="宋体"/>
          <w:kern w:val="0"/>
          <w:sz w:val="21"/>
          <w:szCs w:val="21"/>
          <w:lang w:eastAsia="zh-CN"/>
        </w:rPr>
        <w:t>郭龙辉</w:t>
      </w:r>
    </w:p>
    <w:p>
      <w:pPr>
        <w:autoSpaceDE w:val="0"/>
        <w:autoSpaceDN w:val="0"/>
        <w:spacing w:before="20" w:line="340" w:lineRule="atLeast"/>
        <w:jc w:val="center"/>
        <w:rPr>
          <w:rFonts w:hint="eastAsia" w:ascii="宋体" w:hAnsi="宋体" w:eastAsia="宋体" w:cs="宋体"/>
          <w:kern w:val="0"/>
          <w:sz w:val="21"/>
          <w:szCs w:val="21"/>
        </w:rPr>
        <w:sectPr>
          <w:footerReference r:id="rId3" w:type="default"/>
          <w:pgSz w:w="11907" w:h="16840"/>
          <w:pgMar w:top="1418" w:right="1418" w:bottom="1418" w:left="1418" w:header="851" w:footer="1304" w:gutter="0"/>
          <w:cols w:space="720" w:num="1"/>
          <w:docGrid w:linePitch="534" w:charSpace="704"/>
        </w:sectPr>
      </w:pPr>
    </w:p>
    <w:p>
      <w:pPr>
        <w:spacing w:line="594" w:lineRule="exact"/>
        <w:jc w:val="left"/>
        <w:rPr>
          <w:rFonts w:ascii="Times New Roman" w:hAnsi="Times New Roman" w:eastAsia="黑体" w:cs="Times New Roman"/>
          <w:bCs/>
          <w:kern w:val="0"/>
          <w:sz w:val="32"/>
          <w:szCs w:val="32"/>
        </w:rPr>
      </w:pPr>
      <w:bookmarkStart w:id="0" w:name="RANGE!A1:G4"/>
      <w:r>
        <w:rPr>
          <w:rFonts w:ascii="Times New Roman" w:hAnsi="Times New Roman" w:eastAsia="黑体" w:cs="Times New Roman"/>
          <w:bCs/>
          <w:kern w:val="0"/>
          <w:sz w:val="32"/>
          <w:szCs w:val="32"/>
        </w:rPr>
        <w:t>附件3</w:t>
      </w:r>
      <w:bookmarkEnd w:id="0"/>
    </w:p>
    <w:p>
      <w:pPr>
        <w:spacing w:line="594" w:lineRule="exact"/>
        <w:jc w:val="center"/>
        <w:rPr>
          <w:rFonts w:hint="eastAsia" w:ascii="Times New Roman" w:hAnsi="Times New Roman" w:eastAsia="方正小标宋简体" w:cs="Times New Roman"/>
          <w:kern w:val="0"/>
          <w:sz w:val="44"/>
          <w:szCs w:val="44"/>
        </w:rPr>
      </w:pPr>
      <w:r>
        <w:rPr>
          <w:rFonts w:hint="eastAsia" w:ascii="Times New Roman" w:hAnsi="Times New Roman" w:eastAsia="方正小标宋简体" w:cs="Times New Roman"/>
          <w:kern w:val="0"/>
          <w:sz w:val="44"/>
          <w:szCs w:val="44"/>
        </w:rPr>
        <w:t>2024年度</w:t>
      </w:r>
      <w:r>
        <w:rPr>
          <w:rFonts w:ascii="Times New Roman" w:hAnsi="Times New Roman" w:eastAsia="方正小标宋简体" w:cs="Times New Roman"/>
          <w:kern w:val="0"/>
          <w:sz w:val="44"/>
          <w:szCs w:val="44"/>
        </w:rPr>
        <w:t>部门整体支出绩效报告</w:t>
      </w:r>
    </w:p>
    <w:p>
      <w:pPr>
        <w:spacing w:line="594" w:lineRule="exact"/>
        <w:jc w:val="center"/>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（参考提纲）</w:t>
      </w:r>
    </w:p>
    <w:p>
      <w:pPr>
        <w:spacing w:line="594" w:lineRule="exac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w:t>
      </w:r>
    </w:p>
    <w:p>
      <w:pPr>
        <w:spacing w:line="594"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bCs/>
          <w:kern w:val="0"/>
          <w:sz w:val="32"/>
          <w:szCs w:val="32"/>
        </w:rPr>
        <w:t>一、部门概况</w:t>
      </w:r>
    </w:p>
    <w:p>
      <w:pPr>
        <w:spacing w:line="594" w:lineRule="exact"/>
        <w:ind w:firstLine="640" w:firstLineChars="200"/>
        <w:rPr>
          <w:rFonts w:hint="eastAsia"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（一）部门基本情况</w:t>
      </w:r>
    </w:p>
    <w:p>
      <w:pPr>
        <w:spacing w:line="594"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贯彻创新驱动发展战略和创新引领开放崛起战略，拟订全县科学技术、工业、信息领域的发展战略、规划、计划和相关政策措施并组织实施，负责宏观管理和统筹协调；综合管理全县工业经济，指导、协调和服务工业企业；推进信息化和工业化融合；推进全县国民经济和社会信息化。</w:t>
      </w:r>
    </w:p>
    <w:p>
      <w:pPr>
        <w:spacing w:line="594"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贯彻落实国家和省产业政策，制定优化产业结构的配套措施并监督执行，研究规划全县产业投资布局，指导全县工业产业优化升级；负责工业信息化领域的国防动员工作；指导工业企业安全生产和应急管理工作；联系指导工业和信息化领域行业协会和中介组织。</w:t>
      </w:r>
    </w:p>
    <w:p>
      <w:pPr>
        <w:spacing w:line="594"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3、拟订并组织实施工业经济运行目标、政策和措施，负责全县工业经济的日常运行，监测分析全县工业经济运行态势，进行预测预警和信息引导，协调解决工业经济运行中的突出矛盾和问题并提出政策建议。</w:t>
      </w:r>
    </w:p>
    <w:p>
      <w:pPr>
        <w:spacing w:line="594"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4、统筹推进全县创新体系建设和科技体制改革，会同有关部门健全技术创新激励机制。优化科研体系建设，指导科研机构改革发展，推动企业科技创新能力建设，承担推进科技军民融合发展相关工作，推进全县重大科技决策咨询制度建设。拟订科学普及和科学传播规划、政策。</w:t>
      </w:r>
    </w:p>
    <w:p>
      <w:pPr>
        <w:spacing w:line="594"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5、牵头建立统一的县级科技项目管理平台和科研项目资金协调、评估、监管机制。会同有关部门提出优化配置科技资源的政策措施建议，推动多元化科技投入体系建设，协调管理县级财政科技计划（专项、基金等）并监督实施。</w:t>
      </w:r>
    </w:p>
    <w:p>
      <w:pPr>
        <w:spacing w:line="594"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6、协调县级基础研究和应用基础研究，研究提出重大任务并监督实施。拟订科技创新基地建设规划并监督实施，参与编制科技基础设施建设规划和监督实施，牵头组织科技创新基地和平台建设，推动科研条件保障建设和科技资源开放共享。</w:t>
      </w:r>
    </w:p>
    <w:p>
      <w:pPr>
        <w:spacing w:line="594"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7、组织拟订高新技术发展及产业化、科技促进农业农村和社会发展的规划、政策和措施。组织开展重点领域技术发展需求分析，提出重大任务并监督实施。组织拟订全县工业企业技术创新、技术进步和技术改造工作，推进企业技术创新体系建设，推进以先进适用技术改造提升传统产业；提出工业信息化领域固定资产投资规模和方向的建议，组织实施有关科技重大专项，指导新兴产业发展，推进产学研结合和科技成果产业化；指导行业质量管理工作。</w:t>
      </w:r>
    </w:p>
    <w:p>
      <w:pPr>
        <w:spacing w:line="594"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8、编制县级科技项目计划并监督实施，统筹关键共性技术、前沿引领技术、现代工程技术、颠覆性技术研发和创新，牵头组织重大技术攻关和成果应用示范。牵头县级技术转移体系建设，拟订科技成果转移转化和促进产学研结合的相关政策措施并监督实施。指导科技服务业、技术市场、科技金融结合和科技中介组织发展。统筹区域科技创新体系建设，指导区域创新发展、科技资源合理布局和协同创新能力建设，推动科技园区建设。</w:t>
      </w:r>
    </w:p>
    <w:p>
      <w:pPr>
        <w:spacing w:line="594"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9、负责科技监督评价体系建设和相关科技评估管理,指导科技评价机制改革，统筹科研诚信建设。组织实施全县创新调查和科技报告制度，指导全县科技保密工作。</w:t>
      </w:r>
    </w:p>
    <w:p>
      <w:pPr>
        <w:spacing w:line="594"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10、拟订促进全县非公有制工业经济和中小企业发展的政策措施，协调解决重大问题；制定中小企业发展战略、中长期发展规划并组织实施，指导中小企业改革工作；推进中小企业服务体系和信用担保体系建设；推进全民创业。</w:t>
      </w:r>
    </w:p>
    <w:p>
      <w:pPr>
        <w:spacing w:line="594"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11、负责工业信息化领域法律法规和规章执行情况的监督检查，协调减轻企业负担工作；指导工业企业法律顾问工作；会同有关部门负责工业企业维稳工作。</w:t>
      </w:r>
    </w:p>
    <w:p>
      <w:pPr>
        <w:spacing w:line="594"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12、参与拟订能源节约和资源综合利用规划，会同有关部门组织实施节能行动方案和资源综合利用工作；拟订并组织实施工业能源节约和资源综合利用政策，组织推进清洁生产工作；参与编制全县生态建设规划，参与协调工业环境保护；组织协调相关重大示范工程和新产品、新技术、新设备、新材料的推广应用。</w:t>
      </w:r>
    </w:p>
    <w:p>
      <w:pPr>
        <w:spacing w:line="594"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13、组织拟订信息化发展战略、专项规划及相关政策，协调解决重大问题；促进通信、广播电视和计算机网络融合；推动跨行业、跨部门的互联互通和重要信息资源的开发利用、共享；推进全县信息化建设；协调全县公用通信网、互联网、广播电视网和其他专用通信网的规划和建设，促进网络资源共享；依法监管信息服务市场；负责组织拟订软件业和信息服务业发展战略、专项规划及政策，推动软件公共服务体系建设和软件业、信息服务业发展，协调解决重大问题，指导协调相关技术开发和产业发展。</w:t>
      </w:r>
    </w:p>
    <w:p>
      <w:pPr>
        <w:spacing w:line="594"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14、统一配置和管理无线电频谱资源，依法监督管理无线电台（站），协调处理军地间无线电管理相关事宜，负责管理无线电监测、检测、干扰查处，协调处理电磁干扰事宜，维护空中电波秩序，依法组织实施无线电管制。</w:t>
      </w:r>
    </w:p>
    <w:p>
      <w:pPr>
        <w:spacing w:line="594"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15、负责装备工业和轻工、纺织、医药、食品、家电、冶金（含黄金）、石化（不含炼油）、化工（不含炼制燃料和燃料乙醇）、建材、电力等工业和信息化行业产业发展政策和规划。</w:t>
      </w:r>
    </w:p>
    <w:p>
      <w:pPr>
        <w:spacing w:line="594"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16、负责引进国外和国内智力和人才管理工作。拟订引进国内外专家总体规划、计划并组织实施，建立国外和国内科学家、团队吸引集聚机制和国内外专家联系服务机制。拟组织开展国际和区域科技合作与科技人才交流；指导相关部门对外科技合作与科技人才交流工作。会同有关部门拟订科技人才队伍建设规划和政策，建立健全科技人才评价和激励机制，组织实施科技人才计划，推动高端科技创新人才队伍建设；负责全县工业信息化领域人才开发与培训工作；开展人力和智力对外合作交流。</w:t>
      </w:r>
    </w:p>
    <w:p>
      <w:pPr>
        <w:spacing w:line="594"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（二）机构设置</w:t>
      </w:r>
    </w:p>
    <w:p>
      <w:pPr>
        <w:spacing w:line="594" w:lineRule="exact"/>
        <w:ind w:firstLine="960" w:firstLineChars="3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桃江县科学技术和工业信息化局内设机构包括：本部门共有编制人数</w:t>
      </w:r>
      <w:r>
        <w:rPr>
          <w:rFonts w:hint="eastAsia" w:ascii="Times New Roman" w:hAnsi="Times New Roman" w:eastAsia="仿宋_GB2312" w:cs="Times New Roman"/>
          <w:kern w:val="0"/>
          <w:sz w:val="32"/>
          <w:szCs w:val="32"/>
          <w:lang w:val="en-US" w:eastAsia="zh-CN"/>
        </w:rPr>
        <w:t>41</w:t>
      </w:r>
      <w:r>
        <w:rPr>
          <w:rFonts w:ascii="Times New Roman" w:hAnsi="Times New Roman" w:eastAsia="仿宋_GB2312" w:cs="Times New Roman"/>
          <w:kern w:val="0"/>
          <w:sz w:val="32"/>
          <w:szCs w:val="32"/>
        </w:rPr>
        <w:t>人，实有人数</w:t>
      </w:r>
      <w:r>
        <w:rPr>
          <w:rFonts w:hint="eastAsia" w:ascii="Times New Roman" w:hAnsi="Times New Roman" w:eastAsia="仿宋_GB2312" w:cs="Times New Roman"/>
          <w:kern w:val="0"/>
          <w:sz w:val="32"/>
          <w:szCs w:val="32"/>
          <w:lang w:val="en-US" w:eastAsia="zh-CN"/>
        </w:rPr>
        <w:t>41</w:t>
      </w:r>
      <w:r>
        <w:rPr>
          <w:rFonts w:ascii="Times New Roman" w:hAnsi="Times New Roman" w:eastAsia="仿宋_GB2312" w:cs="Times New Roman"/>
          <w:kern w:val="0"/>
          <w:sz w:val="32"/>
          <w:szCs w:val="32"/>
        </w:rPr>
        <w:t>人。内设股室8个（含1个副科级单位），分别是办公室、人事教育股（党风廉政室）、财务股、企业改革股（综治维稳办、政策法规股、安监股、综合执法大队、棚改办）、运行监督协调股（装备工业股、投资规划与科技股）、工业信息化股（节能与综合利用股、军民融合股、原材料与消费品工业股、）、综合计划股（高新技术发展与成果转化股、农村与社会发展股、外国专家与科技合作股、招商引资办）、县推进新型工业化事务中心。</w:t>
      </w:r>
    </w:p>
    <w:p>
      <w:pPr>
        <w:numPr>
          <w:ilvl w:val="0"/>
          <w:numId w:val="1"/>
        </w:numPr>
        <w:spacing w:line="594"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部门整体支出规模、使用方向和主要内容、涉及范围等。</w:t>
      </w:r>
    </w:p>
    <w:p>
      <w:pPr>
        <w:numPr>
          <w:ilvl w:val="0"/>
          <w:numId w:val="0"/>
        </w:numPr>
        <w:spacing w:line="594" w:lineRule="exac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我局2024年预算内支出共1774.18万元，所有资金均用于行政运行及一般行政管理事务。</w:t>
      </w:r>
    </w:p>
    <w:p>
      <w:pPr>
        <w:numPr>
          <w:ilvl w:val="0"/>
          <w:numId w:val="1"/>
        </w:numPr>
        <w:spacing w:line="594" w:lineRule="exact"/>
        <w:ind w:left="0" w:leftChars="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绩效目标设立情况</w:t>
      </w:r>
      <w:r>
        <w:rPr>
          <w:rFonts w:hint="eastAsia" w:ascii="Times New Roman" w:hAnsi="Times New Roman" w:eastAsia="仿宋_GB2312" w:cs="Times New Roman"/>
          <w:kern w:val="0"/>
          <w:sz w:val="32"/>
          <w:szCs w:val="32"/>
          <w:lang w:eastAsia="zh-CN"/>
        </w:rPr>
        <w:t>。</w:t>
      </w:r>
    </w:p>
    <w:p>
      <w:pPr>
        <w:spacing w:line="594" w:lineRule="exact"/>
        <w:ind w:firstLine="640" w:firstLineChars="200"/>
        <w:rPr>
          <w:rFonts w:hint="default" w:ascii="Times New Roman" w:hAnsi="Times New Roman" w:eastAsia="仿宋_GB2312" w:cs="Times New Roman"/>
          <w:sz w:val="32"/>
        </w:rPr>
      </w:pPr>
      <w:r>
        <w:rPr>
          <w:rFonts w:hint="eastAsia" w:ascii="Times New Roman" w:hAnsi="Times New Roman" w:eastAsia="仿宋_GB2312" w:cs="Times New Roman"/>
          <w:kern w:val="0"/>
          <w:sz w:val="32"/>
          <w:szCs w:val="32"/>
          <w:lang w:val="en-US" w:eastAsia="zh-CN"/>
        </w:rPr>
        <w:t>我局2024年整体绩效目标为</w:t>
      </w:r>
      <w:r>
        <w:rPr>
          <w:rFonts w:hint="default" w:ascii="Times New Roman" w:hAnsi="Times New Roman" w:eastAsia="仿宋_GB2312" w:cs="Times New Roman"/>
          <w:color w:val="auto"/>
          <w:kern w:val="2"/>
          <w:sz w:val="32"/>
          <w:szCs w:val="32"/>
          <w:u w:val="none"/>
          <w:lang w:val="en-US" w:eastAsia="zh-CN" w:bidi="ar-SA"/>
        </w:rPr>
        <w:t>一是着力推动制造业转型升级，加快建设制造强县；二是着力实施创新驱动发展战略，增强科技创新引领力。</w:t>
      </w:r>
    </w:p>
    <w:p>
      <w:pPr>
        <w:spacing w:line="594"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二、部门整体支出管理及使用情况分析</w:t>
      </w:r>
    </w:p>
    <w:p>
      <w:pPr>
        <w:spacing w:line="594"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（一）基本支出</w:t>
      </w:r>
    </w:p>
    <w:p>
      <w:pPr>
        <w:spacing w:line="594"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基本支出</w:t>
      </w:r>
      <w:r>
        <w:rPr>
          <w:rFonts w:hint="eastAsia" w:ascii="Times New Roman" w:hAnsi="Times New Roman" w:eastAsia="仿宋_GB2312" w:cs="Times New Roman"/>
          <w:kern w:val="0"/>
          <w:sz w:val="32"/>
          <w:szCs w:val="32"/>
          <w:lang w:val="en-US" w:eastAsia="zh-CN"/>
        </w:rPr>
        <w:t>624.17</w:t>
      </w:r>
      <w:r>
        <w:rPr>
          <w:rFonts w:hint="eastAsia" w:ascii="Times New Roman" w:hAnsi="Times New Roman" w:eastAsia="仿宋_GB2312" w:cs="Times New Roman"/>
          <w:kern w:val="0"/>
          <w:sz w:val="32"/>
          <w:szCs w:val="32"/>
        </w:rPr>
        <w:t>万元，其中人员经费支出</w:t>
      </w:r>
      <w:r>
        <w:rPr>
          <w:rFonts w:hint="eastAsia" w:ascii="Times New Roman" w:hAnsi="Times New Roman" w:eastAsia="仿宋_GB2312" w:cs="Times New Roman"/>
          <w:kern w:val="0"/>
          <w:sz w:val="32"/>
          <w:szCs w:val="32"/>
          <w:lang w:val="en-US" w:eastAsia="zh-CN"/>
        </w:rPr>
        <w:t>560.12</w:t>
      </w:r>
      <w:r>
        <w:rPr>
          <w:rFonts w:hint="eastAsia" w:ascii="Times New Roman" w:hAnsi="Times New Roman" w:eastAsia="仿宋_GB2312" w:cs="Times New Roman"/>
          <w:kern w:val="0"/>
          <w:sz w:val="32"/>
          <w:szCs w:val="32"/>
        </w:rPr>
        <w:t>万元；日常公用经费</w:t>
      </w:r>
      <w:r>
        <w:rPr>
          <w:rFonts w:hint="eastAsia" w:ascii="Times New Roman" w:hAnsi="Times New Roman" w:eastAsia="仿宋_GB2312" w:cs="Times New Roman"/>
          <w:kern w:val="0"/>
          <w:sz w:val="32"/>
          <w:szCs w:val="32"/>
          <w:lang w:val="en-US" w:eastAsia="zh-CN"/>
        </w:rPr>
        <w:t>64.05</w:t>
      </w:r>
      <w:r>
        <w:rPr>
          <w:rFonts w:hint="eastAsia" w:ascii="Times New Roman" w:hAnsi="Times New Roman" w:eastAsia="仿宋_GB2312" w:cs="Times New Roman"/>
          <w:kern w:val="0"/>
          <w:sz w:val="32"/>
          <w:szCs w:val="32"/>
        </w:rPr>
        <w:t>万元，主要包括办公费、水电费、人员培训学习费、差旅费、会议费和办公设备购置费等机关运行经费。</w:t>
      </w:r>
      <w:r>
        <w:rPr>
          <w:rFonts w:hint="eastAsia" w:ascii="Times New Roman" w:hAnsi="Times New Roman" w:eastAsia="仿宋_GB2312" w:cs="Times New Roman"/>
          <w:kern w:val="0"/>
          <w:sz w:val="32"/>
          <w:szCs w:val="32"/>
          <w:lang w:val="en-US" w:eastAsia="zh-CN"/>
        </w:rPr>
        <w:t>三公经费5.59万元（包含于日常公用经费），低于上年。我局严控</w:t>
      </w:r>
      <w:r>
        <w:rPr>
          <w:rFonts w:ascii="Times New Roman" w:hAnsi="Times New Roman" w:eastAsia="仿宋_GB2312" w:cs="Times New Roman"/>
          <w:kern w:val="0"/>
          <w:sz w:val="32"/>
          <w:szCs w:val="32"/>
        </w:rPr>
        <w:t>“三公”经费</w:t>
      </w:r>
      <w:r>
        <w:rPr>
          <w:rFonts w:hint="eastAsia" w:ascii="Times New Roman" w:hAnsi="Times New Roman" w:eastAsia="仿宋_GB2312" w:cs="Times New Roman"/>
          <w:kern w:val="0"/>
          <w:sz w:val="32"/>
          <w:szCs w:val="32"/>
          <w:lang w:val="en-US" w:eastAsia="zh-CN"/>
        </w:rPr>
        <w:t>的使用和管理，厉行节约，做到一是与公务无关的接待不予报销，严格按标准接待，二是从严从紧控制因公出省国（境）人数和批次，三是在公务用车运行费用在实行定点维修、定点加油，进一步细化内部管理；严格报账程序，严把票据审核关，要求发票合法合规，相关资料真实完整，不符合要求的不予报账，没有按规定及程序审批的不予报账，超出预算限额的不予报账。</w:t>
      </w:r>
    </w:p>
    <w:p>
      <w:pPr>
        <w:tabs>
          <w:tab w:val="left" w:pos="3396"/>
        </w:tabs>
        <w:spacing w:line="594"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（二）项目支出</w:t>
      </w:r>
      <w:r>
        <w:rPr>
          <w:rFonts w:ascii="Times New Roman" w:hAnsi="Times New Roman" w:eastAsia="楷体_GB2312" w:cs="Times New Roman"/>
          <w:kern w:val="0"/>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z w:val="32"/>
        </w:rPr>
      </w:pPr>
      <w:r>
        <w:rPr>
          <w:rFonts w:hint="eastAsia" w:ascii="Times New Roman" w:hAnsi="Times New Roman" w:eastAsia="仿宋_GB2312" w:cs="Times New Roman"/>
          <w:kern w:val="0"/>
          <w:sz w:val="32"/>
          <w:szCs w:val="32"/>
          <w:lang w:val="en-US" w:eastAsia="zh-CN" w:bidi="ar-SA"/>
        </w:rPr>
        <w:t>项目支出1150.01万元。其中科学技术支出1150.01万元，均用于促进全县工业经济发展等方面。抓监测，稳运行，工业经济承压恢复；抓创新，增优势，企业活力持续迸发；抓新锐，扩增量，梯队培育稳步递增；抓项目，扩产能，产业升级提质增效；抓服务，强保障，营商环境持续优化。</w:t>
      </w:r>
    </w:p>
    <w:p>
      <w:pPr>
        <w:spacing w:line="594"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三、项目组织实施情况分析</w:t>
      </w:r>
    </w:p>
    <w:p>
      <w:pPr>
        <w:pStyle w:val="2"/>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202</w:t>
      </w:r>
      <w:r>
        <w:rPr>
          <w:rFonts w:hint="eastAsia" w:ascii="Times New Roman" w:hAnsi="Times New Roman" w:cs="Times New Roman"/>
          <w:kern w:val="0"/>
          <w:sz w:val="32"/>
          <w:szCs w:val="32"/>
          <w:lang w:val="en-US" w:eastAsia="zh-CN" w:bidi="ar-SA"/>
        </w:rPr>
        <w:t>4</w:t>
      </w:r>
      <w:r>
        <w:rPr>
          <w:rFonts w:hint="eastAsia" w:ascii="Times New Roman" w:hAnsi="Times New Roman" w:eastAsia="仿宋_GB2312" w:cs="Times New Roman"/>
          <w:kern w:val="0"/>
          <w:sz w:val="32"/>
          <w:szCs w:val="32"/>
          <w:lang w:val="en-US" w:eastAsia="zh-CN" w:bidi="ar-SA"/>
        </w:rPr>
        <w:t>年，</w:t>
      </w:r>
      <w:r>
        <w:rPr>
          <w:rFonts w:hint="eastAsia" w:ascii="Times New Roman" w:hAnsi="Times New Roman" w:cs="Times New Roman"/>
          <w:kern w:val="0"/>
          <w:sz w:val="32"/>
          <w:szCs w:val="32"/>
          <w:lang w:val="en-US" w:eastAsia="zh-CN" w:bidi="ar-SA"/>
        </w:rPr>
        <w:t>在项目资金的使用上，</w:t>
      </w:r>
      <w:r>
        <w:rPr>
          <w:rFonts w:hint="eastAsia" w:ascii="Times New Roman" w:hAnsi="Times New Roman" w:eastAsia="仿宋_GB2312" w:cs="Times New Roman"/>
          <w:kern w:val="0"/>
          <w:sz w:val="32"/>
          <w:szCs w:val="32"/>
          <w:lang w:val="en-US" w:eastAsia="zh-CN" w:bidi="ar-SA"/>
        </w:rPr>
        <w:t>我局严格按照财经规定，贯彻执行“收支两条线”管理制度，做到专款专用，确保了资金支出的真实性、安全性和合理性。</w:t>
      </w:r>
    </w:p>
    <w:p>
      <w:pPr>
        <w:spacing w:line="594"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四、部门整体支出绩效情况分析</w:t>
      </w:r>
    </w:p>
    <w:p>
      <w:pPr>
        <w:spacing w:line="594" w:lineRule="exact"/>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202</w:t>
      </w:r>
      <w:r>
        <w:rPr>
          <w:rFonts w:hint="eastAsia" w:ascii="Times New Roman" w:hAnsi="Times New Roman" w:cs="Times New Roman"/>
          <w:kern w:val="0"/>
          <w:sz w:val="32"/>
          <w:szCs w:val="32"/>
          <w:lang w:val="en-US" w:eastAsia="zh-CN" w:bidi="ar-SA"/>
        </w:rPr>
        <w:t>4</w:t>
      </w:r>
      <w:r>
        <w:rPr>
          <w:rFonts w:hint="eastAsia" w:ascii="Times New Roman" w:hAnsi="Times New Roman" w:eastAsia="仿宋_GB2312" w:cs="Times New Roman"/>
          <w:kern w:val="0"/>
          <w:sz w:val="32"/>
          <w:szCs w:val="32"/>
          <w:lang w:val="en-US" w:eastAsia="zh-CN" w:bidi="ar-SA"/>
        </w:rPr>
        <w:t>年，我局认真贯彻落实县委、县政府关于全面深化改革以及稳增长、调结构各项政策措施，紧紧围绕工业强县、科技兴县战略，稳步推进产业建设、园区建设和创新创业事业，有效保障了工业经济、科技事业的平稳健康发展。在财政预算资金管理上，我们根据年初工作规划和重点性工作，积极履职，强化管理，通过加强预算收支的管理，不断建立健全内部管理制度，梳理内部管理流程，部门整体支出管理情况得到了提升。</w:t>
      </w:r>
    </w:p>
    <w:p>
      <w:pPr>
        <w:spacing w:line="594"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五、绩效评价工作开展情况</w:t>
      </w:r>
    </w:p>
    <w:p>
      <w:pPr>
        <w:spacing w:line="594"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（一）绩效评价目的。</w:t>
      </w:r>
    </w:p>
    <w:p>
      <w:pPr>
        <w:spacing w:line="594"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主要是为了严格推进项目进程，促进项目稳准快地实施。</w:t>
      </w:r>
    </w:p>
    <w:p>
      <w:pPr>
        <w:spacing w:line="594"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（二）绩效评价工作过程。</w:t>
      </w:r>
    </w:p>
    <w:p>
      <w:pPr>
        <w:spacing w:line="594"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自项目筹备阶段开始，我局就成立了项目绩效评价小组，列出项目绩效各项指标，根据项目进程，每个阶段严格按照指标进行打分。由于业务人员培训得当，水平提高，项目绩效评价最终得分</w:t>
      </w:r>
      <w:r>
        <w:rPr>
          <w:rFonts w:hint="eastAsia" w:ascii="Times New Roman" w:hAnsi="Times New Roman" w:eastAsia="仿宋_GB2312" w:cs="Times New Roman"/>
          <w:kern w:val="0"/>
          <w:sz w:val="32"/>
          <w:szCs w:val="32"/>
          <w:lang w:val="en-US" w:eastAsia="zh-CN"/>
        </w:rPr>
        <w:t>99</w:t>
      </w:r>
      <w:r>
        <w:rPr>
          <w:rFonts w:hint="eastAsia" w:ascii="Times New Roman" w:hAnsi="Times New Roman" w:eastAsia="仿宋_GB2312" w:cs="Times New Roman"/>
          <w:kern w:val="0"/>
          <w:sz w:val="32"/>
          <w:szCs w:val="32"/>
        </w:rPr>
        <w:t>分。</w:t>
      </w:r>
    </w:p>
    <w:p>
      <w:pPr>
        <w:spacing w:line="594"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六、存在的主要问题</w:t>
      </w:r>
    </w:p>
    <w:p>
      <w:pPr>
        <w:spacing w:line="594"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我局机关虽然在绩效考核上取得一定成绩，但目前在整体支出的预算编制、执行和管理过程中，依然存在一些问题和不足：</w:t>
      </w:r>
    </w:p>
    <w:p>
      <w:pPr>
        <w:spacing w:line="594"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1、由于经费预算编制方面的不完善、不系统、不精细，预算执行的灵活度相对较大，预算管理的指导性和管理性作用不强。</w:t>
      </w:r>
    </w:p>
    <w:p>
      <w:pPr>
        <w:spacing w:line="594"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2、部分指标下达时间晚，影响项目的支付进度。</w:t>
      </w:r>
    </w:p>
    <w:p>
      <w:pPr>
        <w:spacing w:line="594"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3、上年结余和本年追加项目预算没有进行预算的编制，不便于对经费实行深入、细化的预算管理。</w:t>
      </w:r>
      <w:r>
        <w:rPr>
          <w:rFonts w:ascii="Times New Roman" w:hAnsi="Times New Roman" w:eastAsia="仿宋_GB2312" w:cs="Times New Roman"/>
          <w:kern w:val="0"/>
          <w:sz w:val="32"/>
          <w:szCs w:val="32"/>
        </w:rPr>
        <w:t xml:space="preserve"> </w:t>
      </w:r>
    </w:p>
    <w:p>
      <w:pPr>
        <w:spacing w:line="594"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七、改进措施和有关建议</w:t>
      </w:r>
    </w:p>
    <w:p>
      <w:pPr>
        <w:spacing w:line="594"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细化预算编制工作，认真做好预算的编制。进一步加强机关各股室的预算管理意识，严格按照预算编制的相关制度和要求，公用经费根据单位的年度工作重点和项目专项工作规划，本着“勤俭节约、保障运转”的原则进行预算的编制；编制范围尽可能的全面，不漏项；进一步提高预算编制的科学性、合理性、严谨性和可控性。</w:t>
      </w:r>
    </w:p>
    <w:p>
      <w:pPr>
        <w:spacing w:line="594"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2、遵循预算管理办法，对于年度无法预计的临时追加的相关工作所需费用和结余资金确保资金严格按照预算专项资金使用程序申报及使用，按照预算项目和使用用途执行。</w:t>
      </w:r>
    </w:p>
    <w:p>
      <w:pPr>
        <w:spacing w:line="594"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3、预算财务分析常态化。定期做好支出预算财务分析，及时对费用预算执行情况进行通报，定期对预算执行情况进行检查，做好部门整体支出预算评价工作。</w:t>
      </w:r>
    </w:p>
    <w:p>
      <w:pPr>
        <w:spacing w:line="594"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4、加强财务管理，严格财务审核，提高财务的精细化管理。在费用报账支付时，按照预算规定的费用项目和用途进行资金使用的审核，在预算金额内严格控制费用的支出，控制超支现象的发生；严格按照实际的费用支出内容进行财务核算，确保财务核算的真实、及时、准确、完整。</w:t>
      </w:r>
    </w:p>
    <w:p>
      <w:pPr>
        <w:spacing w:line="594" w:lineRule="exact"/>
        <w:ind w:firstLine="640" w:firstLineChars="200"/>
        <w:rPr>
          <w:rFonts w:hint="eastAsia" w:eastAsia="仿宋_GB2312"/>
          <w:kern w:val="0"/>
          <w:szCs w:val="32"/>
          <w:lang w:val="en-US" w:eastAsia="zh-CN"/>
        </w:rPr>
        <w:sectPr>
          <w:pgSz w:w="11907" w:h="16840"/>
          <w:pgMar w:top="1871" w:right="1418" w:bottom="1616" w:left="1588" w:header="851" w:footer="1304" w:gutter="0"/>
          <w:cols w:space="720" w:num="1"/>
          <w:docGrid w:linePitch="534" w:charSpace="704"/>
        </w:sectPr>
      </w:pPr>
      <w:r>
        <w:rPr>
          <w:rFonts w:hint="eastAsia" w:ascii="Times New Roman" w:hAnsi="Times New Roman" w:eastAsia="仿宋_GB2312" w:cs="Times New Roman"/>
          <w:kern w:val="0"/>
          <w:sz w:val="32"/>
          <w:szCs w:val="32"/>
        </w:rPr>
        <w:t>5、根据中央、省、市党政机关厉行节约工作的精神， 进一步严控三公经费支出，严格控制规模和比例、审核审批流程，进一步细化三公经费的管理，进一步压缩三公经费支出</w:t>
      </w:r>
      <w:bookmarkStart w:id="1" w:name="_GoBack"/>
      <w:bookmarkEnd w:id="1"/>
      <w:r>
        <w:rPr>
          <w:rFonts w:hint="eastAsia" w:ascii="Times New Roman" w:hAnsi="Times New Roman" w:eastAsia="仿宋_GB2312" w:cs="Times New Roman"/>
          <w:kern w:val="0"/>
          <w:sz w:val="32"/>
          <w:szCs w:val="32"/>
          <w:lang w:eastAsia="zh-CN"/>
        </w:rPr>
        <w:t>。</w:t>
      </w:r>
    </w:p>
    <w:p>
      <w:pPr>
        <w:spacing w:line="240" w:lineRule="auto"/>
        <w:rPr>
          <w:lang w:val="en-US" w:eastAsia="zh-CN"/>
        </w:rPr>
      </w:pPr>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jc w:val="both"/>
        <w:rPr>
          <w:lang w:val="en-US"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icrosoft YaHei U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1701" w:wrap="around" w:vAnchor="text" w:hAnchor="margin" w:xAlign="outside" w:y="1"/>
      <w:widowControl w:val="0"/>
      <w:snapToGrid w:val="0"/>
      <w:jc w:val="center"/>
      <w:rPr>
        <w:rStyle w:val="7"/>
        <w:rFonts w:hint="eastAsia" w:ascii="Times New Roman" w:hAnsi="Times New Roman" w:eastAsia="仿宋_GB2312" w:cs="Times New Roman"/>
        <w:kern w:val="2"/>
        <w:sz w:val="28"/>
        <w:szCs w:val="28"/>
        <w:lang w:val="en-US" w:eastAsia="zh-CN" w:bidi="ar-SA"/>
      </w:rPr>
    </w:pPr>
    <w:r>
      <w:rPr>
        <w:rStyle w:val="7"/>
        <w:rFonts w:hint="eastAsia" w:ascii="Times New Roman" w:hAnsi="Times New Roman" w:eastAsia="仿宋_GB2312" w:cs="Times New Roman"/>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fldChar w:fldCharType="begin"/>
    </w:r>
    <w:r>
      <w:rPr>
        <w:rStyle w:val="7"/>
        <w:rFonts w:ascii="Times New Roman" w:hAnsi="Times New Roman" w:eastAsia="仿宋_GB2312" w:cs="Times New Roman"/>
        <w:kern w:val="2"/>
        <w:sz w:val="28"/>
        <w:szCs w:val="28"/>
        <w:lang w:val="en-US" w:eastAsia="zh-CN" w:bidi="ar-SA"/>
      </w:rPr>
      <w:instrText xml:space="preserve">PAGE  </w:instrText>
    </w:r>
    <w:r>
      <w:rPr>
        <w:rFonts w:ascii="Times New Roman" w:hAnsi="Times New Roman" w:eastAsia="仿宋_GB2312" w:cs="Times New Roman"/>
        <w:kern w:val="2"/>
        <w:sz w:val="28"/>
        <w:szCs w:val="28"/>
        <w:lang w:val="en-US" w:eastAsia="zh-CN" w:bidi="ar-SA"/>
      </w:rPr>
      <w:fldChar w:fldCharType="separate"/>
    </w:r>
    <w:r>
      <w:rPr>
        <w:rStyle w:val="7"/>
        <w:rFonts w:ascii="Times New Roman" w:hAnsi="Times New Roman" w:eastAsia="仿宋_GB2312" w:cs="Times New Roman"/>
        <w:kern w:val="2"/>
        <w:sz w:val="28"/>
        <w:szCs w:val="28"/>
        <w:lang w:val="en-US" w:eastAsia="zh-CN" w:bidi="ar-SA"/>
      </w:rPr>
      <w:t>2</w:t>
    </w:r>
    <w:r>
      <w:rPr>
        <w:rFonts w:ascii="Times New Roman" w:hAnsi="Times New Roman" w:eastAsia="仿宋_GB2312" w:cs="Times New Roman"/>
        <w:kern w:val="2"/>
        <w:sz w:val="28"/>
        <w:szCs w:val="28"/>
        <w:lang w:val="en-US" w:eastAsia="zh-CN" w:bidi="ar-SA"/>
      </w:rPr>
      <w:fldChar w:fldCharType="end"/>
    </w:r>
    <w:r>
      <w:rPr>
        <w:rFonts w:hint="eastAsia" w:ascii="Times New Roman" w:hAnsi="Times New Roman" w:eastAsia="仿宋_GB2312" w:cs="Times New Roman"/>
        <w:kern w:val="2"/>
        <w:sz w:val="28"/>
        <w:szCs w:val="28"/>
        <w:lang w:val="en-US" w:eastAsia="zh-CN" w:bidi="ar-SA"/>
      </w:rPr>
      <w:t xml:space="preserve"> </w:t>
    </w:r>
    <w:r>
      <w:rPr>
        <w:rStyle w:val="7"/>
        <w:rFonts w:hint="eastAsia" w:ascii="Times New Roman" w:hAnsi="Times New Roman" w:eastAsia="仿宋_GB2312" w:cs="Times New Roman"/>
        <w:kern w:val="2"/>
        <w:sz w:val="28"/>
        <w:szCs w:val="28"/>
        <w:lang w:val="en-US" w:eastAsia="zh-CN" w:bidi="ar-SA"/>
      </w:rPr>
      <w:t>—</w:t>
    </w:r>
  </w:p>
  <w:p>
    <w:pPr>
      <w:widowControl w:val="0"/>
      <w:snapToGrid w:val="0"/>
      <w:ind w:right="360"/>
      <w:jc w:val="left"/>
      <w:rPr>
        <w:rFonts w:hint="eastAsia" w:ascii="Times New Roman" w:hAnsi="Times New Roman" w:eastAsia="仿宋_GB2312"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701" w:wrap="around" w:vAnchor="text" w:hAnchor="margin" w:xAlign="outside" w:y="1"/>
      <w:jc w:val="center"/>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2</w:t>
    </w:r>
    <w:r>
      <w:rPr>
        <w:sz w:val="28"/>
        <w:szCs w:val="28"/>
      </w:rPr>
      <w:fldChar w:fldCharType="end"/>
    </w:r>
    <w:r>
      <w:rPr>
        <w:rFonts w:hint="eastAsia"/>
        <w:sz w:val="28"/>
        <w:szCs w:val="28"/>
      </w:rPr>
      <w:t xml:space="preserve"> </w:t>
    </w:r>
    <w:r>
      <w:rPr>
        <w:rStyle w:val="7"/>
        <w:rFonts w:hint="eastAsia"/>
        <w:sz w:val="28"/>
        <w:szCs w:val="28"/>
      </w:rPr>
      <w:t>—</w:t>
    </w:r>
  </w:p>
  <w:p>
    <w:pPr>
      <w:pStyle w:val="3"/>
      <w:ind w:right="360"/>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ECA270"/>
    <w:multiLevelType w:val="singleLevel"/>
    <w:tmpl w:val="C3ECA27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kZjI4MTFhMDJjMTExMWU0YmI0NDc5MGZkYTRkNWQifQ=="/>
  </w:docVars>
  <w:rsids>
    <w:rsidRoot w:val="26291F3E"/>
    <w:rsid w:val="01625407"/>
    <w:rsid w:val="05BD1935"/>
    <w:rsid w:val="0A122AE0"/>
    <w:rsid w:val="0B7128FA"/>
    <w:rsid w:val="19E36BD5"/>
    <w:rsid w:val="26291F3E"/>
    <w:rsid w:val="2EB86239"/>
    <w:rsid w:val="3110539D"/>
    <w:rsid w:val="40C3728C"/>
    <w:rsid w:val="432C731F"/>
    <w:rsid w:val="4BEC6ED8"/>
    <w:rsid w:val="4E037044"/>
    <w:rsid w:val="4FD31EA1"/>
    <w:rsid w:val="72DC0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 文字 + 首行缩进:  2 字符3"/>
    <w:basedOn w:val="1"/>
    <w:qFormat/>
    <w:uiPriority w:val="99"/>
    <w:pPr>
      <w:spacing w:line="360" w:lineRule="auto"/>
      <w:jc w:val="left"/>
    </w:pPr>
    <w:rPr>
      <w:sz w:val="28"/>
      <w:szCs w:val="2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2025-03-31T02:14:00Z</dcterms:created>
  <dc:creator>Administrator</dc:creator>
  <cp:lastModifiedBy>Administrator</cp:lastModifiedBy>
  <dcterms:modified xsi:type="dcterms:W3CDTF">2025-03-31T07:55:34Z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30C08C357A6A4C69953062B24F9561CD_11</vt:lpwstr>
  </property>
</Properties>
</file>