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CA78A">
      <w:pPr>
        <w:jc w:val="center"/>
        <w:rPr>
          <w:b/>
          <w:sz w:val="48"/>
          <w:szCs w:val="48"/>
          <w:lang w:eastAsia="zh-CN"/>
        </w:rPr>
      </w:pPr>
      <w:r>
        <w:rPr>
          <w:rFonts w:hint="eastAsia"/>
          <w:b/>
          <w:sz w:val="48"/>
          <w:szCs w:val="48"/>
          <w:lang w:eastAsia="zh-CN"/>
        </w:rPr>
        <w:t>桃江县民政局202</w:t>
      </w:r>
      <w:r>
        <w:rPr>
          <w:rFonts w:hint="eastAsia"/>
          <w:b/>
          <w:sz w:val="48"/>
          <w:szCs w:val="48"/>
          <w:lang w:val="en-US" w:eastAsia="zh-CN"/>
        </w:rPr>
        <w:t>4</w:t>
      </w:r>
      <w:r>
        <w:rPr>
          <w:rFonts w:hint="eastAsia"/>
          <w:b/>
          <w:sz w:val="48"/>
          <w:szCs w:val="48"/>
          <w:lang w:eastAsia="zh-CN"/>
        </w:rPr>
        <w:t>年部门财政支出</w:t>
      </w:r>
    </w:p>
    <w:p w14:paraId="0E138F61">
      <w:pPr>
        <w:jc w:val="center"/>
        <w:rPr>
          <w:b/>
          <w:sz w:val="48"/>
          <w:szCs w:val="48"/>
          <w:lang w:eastAsia="zh-CN"/>
        </w:rPr>
      </w:pPr>
      <w:r>
        <w:rPr>
          <w:rFonts w:hint="eastAsia"/>
          <w:b/>
          <w:sz w:val="48"/>
          <w:szCs w:val="48"/>
          <w:lang w:eastAsia="zh-CN"/>
        </w:rPr>
        <w:t>绩效评价报告</w:t>
      </w:r>
    </w:p>
    <w:p w14:paraId="1DB50877">
      <w:pPr>
        <w:jc w:val="center"/>
        <w:rPr>
          <w:sz w:val="48"/>
          <w:szCs w:val="48"/>
          <w:lang w:eastAsia="zh-CN"/>
        </w:rPr>
      </w:pPr>
    </w:p>
    <w:p w14:paraId="11C57819">
      <w:pPr>
        <w:keepNext w:val="0"/>
        <w:keepLines w:val="0"/>
        <w:pageBreakBefore w:val="0"/>
        <w:kinsoku/>
        <w:wordWrap/>
        <w:overflowPunct/>
        <w:topLinePunct w:val="0"/>
        <w:autoSpaceDE/>
        <w:autoSpaceDN/>
        <w:bidi w:val="0"/>
        <w:adjustRightInd/>
        <w:snapToGrid/>
        <w:spacing w:line="590" w:lineRule="exact"/>
        <w:ind w:firstLine="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为了进一步规范财政资金管理，强化预算支出绩效观念，切实提高资金使用效益，根据《桃江县财政局关于开展202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年度财政资金绩效自评工作的通知》（桃财监[202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号）文件要求，我局对202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年财政性资金整体使用情况进行了绩效自评，现将有关情况报告如下：</w:t>
      </w:r>
    </w:p>
    <w:p w14:paraId="551A84A9">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部门概况</w:t>
      </w:r>
    </w:p>
    <w:p w14:paraId="47835989">
      <w:pPr>
        <w:pStyle w:val="25"/>
        <w:keepNext w:val="0"/>
        <w:keepLines w:val="0"/>
        <w:pageBreakBefore w:val="0"/>
        <w:numPr>
          <w:ilvl w:val="0"/>
          <w:numId w:val="2"/>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机构设置、人员构成及主要职能</w:t>
      </w:r>
    </w:p>
    <w:p w14:paraId="63999C94">
      <w:pPr>
        <w:keepNext w:val="0"/>
        <w:keepLines w:val="0"/>
        <w:pageBreakBefore w:val="0"/>
        <w:kinsoku/>
        <w:wordWrap/>
        <w:overflowPunct/>
        <w:topLinePunct w:val="0"/>
        <w:autoSpaceDE/>
        <w:autoSpaceDN/>
        <w:bidi w:val="0"/>
        <w:adjustRightInd/>
        <w:snapToGrid/>
        <w:spacing w:line="590" w:lineRule="exact"/>
        <w:ind w:firstLine="63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年行政核定编制数为11人，事业核定编制数为35人。实际在职人员40人，其中行政在职</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人，事业在职3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人。离退休人员4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人。</w:t>
      </w:r>
    </w:p>
    <w:p w14:paraId="263F60E8">
      <w:pPr>
        <w:keepNext w:val="0"/>
        <w:keepLines w:val="0"/>
        <w:pageBreakBefore w:val="0"/>
        <w:kinsoku/>
        <w:wordWrap/>
        <w:overflowPunct/>
        <w:topLinePunct w:val="0"/>
        <w:autoSpaceDE/>
        <w:autoSpaceDN/>
        <w:bidi w:val="0"/>
        <w:adjustRightInd/>
        <w:snapToGrid/>
        <w:spacing w:line="590" w:lineRule="exact"/>
        <w:ind w:firstLine="63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是全额拨款的行政单位。主要职责：贯彻执行民政工作方面的法律法规和方针政策，拟订全县民政事业发展规划并组织实施和督促检查;承担对全县社会团体、民办非企业单位的登记管理和监督责任;指导革命老根据地的经济开发和脱贫致富;拟订全县社会救助规划、政策和标准，健全城乡社会救助体系，负责城乡居民最低生活保障、医疗救助、临时救助、生活无着落人员救助工作;指导全县社区服务体系建设，提出加强和改进城乡基层政权建设的建议，推动基层民主政治建设;负责全县社会福利事业和福利彩票管理工作；负责全县老龄工作；指导全县社会慈善、社会捐赠、群众互助等社会扶助活动，促进慈善事业发展;负责全县婚姻登记管理、殡葬管理、流浪乞讨人员救助管理和儿童收养工作，推进婚俗和殡葬改革;会同有关部门拟订社会工作发展规划、政策和职业规范，推进社会人才队伍建设和相关志愿者队伍建设;负责全县行政区域、地名管理及行政区域界线的管理和调整工作;指导社会工作人才队伍建设;承办县人民政府交办的其他事项。</w:t>
      </w:r>
    </w:p>
    <w:p w14:paraId="5D914D4F">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ascii="仿宋_GB2312" w:hAnsi="仿宋_GB2312" w:eastAsia="仿宋_GB2312" w:cs="仿宋_GB2312"/>
          <w:b/>
          <w:sz w:val="32"/>
          <w:szCs w:val="32"/>
          <w:lang w:eastAsia="zh-CN"/>
        </w:rPr>
      </w:pPr>
      <w:r>
        <w:rPr>
          <w:szCs w:val="32"/>
          <w:lang w:eastAsia="zh-CN"/>
        </w:rPr>
        <w:t>（</w:t>
      </w:r>
      <w:r>
        <w:rPr>
          <w:rFonts w:ascii="仿宋_GB2312" w:hAnsi="仿宋_GB2312" w:eastAsia="仿宋_GB2312" w:cs="仿宋_GB2312"/>
          <w:sz w:val="32"/>
          <w:szCs w:val="32"/>
          <w:lang w:eastAsia="zh-CN"/>
        </w:rPr>
        <w:t>二）</w:t>
      </w:r>
      <w:r>
        <w:rPr>
          <w:rFonts w:ascii="仿宋_GB2312" w:hAnsi="仿宋_GB2312" w:eastAsia="仿宋_GB2312" w:cs="仿宋_GB2312"/>
          <w:b/>
          <w:sz w:val="32"/>
          <w:szCs w:val="32"/>
          <w:lang w:eastAsia="zh-CN"/>
        </w:rPr>
        <w:t>部门整体支出规模、使用方向和主要内容、涉及范围等。</w:t>
      </w:r>
    </w:p>
    <w:p w14:paraId="7858EEF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预算整体支出使用16672.54万元。主要使用在困难群众救助、残疾人生活和护理补贴、老年福利、儿童福利、殡葬、社会组织管理、基层政权建设、地名管理、福利彩票发行、收养登记、收养、社会人才队伍建设和志愿者队伍建设、流浪乞讨以及各项民政基础设施建设等</w:t>
      </w:r>
    </w:p>
    <w:p w14:paraId="3A209A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（三）绩效目标设立情况，主要包括部门中长期绩效目标和年度绩效目标。</w:t>
      </w:r>
    </w:p>
    <w:p w14:paraId="7623F3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1、保障县民政局在职人员的办公及生产生活秩序正常运转；</w:t>
      </w:r>
    </w:p>
    <w:p w14:paraId="13AF44D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2、完善社会救助，加强社会救助平台建设，进一步提高社会救助水平，续续推动城乡低保标准稳步提高。</w:t>
      </w:r>
    </w:p>
    <w:p w14:paraId="2938D41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3、加强社会福利和促进慈善业发展，保障残疾人两补，孤儿生活保障金、高龄补贴及时按规定发放到位。</w:t>
      </w:r>
    </w:p>
    <w:p w14:paraId="2D9EC9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4、积极推进基层政权和社区建设。</w:t>
      </w:r>
    </w:p>
    <w:p w14:paraId="1DAF3FF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5、推进社会事务专项管理。深化社会组织管理制度改革，完成好社团组织年检工作；加强区划地名和界线管理，认真开展全国第二次地名普查工作；进一步规范婚姻、收养登记工作。</w:t>
      </w:r>
    </w:p>
    <w:p w14:paraId="4109B4A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6、及时做到流浪乞讨人员的救助及返乡，维护桃江县社会环境稳定和谐。</w:t>
      </w:r>
    </w:p>
    <w:p w14:paraId="1C173B9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7、提高民政综合能力建设。</w:t>
      </w:r>
    </w:p>
    <w:p w14:paraId="6D67C4DE">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部门整体支出管理及使用情况分析</w:t>
      </w:r>
    </w:p>
    <w:p w14:paraId="6B2C8C0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年度预算整体支出使用</w:t>
      </w:r>
      <w:r>
        <w:rPr>
          <w:rFonts w:hint="eastAsia" w:ascii="仿宋_GB2312" w:hAnsi="仿宋_GB2312" w:eastAsia="仿宋_GB2312" w:cs="仿宋_GB2312"/>
          <w:sz w:val="32"/>
          <w:szCs w:val="32"/>
          <w:lang w:val="en-US" w:eastAsia="zh-CN"/>
        </w:rPr>
        <w:t>19030.25</w:t>
      </w:r>
      <w:r>
        <w:rPr>
          <w:rFonts w:hint="eastAsia" w:ascii="仿宋_GB2312" w:hAnsi="仿宋_GB2312" w:eastAsia="仿宋_GB2312" w:cs="仿宋_GB2312"/>
          <w:sz w:val="32"/>
          <w:szCs w:val="32"/>
          <w:lang w:eastAsia="zh-CN"/>
        </w:rPr>
        <w:t>万元。其中：基本支出</w:t>
      </w:r>
      <w:r>
        <w:rPr>
          <w:rFonts w:hint="eastAsia" w:ascii="仿宋_GB2312" w:hAnsi="仿宋_GB2312" w:eastAsia="仿宋_GB2312" w:cs="仿宋_GB2312"/>
          <w:sz w:val="32"/>
          <w:szCs w:val="32"/>
          <w:lang w:val="en-US" w:eastAsia="zh-CN"/>
        </w:rPr>
        <w:t>1014.59</w:t>
      </w:r>
      <w:r>
        <w:rPr>
          <w:rFonts w:hint="eastAsia" w:ascii="仿宋_GB2312" w:hAnsi="仿宋_GB2312" w:eastAsia="仿宋_GB2312" w:cs="仿宋_GB2312"/>
          <w:sz w:val="32"/>
          <w:szCs w:val="32"/>
          <w:lang w:eastAsia="zh-CN"/>
        </w:rPr>
        <w:t>万元，项目支出</w:t>
      </w:r>
      <w:r>
        <w:rPr>
          <w:rFonts w:hint="eastAsia" w:ascii="仿宋_GB2312" w:hAnsi="仿宋_GB2312" w:eastAsia="仿宋_GB2312" w:cs="仿宋_GB2312"/>
          <w:sz w:val="32"/>
          <w:szCs w:val="32"/>
          <w:lang w:val="en-US" w:eastAsia="zh-CN"/>
        </w:rPr>
        <w:t>18015.66</w:t>
      </w:r>
      <w:r>
        <w:rPr>
          <w:rFonts w:hint="eastAsia" w:ascii="仿宋_GB2312" w:hAnsi="仿宋_GB2312" w:eastAsia="仿宋_GB2312" w:cs="仿宋_GB2312"/>
          <w:sz w:val="32"/>
          <w:szCs w:val="32"/>
          <w:lang w:eastAsia="zh-CN"/>
        </w:rPr>
        <w:t>万元。</w:t>
      </w:r>
    </w:p>
    <w:p w14:paraId="49633461">
      <w:pPr>
        <w:keepNext w:val="0"/>
        <w:keepLines w:val="0"/>
        <w:pageBreakBefore w:val="0"/>
        <w:kinsoku/>
        <w:wordWrap/>
        <w:overflowPunct/>
        <w:topLinePunct w:val="0"/>
        <w:autoSpaceDE/>
        <w:autoSpaceDN/>
        <w:bidi w:val="0"/>
        <w:adjustRightInd/>
        <w:snapToGrid/>
        <w:spacing w:line="590" w:lineRule="exact"/>
        <w:ind w:firstLine="482" w:firstLineChars="15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（一）基本支出</w:t>
      </w:r>
    </w:p>
    <w:p w14:paraId="73BC274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年部门基本支出数</w:t>
      </w:r>
      <w:r>
        <w:rPr>
          <w:rFonts w:hint="eastAsia" w:ascii="仿宋_GB2312" w:hAnsi="仿宋_GB2312" w:eastAsia="仿宋_GB2312" w:cs="仿宋_GB2312"/>
          <w:sz w:val="32"/>
          <w:szCs w:val="32"/>
          <w:lang w:val="en-US" w:eastAsia="zh-CN"/>
        </w:rPr>
        <w:t>1014.59</w:t>
      </w:r>
      <w:r>
        <w:rPr>
          <w:rFonts w:hint="eastAsia" w:ascii="仿宋_GB2312" w:hAnsi="仿宋_GB2312" w:eastAsia="仿宋_GB2312" w:cs="仿宋_GB2312"/>
          <w:sz w:val="32"/>
          <w:szCs w:val="32"/>
          <w:lang w:eastAsia="zh-CN"/>
        </w:rPr>
        <w:t>万元。其中:人员经费83</w:t>
      </w:r>
      <w:r>
        <w:rPr>
          <w:rFonts w:hint="eastAsia" w:ascii="仿宋_GB2312" w:hAnsi="仿宋_GB2312" w:eastAsia="仿宋_GB2312" w:cs="仿宋_GB2312"/>
          <w:sz w:val="32"/>
          <w:szCs w:val="32"/>
          <w:lang w:val="en-US" w:eastAsia="zh-CN"/>
        </w:rPr>
        <w:t>3.43</w:t>
      </w:r>
      <w:r>
        <w:rPr>
          <w:rFonts w:hint="eastAsia" w:ascii="仿宋_GB2312" w:hAnsi="仿宋_GB2312" w:eastAsia="仿宋_GB2312" w:cs="仿宋_GB2312"/>
          <w:sz w:val="32"/>
          <w:szCs w:val="32"/>
          <w:lang w:eastAsia="zh-CN"/>
        </w:rPr>
        <w:t>万元，公用经费</w:t>
      </w:r>
      <w:r>
        <w:rPr>
          <w:rFonts w:hint="eastAsia" w:ascii="仿宋_GB2312" w:hAnsi="仿宋_GB2312" w:eastAsia="仿宋_GB2312" w:cs="仿宋_GB2312"/>
          <w:sz w:val="32"/>
          <w:szCs w:val="32"/>
          <w:lang w:val="en-US" w:eastAsia="zh-CN"/>
        </w:rPr>
        <w:t>181.16</w:t>
      </w:r>
      <w:r>
        <w:rPr>
          <w:rFonts w:hint="eastAsia" w:ascii="仿宋_GB2312" w:hAnsi="仿宋_GB2312" w:eastAsia="仿宋_GB2312" w:cs="仿宋_GB2312"/>
          <w:sz w:val="32"/>
          <w:szCs w:val="32"/>
          <w:lang w:eastAsia="zh-CN"/>
        </w:rPr>
        <w:t>万元，主要用出工资福利支出、商品和服务支出、对个人和家庭的补助等。202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年部门“三公”经费为</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lang w:eastAsia="zh-CN"/>
        </w:rPr>
        <w:t>万元，主要用为公务接待、公务用车运行维护等。基本支出明细如下：（单位：万元）</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2"/>
        <w:gridCol w:w="4148"/>
        <w:gridCol w:w="3118"/>
      </w:tblGrid>
      <w:tr w14:paraId="34C36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922" w:type="dxa"/>
          </w:tcPr>
          <w:p w14:paraId="4E2CF622">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4148" w:type="dxa"/>
          </w:tcPr>
          <w:p w14:paraId="25264C53">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项目名称</w:t>
            </w:r>
          </w:p>
        </w:tc>
        <w:tc>
          <w:tcPr>
            <w:tcW w:w="3118" w:type="dxa"/>
          </w:tcPr>
          <w:p w14:paraId="34E19F32">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决算支出金额</w:t>
            </w:r>
          </w:p>
        </w:tc>
      </w:tr>
      <w:tr w14:paraId="2B3750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922" w:type="dxa"/>
          </w:tcPr>
          <w:p w14:paraId="16FA257F">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p>
        </w:tc>
        <w:tc>
          <w:tcPr>
            <w:tcW w:w="4148" w:type="dxa"/>
          </w:tcPr>
          <w:p w14:paraId="4D0CA7D1">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工资福利支出</w:t>
            </w:r>
          </w:p>
        </w:tc>
        <w:tc>
          <w:tcPr>
            <w:tcW w:w="3118" w:type="dxa"/>
          </w:tcPr>
          <w:p w14:paraId="39ACE38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79.21</w:t>
            </w:r>
          </w:p>
        </w:tc>
      </w:tr>
      <w:tr w14:paraId="10484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922" w:type="dxa"/>
          </w:tcPr>
          <w:p w14:paraId="7ABDFB36">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p>
        </w:tc>
        <w:tc>
          <w:tcPr>
            <w:tcW w:w="4148" w:type="dxa"/>
          </w:tcPr>
          <w:p w14:paraId="6C72DB91">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对个人和家庭的补助</w:t>
            </w:r>
          </w:p>
        </w:tc>
        <w:tc>
          <w:tcPr>
            <w:tcW w:w="3118" w:type="dxa"/>
          </w:tcPr>
          <w:p w14:paraId="1E4CA90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54.16</w:t>
            </w:r>
          </w:p>
        </w:tc>
      </w:tr>
      <w:tr w14:paraId="6715F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922" w:type="dxa"/>
          </w:tcPr>
          <w:p w14:paraId="31089D3C">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4148" w:type="dxa"/>
          </w:tcPr>
          <w:p w14:paraId="75E9DF27">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商品和服务支出</w:t>
            </w:r>
          </w:p>
        </w:tc>
        <w:tc>
          <w:tcPr>
            <w:tcW w:w="3118" w:type="dxa"/>
          </w:tcPr>
          <w:p w14:paraId="66996B17">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17</w:t>
            </w:r>
            <w:r>
              <w:rPr>
                <w:rFonts w:hint="eastAsia" w:ascii="仿宋_GB2312" w:hAnsi="仿宋_GB2312" w:eastAsia="仿宋_GB2312" w:cs="仿宋_GB2312"/>
                <w:sz w:val="32"/>
                <w:szCs w:val="32"/>
                <w:lang w:val="en-US" w:eastAsia="zh-CN"/>
              </w:rPr>
              <w:t>5.78</w:t>
            </w:r>
          </w:p>
        </w:tc>
      </w:tr>
      <w:tr w14:paraId="6D541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922" w:type="dxa"/>
          </w:tcPr>
          <w:p w14:paraId="0D61253F">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p>
        </w:tc>
        <w:tc>
          <w:tcPr>
            <w:tcW w:w="4148" w:type="dxa"/>
          </w:tcPr>
          <w:p w14:paraId="38178C89">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三公经费支出</w:t>
            </w:r>
          </w:p>
        </w:tc>
        <w:tc>
          <w:tcPr>
            <w:tcW w:w="3118" w:type="dxa"/>
          </w:tcPr>
          <w:p w14:paraId="464A93D8">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5.38</w:t>
            </w:r>
          </w:p>
        </w:tc>
      </w:tr>
      <w:tr w14:paraId="4E8AD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922" w:type="dxa"/>
          </w:tcPr>
          <w:p w14:paraId="3577B54B">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4148" w:type="dxa"/>
          </w:tcPr>
          <w:p w14:paraId="68A28EF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tc>
        <w:tc>
          <w:tcPr>
            <w:tcW w:w="3118" w:type="dxa"/>
          </w:tcPr>
          <w:p w14:paraId="7994BAF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1014.59</w:t>
            </w:r>
          </w:p>
        </w:tc>
      </w:tr>
    </w:tbl>
    <w:p w14:paraId="3C8751F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年度“三公经费”预算、决算执行情况：</w:t>
      </w:r>
    </w:p>
    <w:p w14:paraId="367AA7A0">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单位：万元</w:t>
      </w:r>
    </w:p>
    <w:tbl>
      <w:tblPr>
        <w:tblStyle w:val="21"/>
        <w:tblW w:w="0" w:type="auto"/>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8"/>
        <w:gridCol w:w="3050"/>
        <w:gridCol w:w="2259"/>
        <w:gridCol w:w="2389"/>
      </w:tblGrid>
      <w:tr w14:paraId="596AA1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8" w:type="dxa"/>
          </w:tcPr>
          <w:p w14:paraId="5119295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3050" w:type="dxa"/>
          </w:tcPr>
          <w:p w14:paraId="290B7BD0">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项目名称</w:t>
            </w:r>
          </w:p>
        </w:tc>
        <w:tc>
          <w:tcPr>
            <w:tcW w:w="2259" w:type="dxa"/>
          </w:tcPr>
          <w:p w14:paraId="0B1B25D2">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预算支出金额</w:t>
            </w:r>
          </w:p>
        </w:tc>
        <w:tc>
          <w:tcPr>
            <w:tcW w:w="2389" w:type="dxa"/>
          </w:tcPr>
          <w:p w14:paraId="4AE61C44">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决算支出金额</w:t>
            </w:r>
          </w:p>
        </w:tc>
      </w:tr>
      <w:tr w14:paraId="265D7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8" w:type="dxa"/>
          </w:tcPr>
          <w:p w14:paraId="77BD1ECA">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p>
        </w:tc>
        <w:tc>
          <w:tcPr>
            <w:tcW w:w="3050" w:type="dxa"/>
          </w:tcPr>
          <w:p w14:paraId="4D0874D3">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公务接待费支出</w:t>
            </w:r>
          </w:p>
        </w:tc>
        <w:tc>
          <w:tcPr>
            <w:tcW w:w="2259" w:type="dxa"/>
          </w:tcPr>
          <w:p w14:paraId="4E879A91">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2389" w:type="dxa"/>
            <w:vAlign w:val="center"/>
          </w:tcPr>
          <w:p w14:paraId="310A04F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5.38</w:t>
            </w:r>
          </w:p>
        </w:tc>
      </w:tr>
      <w:tr w14:paraId="26FBF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8" w:type="dxa"/>
          </w:tcPr>
          <w:p w14:paraId="3911867E">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p>
        </w:tc>
        <w:tc>
          <w:tcPr>
            <w:tcW w:w="3050" w:type="dxa"/>
          </w:tcPr>
          <w:p w14:paraId="47BE8E06">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公务用车运行维护费支出</w:t>
            </w:r>
          </w:p>
        </w:tc>
        <w:tc>
          <w:tcPr>
            <w:tcW w:w="2259" w:type="dxa"/>
            <w:vAlign w:val="center"/>
          </w:tcPr>
          <w:p w14:paraId="40098955">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0</w:t>
            </w:r>
          </w:p>
        </w:tc>
        <w:tc>
          <w:tcPr>
            <w:tcW w:w="2389" w:type="dxa"/>
            <w:vAlign w:val="center"/>
          </w:tcPr>
          <w:p w14:paraId="2DD9259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0</w:t>
            </w:r>
          </w:p>
        </w:tc>
      </w:tr>
      <w:tr w14:paraId="71EC36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8" w:type="dxa"/>
          </w:tcPr>
          <w:p w14:paraId="4AD954F9">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3050" w:type="dxa"/>
          </w:tcPr>
          <w:p w14:paraId="28AD4202">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出国支出</w:t>
            </w:r>
          </w:p>
        </w:tc>
        <w:tc>
          <w:tcPr>
            <w:tcW w:w="2259" w:type="dxa"/>
          </w:tcPr>
          <w:p w14:paraId="2A306312">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0</w:t>
            </w:r>
          </w:p>
        </w:tc>
        <w:tc>
          <w:tcPr>
            <w:tcW w:w="2389" w:type="dxa"/>
            <w:vAlign w:val="center"/>
          </w:tcPr>
          <w:p w14:paraId="77785CE0">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0</w:t>
            </w:r>
          </w:p>
        </w:tc>
      </w:tr>
      <w:tr w14:paraId="6B509E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8" w:type="dxa"/>
          </w:tcPr>
          <w:p w14:paraId="3F229AB1">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p>
        </w:tc>
        <w:tc>
          <w:tcPr>
            <w:tcW w:w="3050" w:type="dxa"/>
          </w:tcPr>
          <w:p w14:paraId="6B23B787">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tc>
        <w:tc>
          <w:tcPr>
            <w:tcW w:w="2259" w:type="dxa"/>
          </w:tcPr>
          <w:p w14:paraId="01B65605">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2389" w:type="dxa"/>
            <w:vAlign w:val="center"/>
          </w:tcPr>
          <w:p w14:paraId="69B9DAC5">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5.38</w:t>
            </w:r>
          </w:p>
        </w:tc>
      </w:tr>
    </w:tbl>
    <w:p w14:paraId="67E863BC">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（二）项目支出</w:t>
      </w:r>
    </w:p>
    <w:p w14:paraId="36373173">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年项目支出万元。主要用于儿童福利、老年福利、殡葬、一般民政管理事务、其他社会福利支出、残疾人两项补贴、自然灾害生活救助、城乡最低生活保障、临时救助、城乡特困人员救助供养、精退人员生活补助。具体情况如下表：（单位：万元）</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7"/>
        <w:gridCol w:w="2794"/>
        <w:gridCol w:w="1305"/>
        <w:gridCol w:w="1770"/>
        <w:gridCol w:w="1875"/>
      </w:tblGrid>
      <w:tr w14:paraId="586AA5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70630A04">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2794" w:type="dxa"/>
          </w:tcPr>
          <w:p w14:paraId="2BD4E210">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项目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名称</w:t>
            </w:r>
          </w:p>
        </w:tc>
        <w:tc>
          <w:tcPr>
            <w:tcW w:w="1305" w:type="dxa"/>
          </w:tcPr>
          <w:p w14:paraId="1F01B3A8">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w:t>
            </w:r>
          </w:p>
          <w:p w14:paraId="5F26EB63">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配套</w:t>
            </w:r>
          </w:p>
        </w:tc>
        <w:tc>
          <w:tcPr>
            <w:tcW w:w="1770" w:type="dxa"/>
          </w:tcPr>
          <w:p w14:paraId="58DBCACB">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上级拔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入资金</w:t>
            </w:r>
          </w:p>
        </w:tc>
        <w:tc>
          <w:tcPr>
            <w:tcW w:w="1875" w:type="dxa"/>
          </w:tcPr>
          <w:p w14:paraId="5895B7F3">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支出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金额</w:t>
            </w:r>
          </w:p>
        </w:tc>
      </w:tr>
      <w:tr w14:paraId="23375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12F74272">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p>
        </w:tc>
        <w:tc>
          <w:tcPr>
            <w:tcW w:w="2794" w:type="dxa"/>
          </w:tcPr>
          <w:p w14:paraId="09D544AD">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一般行政事务支出</w:t>
            </w:r>
          </w:p>
        </w:tc>
        <w:tc>
          <w:tcPr>
            <w:tcW w:w="1305" w:type="dxa"/>
          </w:tcPr>
          <w:p w14:paraId="1B73E5F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274.45</w:t>
            </w:r>
          </w:p>
        </w:tc>
        <w:tc>
          <w:tcPr>
            <w:tcW w:w="1770" w:type="dxa"/>
          </w:tcPr>
          <w:p w14:paraId="30EA9A86">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43038F3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274.45</w:t>
            </w:r>
          </w:p>
        </w:tc>
      </w:tr>
      <w:tr w14:paraId="21B36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65AA7209">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p>
        </w:tc>
        <w:tc>
          <w:tcPr>
            <w:tcW w:w="2794" w:type="dxa"/>
          </w:tcPr>
          <w:p w14:paraId="0DA2B1DA">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福彩公益金</w:t>
            </w:r>
          </w:p>
        </w:tc>
        <w:tc>
          <w:tcPr>
            <w:tcW w:w="1305" w:type="dxa"/>
          </w:tcPr>
          <w:p w14:paraId="58A62F7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7E698599">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157.61</w:t>
            </w:r>
          </w:p>
        </w:tc>
        <w:tc>
          <w:tcPr>
            <w:tcW w:w="1875" w:type="dxa"/>
          </w:tcPr>
          <w:p w14:paraId="5612025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157.61</w:t>
            </w:r>
          </w:p>
        </w:tc>
      </w:tr>
      <w:tr w14:paraId="2E2D3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5FDB879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2794" w:type="dxa"/>
          </w:tcPr>
          <w:p w14:paraId="2A7CC903">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儿童福利</w:t>
            </w:r>
          </w:p>
        </w:tc>
        <w:tc>
          <w:tcPr>
            <w:tcW w:w="1305" w:type="dxa"/>
          </w:tcPr>
          <w:p w14:paraId="6490BF4A">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250DF6F8">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w:t>
            </w:r>
          </w:p>
        </w:tc>
        <w:tc>
          <w:tcPr>
            <w:tcW w:w="1875" w:type="dxa"/>
          </w:tcPr>
          <w:p w14:paraId="3A5C813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404.34</w:t>
            </w:r>
          </w:p>
        </w:tc>
      </w:tr>
      <w:tr w14:paraId="7075B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76F106CB">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p>
        </w:tc>
        <w:tc>
          <w:tcPr>
            <w:tcW w:w="2794" w:type="dxa"/>
          </w:tcPr>
          <w:p w14:paraId="49415FB4">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残疾人生活和护理补贴</w:t>
            </w:r>
          </w:p>
        </w:tc>
        <w:tc>
          <w:tcPr>
            <w:tcW w:w="1305" w:type="dxa"/>
          </w:tcPr>
          <w:p w14:paraId="52A41D1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862</w:t>
            </w:r>
          </w:p>
        </w:tc>
        <w:tc>
          <w:tcPr>
            <w:tcW w:w="1770" w:type="dxa"/>
          </w:tcPr>
          <w:p w14:paraId="3999F1A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1268.83</w:t>
            </w:r>
          </w:p>
        </w:tc>
        <w:tc>
          <w:tcPr>
            <w:tcW w:w="1875" w:type="dxa"/>
          </w:tcPr>
          <w:p w14:paraId="2E1252C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2130.83</w:t>
            </w:r>
          </w:p>
        </w:tc>
      </w:tr>
      <w:tr w14:paraId="79A5E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1009B0CD">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p>
        </w:tc>
        <w:tc>
          <w:tcPr>
            <w:tcW w:w="2794" w:type="dxa"/>
          </w:tcPr>
          <w:p w14:paraId="2A7DC0B1">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殡葬</w:t>
            </w:r>
          </w:p>
        </w:tc>
        <w:tc>
          <w:tcPr>
            <w:tcW w:w="1305" w:type="dxa"/>
          </w:tcPr>
          <w:p w14:paraId="73E85D5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227.12</w:t>
            </w:r>
          </w:p>
        </w:tc>
        <w:tc>
          <w:tcPr>
            <w:tcW w:w="1770" w:type="dxa"/>
          </w:tcPr>
          <w:p w14:paraId="0D2D91DE">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40D48BB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227.12</w:t>
            </w:r>
          </w:p>
        </w:tc>
      </w:tr>
      <w:tr w14:paraId="2075B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5CEAAAD1">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p>
        </w:tc>
        <w:tc>
          <w:tcPr>
            <w:tcW w:w="2794" w:type="dxa"/>
          </w:tcPr>
          <w:p w14:paraId="78EF05B8">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最低生活保障</w:t>
            </w:r>
          </w:p>
        </w:tc>
        <w:tc>
          <w:tcPr>
            <w:tcW w:w="1305" w:type="dxa"/>
          </w:tcPr>
          <w:p w14:paraId="31D8FC2C">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4D461DF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6909</w:t>
            </w:r>
          </w:p>
        </w:tc>
        <w:tc>
          <w:tcPr>
            <w:tcW w:w="1875" w:type="dxa"/>
          </w:tcPr>
          <w:p w14:paraId="2DCC20A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6909</w:t>
            </w:r>
          </w:p>
        </w:tc>
      </w:tr>
      <w:tr w14:paraId="12EED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4E2C0251">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p>
        </w:tc>
        <w:tc>
          <w:tcPr>
            <w:tcW w:w="2794" w:type="dxa"/>
          </w:tcPr>
          <w:p w14:paraId="48F36DD5">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临时救助</w:t>
            </w:r>
          </w:p>
        </w:tc>
        <w:tc>
          <w:tcPr>
            <w:tcW w:w="1305" w:type="dxa"/>
          </w:tcPr>
          <w:p w14:paraId="31208A38">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164A4E97">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650</w:t>
            </w:r>
          </w:p>
        </w:tc>
        <w:tc>
          <w:tcPr>
            <w:tcW w:w="1875" w:type="dxa"/>
          </w:tcPr>
          <w:p w14:paraId="57C5A40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649.51</w:t>
            </w:r>
          </w:p>
        </w:tc>
      </w:tr>
      <w:tr w14:paraId="2BB1C2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18DBC99E">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w:t>
            </w:r>
          </w:p>
        </w:tc>
        <w:tc>
          <w:tcPr>
            <w:tcW w:w="2794" w:type="dxa"/>
          </w:tcPr>
          <w:p w14:paraId="1D77EECF">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特困人员救助供养</w:t>
            </w:r>
          </w:p>
        </w:tc>
        <w:tc>
          <w:tcPr>
            <w:tcW w:w="1305" w:type="dxa"/>
          </w:tcPr>
          <w:p w14:paraId="1B6FB71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300</w:t>
            </w:r>
          </w:p>
        </w:tc>
        <w:tc>
          <w:tcPr>
            <w:tcW w:w="1770" w:type="dxa"/>
          </w:tcPr>
          <w:p w14:paraId="513C6DE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5089</w:t>
            </w:r>
          </w:p>
        </w:tc>
        <w:tc>
          <w:tcPr>
            <w:tcW w:w="1875" w:type="dxa"/>
          </w:tcPr>
          <w:p w14:paraId="08A9D0B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5273.55</w:t>
            </w:r>
          </w:p>
        </w:tc>
      </w:tr>
      <w:tr w14:paraId="342B7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7A062480">
            <w:pPr>
              <w:keepNext w:val="0"/>
              <w:keepLines w:val="0"/>
              <w:pageBreakBefore w:val="0"/>
              <w:tabs>
                <w:tab w:val="center" w:pos="227"/>
              </w:tabs>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w:t>
            </w:r>
          </w:p>
        </w:tc>
        <w:tc>
          <w:tcPr>
            <w:tcW w:w="2794" w:type="dxa"/>
          </w:tcPr>
          <w:p w14:paraId="4B6D5868">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其他社会福利支出</w:t>
            </w:r>
          </w:p>
        </w:tc>
        <w:tc>
          <w:tcPr>
            <w:tcW w:w="1305" w:type="dxa"/>
          </w:tcPr>
          <w:p w14:paraId="4AD9AE99">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54.84</w:t>
            </w:r>
          </w:p>
        </w:tc>
        <w:tc>
          <w:tcPr>
            <w:tcW w:w="1770" w:type="dxa"/>
          </w:tcPr>
          <w:p w14:paraId="0E2BD8D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p>
        </w:tc>
        <w:tc>
          <w:tcPr>
            <w:tcW w:w="1875" w:type="dxa"/>
          </w:tcPr>
          <w:p w14:paraId="3CFE2D1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54.84</w:t>
            </w:r>
          </w:p>
        </w:tc>
      </w:tr>
      <w:tr w14:paraId="105C6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5D8703A0">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w:t>
            </w:r>
          </w:p>
        </w:tc>
        <w:tc>
          <w:tcPr>
            <w:tcW w:w="2794" w:type="dxa"/>
          </w:tcPr>
          <w:p w14:paraId="1F4F44FD">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老年福利</w:t>
            </w:r>
          </w:p>
        </w:tc>
        <w:tc>
          <w:tcPr>
            <w:tcW w:w="1305" w:type="dxa"/>
          </w:tcPr>
          <w:p w14:paraId="5130183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373.54</w:t>
            </w:r>
          </w:p>
        </w:tc>
        <w:tc>
          <w:tcPr>
            <w:tcW w:w="1770" w:type="dxa"/>
          </w:tcPr>
          <w:p w14:paraId="32EBCEB5">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12EF7A2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324.80</w:t>
            </w:r>
          </w:p>
        </w:tc>
      </w:tr>
      <w:tr w14:paraId="33965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10418F8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w:t>
            </w:r>
          </w:p>
        </w:tc>
        <w:tc>
          <w:tcPr>
            <w:tcW w:w="2794" w:type="dxa"/>
          </w:tcPr>
          <w:p w14:paraId="076A0D20">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流浪乞讨人员救助支出</w:t>
            </w:r>
          </w:p>
        </w:tc>
        <w:tc>
          <w:tcPr>
            <w:tcW w:w="1305" w:type="dxa"/>
          </w:tcPr>
          <w:p w14:paraId="5CACF5DA">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1D77DE7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w:t>
            </w:r>
          </w:p>
        </w:tc>
        <w:tc>
          <w:tcPr>
            <w:tcW w:w="1875" w:type="dxa"/>
          </w:tcPr>
          <w:p w14:paraId="5CBCD7F9">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w:t>
            </w:r>
          </w:p>
        </w:tc>
      </w:tr>
      <w:tr w14:paraId="057C4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4889A9DA">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p>
        </w:tc>
        <w:tc>
          <w:tcPr>
            <w:tcW w:w="2794" w:type="dxa"/>
          </w:tcPr>
          <w:p w14:paraId="6083BD65">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其他巩固脱贫衔接乡村振兴支出</w:t>
            </w:r>
          </w:p>
        </w:tc>
        <w:tc>
          <w:tcPr>
            <w:tcW w:w="1305" w:type="dxa"/>
          </w:tcPr>
          <w:p w14:paraId="2F6F82D8">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770" w:type="dxa"/>
          </w:tcPr>
          <w:p w14:paraId="73F7D5E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1875" w:type="dxa"/>
          </w:tcPr>
          <w:p w14:paraId="6F1035A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r>
      <w:tr w14:paraId="6E601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3C9AB92F">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3</w:t>
            </w:r>
          </w:p>
        </w:tc>
        <w:tc>
          <w:tcPr>
            <w:tcW w:w="2794" w:type="dxa"/>
          </w:tcPr>
          <w:p w14:paraId="55169168">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其他城市、农村生活救助</w:t>
            </w:r>
          </w:p>
        </w:tc>
        <w:tc>
          <w:tcPr>
            <w:tcW w:w="1305" w:type="dxa"/>
          </w:tcPr>
          <w:p w14:paraId="6BA5973A">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6AC31E6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1008.89</w:t>
            </w:r>
          </w:p>
        </w:tc>
        <w:tc>
          <w:tcPr>
            <w:tcW w:w="1875" w:type="dxa"/>
          </w:tcPr>
          <w:p w14:paraId="564FA24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1008.89</w:t>
            </w:r>
          </w:p>
        </w:tc>
      </w:tr>
      <w:tr w14:paraId="5AE2AB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4D1DE4E9">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4</w:t>
            </w:r>
          </w:p>
        </w:tc>
        <w:tc>
          <w:tcPr>
            <w:tcW w:w="2794" w:type="dxa"/>
          </w:tcPr>
          <w:p w14:paraId="5C907D56">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0"/>
                <w:szCs w:val="30"/>
                <w:lang w:eastAsia="zh-CN"/>
              </w:rPr>
            </w:pPr>
            <w:r>
              <w:rPr>
                <w:rFonts w:hint="eastAsia" w:ascii="仿宋_GB2312" w:hAnsi="仿宋_GB2312" w:eastAsia="仿宋_GB2312" w:cs="仿宋_GB2312"/>
                <w:sz w:val="32"/>
                <w:szCs w:val="32"/>
                <w:lang w:eastAsia="zh-CN"/>
              </w:rPr>
              <w:t>引进人才费用</w:t>
            </w:r>
          </w:p>
        </w:tc>
        <w:tc>
          <w:tcPr>
            <w:tcW w:w="1305" w:type="dxa"/>
          </w:tcPr>
          <w:p w14:paraId="3910A18A">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2.72</w:t>
            </w:r>
          </w:p>
        </w:tc>
        <w:tc>
          <w:tcPr>
            <w:tcW w:w="1770" w:type="dxa"/>
          </w:tcPr>
          <w:p w14:paraId="4BD9E48C">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7CA5A07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2.72</w:t>
            </w:r>
          </w:p>
        </w:tc>
      </w:tr>
      <w:tr w14:paraId="25EBD8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7BF7F44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2794" w:type="dxa"/>
          </w:tcPr>
          <w:p w14:paraId="740203FC">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其他支出</w:t>
            </w:r>
          </w:p>
        </w:tc>
        <w:tc>
          <w:tcPr>
            <w:tcW w:w="1305" w:type="dxa"/>
          </w:tcPr>
          <w:p w14:paraId="4A1A62BF">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c>
          <w:tcPr>
            <w:tcW w:w="1770" w:type="dxa"/>
          </w:tcPr>
          <w:p w14:paraId="3702B33D">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0793CBA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r>
      <w:tr w14:paraId="4CEF7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tcPr>
          <w:p w14:paraId="4BEE43E9">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2794" w:type="dxa"/>
          </w:tcPr>
          <w:p w14:paraId="4E76C7ED">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tc>
        <w:tc>
          <w:tcPr>
            <w:tcW w:w="1305" w:type="dxa"/>
          </w:tcPr>
          <w:p w14:paraId="3C7DA4A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770" w:type="dxa"/>
          </w:tcPr>
          <w:p w14:paraId="09553887">
            <w:pPr>
              <w:keepNext w:val="0"/>
              <w:keepLines w:val="0"/>
              <w:pageBreakBefore w:val="0"/>
              <w:kinsoku/>
              <w:wordWrap/>
              <w:overflowPunct/>
              <w:topLinePunct w:val="0"/>
              <w:autoSpaceDE/>
              <w:autoSpaceDN/>
              <w:bidi w:val="0"/>
              <w:adjustRightInd/>
              <w:snapToGrid/>
              <w:spacing w:line="590" w:lineRule="exact"/>
              <w:jc w:val="center"/>
              <w:textAlignment w:val="auto"/>
              <w:rPr>
                <w:rFonts w:ascii="仿宋_GB2312" w:hAnsi="仿宋_GB2312" w:eastAsia="仿宋_GB2312" w:cs="仿宋_GB2312"/>
                <w:sz w:val="32"/>
                <w:szCs w:val="32"/>
                <w:lang w:eastAsia="zh-CN"/>
              </w:rPr>
            </w:pPr>
          </w:p>
        </w:tc>
        <w:tc>
          <w:tcPr>
            <w:tcW w:w="1875" w:type="dxa"/>
          </w:tcPr>
          <w:p w14:paraId="2A20F0D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18015.66</w:t>
            </w:r>
          </w:p>
        </w:tc>
      </w:tr>
    </w:tbl>
    <w:p w14:paraId="7581DB2A">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专项资金管理和组织实施情况</w:t>
      </w:r>
    </w:p>
    <w:p w14:paraId="2C5CE866">
      <w:pPr>
        <w:keepNext w:val="0"/>
        <w:keepLines w:val="0"/>
        <w:pageBreakBefore w:val="0"/>
        <w:kinsoku/>
        <w:wordWrap/>
        <w:overflowPunct/>
        <w:topLinePunct w:val="0"/>
        <w:autoSpaceDE/>
        <w:autoSpaceDN/>
        <w:bidi w:val="0"/>
        <w:adjustRightInd/>
        <w:snapToGrid/>
        <w:spacing w:line="590" w:lineRule="exact"/>
        <w:ind w:firstLine="66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建立了专项资金管理办法，严格遵循专款专用、独立核算的管理原则。专项项目的申报严格按照财政资金管理的要求进行，专项资金财政拨款到位后及时进行了项目开展和资金投入。我局目前对专项资金的管理按照项目支出涉及的经济科目规定，根据财务管理办法的相关制度执行。</w:t>
      </w:r>
    </w:p>
    <w:p w14:paraId="105534DC">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部门整体支出绩效情况</w:t>
      </w:r>
    </w:p>
    <w:p w14:paraId="5F441CB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我单位积极推进预算绩效管理工作，不断提高预算绩效管理工作的质量和水平，提高财政资金使用效益，对项目预算收入资金进行了量化分解，设置了评价项目目标。全年根据年初工作规划和重点性工作，围绕县委、县政府经济工作会议精神，积极履职，强化管理，较好的完成了年度工作目标。通过加强预算收支管理，不断建立健全内部管理制度，梳理内部管理流程，部门整体支出管理情况得到提升。根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年部门整体支出状况的概述和分析，部门整体支出绩效情况如下：</w:t>
      </w:r>
    </w:p>
    <w:p w14:paraId="2E1AFEA5">
      <w:pPr>
        <w:pStyle w:val="25"/>
        <w:keepNext w:val="0"/>
        <w:keepLines w:val="0"/>
        <w:pageBreakBefore w:val="0"/>
        <w:numPr>
          <w:ilvl w:val="0"/>
          <w:numId w:val="3"/>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经济效益评价</w:t>
      </w:r>
    </w:p>
    <w:p w14:paraId="057C3A7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1、本年预算配置控制较好。财政供养人员控制在预算编制以内，编制内在职人员控制率小于100%；“三公”经费实际执行相较于预算总额结余0.15万元，实现对“三公”经费的严格把控与费用节约。</w:t>
      </w:r>
    </w:p>
    <w:p w14:paraId="402BA23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预算执行方面。支出总额控制在预算总额以内，投入进度正常；“三公”经费总体控制较好。预算管理方面，制度执行总体较为有效，仍需进一步强化；资金使用管理需进一步加强。资产管理方面，建立了资产管理制度，定期进行了盘点和资产清理，总体执行较好。</w:t>
      </w:r>
    </w:p>
    <w:p w14:paraId="1766727D">
      <w:pPr>
        <w:pStyle w:val="25"/>
        <w:keepNext w:val="0"/>
        <w:keepLines w:val="0"/>
        <w:pageBreakBefore w:val="0"/>
        <w:numPr>
          <w:ilvl w:val="0"/>
          <w:numId w:val="3"/>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效率性评价和有效性评价</w:t>
      </w:r>
    </w:p>
    <w:p w14:paraId="304B8FB0">
      <w:pPr>
        <w:keepNext w:val="0"/>
        <w:keepLines w:val="0"/>
        <w:pageBreakBefore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仿宋_GB2312" w:cs="Times New Roman"/>
          <w:sz w:val="32"/>
          <w:szCs w:val="32"/>
        </w:rPr>
      </w:pPr>
      <w:r>
        <w:rPr>
          <w:rFonts w:hint="eastAsia" w:ascii="楷体_GB2312" w:hAnsi="楷体_GB2312" w:eastAsia="楷体_GB2312" w:cs="楷体_GB2312"/>
          <w:b/>
          <w:bCs/>
          <w:i w:val="0"/>
          <w:iCs w:val="0"/>
          <w:caps w:val="0"/>
          <w:color w:val="auto"/>
          <w:spacing w:val="0"/>
          <w:kern w:val="0"/>
          <w:sz w:val="32"/>
          <w:szCs w:val="32"/>
          <w:shd w:val="clear" w:color="auto" w:fill="FFFFFF"/>
          <w:lang w:val="en-US" w:eastAsia="zh-CN" w:bidi="ar-SA"/>
        </w:rPr>
        <w:t>1、着力提高困难群众救助水平。</w:t>
      </w:r>
      <w:r>
        <w:rPr>
          <w:rFonts w:hint="eastAsia" w:ascii="仿宋_GB2312" w:hAnsi="仿宋_GB2312" w:eastAsia="仿宋_GB2312" w:cs="仿宋_GB2312"/>
          <w:b/>
          <w:sz w:val="32"/>
          <w:szCs w:val="32"/>
          <w:lang w:eastAsia="zh-CN"/>
        </w:rPr>
        <w:t>一是</w:t>
      </w:r>
      <w:r>
        <w:rPr>
          <w:rFonts w:hint="eastAsia" w:ascii="仿宋_GB2312" w:hAnsi="仿宋_GB2312" w:eastAsia="仿宋_GB2312" w:cs="仿宋_GB2312"/>
          <w:b w:val="0"/>
          <w:bCs/>
          <w:sz w:val="32"/>
          <w:szCs w:val="32"/>
          <w:lang w:eastAsia="zh-CN"/>
        </w:rPr>
        <w:t>城</w:t>
      </w:r>
      <w:r>
        <w:rPr>
          <w:rFonts w:hint="eastAsia" w:ascii="Times New Roman" w:hAnsi="Times New Roman" w:eastAsia="仿宋_GB2312" w:cs="Times New Roman"/>
          <w:sz w:val="32"/>
          <w:szCs w:val="32"/>
          <w:lang w:eastAsia="zh-CN"/>
        </w:rPr>
        <w:t>乡低保提标。按照“八大行动”工作要求，联合县财政局下发《</w:t>
      </w:r>
      <w:r>
        <w:rPr>
          <w:rFonts w:ascii="Times New Roman" w:hAnsi="Times New Roman" w:eastAsia="仿宋_GB2312" w:cs="Times New Roman"/>
          <w:sz w:val="32"/>
          <w:szCs w:val="32"/>
        </w:rPr>
        <w:t>关于</w:t>
      </w:r>
      <w:r>
        <w:rPr>
          <w:rFonts w:hint="eastAsia" w:ascii="Times New Roman" w:hAnsi="Times New Roman" w:eastAsia="仿宋_GB2312" w:cs="Times New Roman"/>
          <w:sz w:val="32"/>
          <w:szCs w:val="32"/>
        </w:rPr>
        <w:t>提高</w:t>
      </w:r>
      <w:r>
        <w:rPr>
          <w:rFonts w:ascii="Times New Roman" w:hAnsi="Times New Roman" w:eastAsia="仿宋_GB2312" w:cs="Times New Roman"/>
          <w:sz w:val="32"/>
          <w:szCs w:val="32"/>
        </w:rPr>
        <w:t>困难群众救助保障相关标准的通知</w:t>
      </w:r>
      <w:r>
        <w:rPr>
          <w:rFonts w:hint="eastAsia" w:ascii="Times New Roman" w:hAnsi="Times New Roman" w:eastAsia="仿宋_GB2312" w:cs="Times New Roman"/>
          <w:sz w:val="32"/>
          <w:szCs w:val="32"/>
          <w:lang w:eastAsia="zh-CN"/>
        </w:rPr>
        <w:t>》，按照</w:t>
      </w:r>
      <w:r>
        <w:rPr>
          <w:rFonts w:ascii="Times New Roman" w:hAnsi="Times New Roman" w:eastAsia="仿宋_GB2312" w:cs="Times New Roman"/>
          <w:sz w:val="32"/>
          <w:szCs w:val="32"/>
        </w:rPr>
        <w:t>城市低保标准从不低于6</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元/月提高到不低于</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元/月，农村低保标准从不低于</w:t>
      </w:r>
      <w:r>
        <w:rPr>
          <w:rFonts w:hint="eastAsia" w:ascii="Times New Roman" w:hAnsi="Times New Roman" w:eastAsia="仿宋_GB2312" w:cs="Times New Roman"/>
          <w:sz w:val="32"/>
          <w:szCs w:val="32"/>
          <w:lang w:val="en-US" w:eastAsia="zh-CN"/>
        </w:rPr>
        <w:t>5000</w:t>
      </w:r>
      <w:r>
        <w:rPr>
          <w:rFonts w:ascii="Times New Roman" w:hAnsi="Times New Roman" w:eastAsia="仿宋_GB2312" w:cs="Times New Roman"/>
          <w:sz w:val="32"/>
          <w:szCs w:val="32"/>
        </w:rPr>
        <w:t>元/年提高到不低于</w:t>
      </w:r>
      <w:r>
        <w:rPr>
          <w:rFonts w:hint="eastAsia" w:ascii="Times New Roman" w:hAnsi="Times New Roman" w:eastAsia="仿宋_GB2312" w:cs="Times New Roman"/>
          <w:sz w:val="32"/>
          <w:szCs w:val="32"/>
          <w:lang w:val="en-US" w:eastAsia="zh-CN"/>
        </w:rPr>
        <w:t>5400</w:t>
      </w:r>
      <w:r>
        <w:rPr>
          <w:rFonts w:ascii="Times New Roman" w:hAnsi="Times New Roman" w:eastAsia="仿宋_GB2312" w:cs="Times New Roman"/>
          <w:sz w:val="32"/>
          <w:szCs w:val="32"/>
        </w:rPr>
        <w:t>元/年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目前全县共有农村低保16164人、城市低保3775人，农村特困5571人、城市特困103人，孤儿52人、事实无人抚养儿童298人，残疾人生活补贴对象6262人、残疾人护理补贴对象13456人。至2024年4月，城乡低保提标、残疾人“两项补贴”提标、孤儿和事实无人抚养儿童保障待遇提标完成。</w:t>
      </w:r>
      <w:r>
        <w:rPr>
          <w:rFonts w:hint="eastAsia" w:ascii="Times New Roman" w:hAnsi="Times New Roman" w:eastAsia="仿宋_GB2312" w:cs="Times New Roman"/>
          <w:b/>
          <w:bCs/>
          <w:color w:val="auto"/>
          <w:sz w:val="32"/>
          <w:szCs w:val="32"/>
          <w:lang w:eastAsia="zh-CN"/>
        </w:rPr>
        <w:t>二是</w:t>
      </w:r>
      <w:r>
        <w:rPr>
          <w:rFonts w:hint="eastAsia" w:ascii="Times New Roman" w:hAnsi="Times New Roman" w:eastAsia="仿宋_GB2312" w:cs="Times New Roman"/>
          <w:sz w:val="32"/>
          <w:szCs w:val="32"/>
          <w:lang w:val="en-US" w:eastAsia="zh-CN"/>
        </w:rPr>
        <w:t>着力提升精准救助水平。开</w:t>
      </w:r>
      <w:r>
        <w:rPr>
          <w:rFonts w:hint="eastAsia" w:ascii="Times New Roman" w:hAnsi="Times New Roman" w:eastAsia="仿宋_GB2312" w:cs="Times New Roman"/>
          <w:sz w:val="32"/>
          <w:szCs w:val="32"/>
        </w:rPr>
        <w:t>展县级横向部门间数据比对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对车辆、不动产、个体经商、企业社保、大型农机具、卫计、殡仪馆死亡、公积金等数据进行全面比对。引入九华公司核对平台，对全县城乡低保、城乡特困开展全面复核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按月与乡村振兴局开展数据比对工作。规范新增的低保、特困人员申报材料，乡镇完善申请人审核手续，救助档案“一户一档”入柜存档。</w:t>
      </w:r>
    </w:p>
    <w:p w14:paraId="7C8F694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color="auto" w:fill="FFFFFF"/>
          <w:lang w:val="en-US" w:eastAsia="zh-CN" w:bidi="ar-SA"/>
        </w:rPr>
        <w:t>2、加快推进养老服务体系建设。</w:t>
      </w:r>
      <w:r>
        <w:rPr>
          <w:rFonts w:hint="eastAsia" w:ascii="楷体_GB2312" w:hAnsi="楷体_GB2312" w:eastAsia="楷体_GB2312" w:cs="楷体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全面完成养老机构消防设施达标改造。2024年桃江县人民政府第3次常务会议研究决定，完成14家公办养老机构消防设施达标改造和10家民办养老机构消防设施达标改造。</w:t>
      </w:r>
      <w:r>
        <w:rPr>
          <w:rFonts w:hint="eastAsia" w:ascii="楷体_GB2312" w:hAnsi="楷体_GB2312" w:eastAsia="楷体_GB2312" w:cs="楷体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全面完成困难老人家庭适老化改造。我县2024年改造任务为439户，涉及武潭、马迹塘等6个乡镇，该项目已纳入省级重点民生实事工程，我县已于8月底全面完成改造建设。</w:t>
      </w:r>
      <w:r>
        <w:rPr>
          <w:rFonts w:hint="eastAsia" w:ascii="仿宋_GB2312" w:hAnsi="仿宋_GB2312" w:eastAsia="仿宋_GB2312" w:cs="仿宋_GB2312"/>
          <w:b/>
          <w:bCs/>
          <w:sz w:val="32"/>
          <w:szCs w:val="32"/>
          <w:u w:val="none"/>
          <w:lang w:val="en-US" w:eastAsia="zh-CN"/>
        </w:rPr>
        <w:t>三是</w:t>
      </w:r>
      <w:r>
        <w:rPr>
          <w:rFonts w:hint="eastAsia" w:ascii="仿宋_GB2312" w:hAnsi="仿宋_GB2312" w:eastAsia="仿宋_GB2312" w:cs="仿宋_GB2312"/>
          <w:sz w:val="32"/>
          <w:szCs w:val="32"/>
          <w:u w:val="none"/>
          <w:lang w:val="en-US" w:eastAsia="zh-CN"/>
        </w:rPr>
        <w:t>完成老年助餐点建设。已按要求完成了桃江县爱龄居老年食堂和桃冶小区老年食堂的2家助餐点建设，目前都已正常运营。</w:t>
      </w:r>
      <w:r>
        <w:rPr>
          <w:rFonts w:hint="eastAsia" w:ascii="楷体_GB2312" w:hAnsi="楷体_GB2312" w:eastAsia="楷体_GB2312" w:cs="楷体_GB2312"/>
          <w:b/>
          <w:bCs/>
          <w:sz w:val="32"/>
          <w:szCs w:val="32"/>
          <w:u w:val="none"/>
          <w:lang w:val="en-US" w:eastAsia="zh-CN"/>
        </w:rPr>
        <w:t>四是</w:t>
      </w:r>
      <w:r>
        <w:rPr>
          <w:rFonts w:hint="eastAsia" w:ascii="仿宋_GB2312" w:hAnsi="仿宋_GB2312" w:eastAsia="仿宋_GB2312" w:cs="仿宋_GB2312"/>
          <w:sz w:val="32"/>
          <w:szCs w:val="32"/>
          <w:u w:val="none"/>
          <w:lang w:val="en-US" w:eastAsia="zh-CN"/>
        </w:rPr>
        <w:t>积极推进全县公办养老机构“县级统管”体制改革。按照省、市统一安排，积极探索公办养老机构“县级统管”体制改革，出台工作方案（草案），并由县民政局按“五个统一”标准进行规范化运营管理。</w:t>
      </w:r>
      <w:r>
        <w:rPr>
          <w:rFonts w:hint="eastAsia" w:ascii="楷体_GB2312" w:hAnsi="楷体_GB2312" w:eastAsia="楷体_GB2312" w:cs="楷体_GB2312"/>
          <w:b/>
          <w:bCs/>
          <w:sz w:val="32"/>
          <w:szCs w:val="32"/>
          <w:u w:val="none"/>
          <w:lang w:val="en-US" w:eastAsia="zh-CN"/>
        </w:rPr>
        <w:t>五是</w:t>
      </w:r>
      <w:r>
        <w:rPr>
          <w:rFonts w:hint="eastAsia" w:ascii="仿宋_GB2312" w:hAnsi="仿宋_GB2312" w:eastAsia="仿宋_GB2312" w:cs="仿宋_GB2312"/>
          <w:sz w:val="32"/>
          <w:szCs w:val="32"/>
          <w:u w:val="none"/>
          <w:lang w:val="en-US" w:eastAsia="zh-CN"/>
        </w:rPr>
        <w:t>积极探索医养融合发展。桃江县养老康复医院目前设开放床位236张，其中编制床位108张，是益阳市唯一一家公建公营的非营利性二级康复专科医院，也是医养结合的样板医院。目前按照县委县政府的统一安排，就进一步明确该医院隶属、加强完善医院管理机制体制，已编制出台方案，并上县政府常务会议、县委常委会议审定通过。</w:t>
      </w:r>
      <w:r>
        <w:rPr>
          <w:rFonts w:hint="eastAsia" w:ascii="Times New Roman" w:hAnsi="Times New Roman" w:eastAsia="仿宋_GB2312" w:cs="Times New Roman"/>
          <w:kern w:val="0"/>
          <w:sz w:val="32"/>
          <w:szCs w:val="32"/>
          <w:lang w:val="en-US" w:eastAsia="zh-CN" w:bidi="ar"/>
        </w:rPr>
        <w:t xml:space="preserve">    </w:t>
      </w:r>
    </w:p>
    <w:p w14:paraId="4EE25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稳步推进社会专项事务发展</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val="0"/>
          <w:sz w:val="32"/>
          <w:szCs w:val="32"/>
          <w:lang w:eastAsia="zh-CN"/>
        </w:rPr>
        <w:t>一是</w:t>
      </w:r>
      <w:r>
        <w:rPr>
          <w:rFonts w:hint="eastAsia" w:ascii="仿宋_GB2312" w:hAnsi="仿宋_GB2312" w:eastAsia="仿宋_GB2312" w:cs="仿宋_GB2312"/>
          <w:b w:val="0"/>
          <w:bCs/>
          <w:sz w:val="32"/>
          <w:szCs w:val="32"/>
          <w:lang w:eastAsia="zh-CN"/>
        </w:rPr>
        <w:t>提高残疾人“两项补贴”、孤儿、事实无人抚养儿童保障标准。</w:t>
      </w:r>
      <w:r>
        <w:rPr>
          <w:rFonts w:hint="eastAsia" w:ascii="Times New Roman" w:hAnsi="Times New Roman" w:eastAsia="仿宋_GB2312" w:cs="Times New Roman"/>
          <w:sz w:val="32"/>
          <w:szCs w:val="32"/>
          <w:lang w:eastAsia="zh-CN"/>
        </w:rPr>
        <w:t>按照省级重点民生实提高标准，</w:t>
      </w:r>
      <w:r>
        <w:rPr>
          <w:rFonts w:ascii="Times New Roman" w:hAnsi="Times New Roman" w:eastAsia="仿宋_GB2312" w:cs="Times New Roman"/>
          <w:sz w:val="32"/>
          <w:szCs w:val="32"/>
        </w:rPr>
        <w:t>困难残疾人生活补贴和重度残疾人护理补贴标准分别从不低于</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元/月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人提高到不低于</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元/月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人；孤儿和事实无人抚养儿童基本生活最低保障标准，散居孤儿从</w:t>
      </w:r>
      <w:r>
        <w:rPr>
          <w:rFonts w:hint="eastAsia" w:ascii="Times New Roman" w:hAnsi="Times New Roman" w:eastAsia="仿宋_GB2312" w:cs="Times New Roman"/>
          <w:sz w:val="32"/>
          <w:szCs w:val="32"/>
          <w:lang w:val="en-US" w:eastAsia="zh-CN"/>
        </w:rPr>
        <w:t>1100</w:t>
      </w:r>
      <w:r>
        <w:rPr>
          <w:rFonts w:ascii="Times New Roman" w:hAnsi="Times New Roman" w:eastAsia="仿宋_GB2312" w:cs="Times New Roman"/>
          <w:sz w:val="32"/>
          <w:szCs w:val="32"/>
        </w:rPr>
        <w:t>元/月提高到</w:t>
      </w:r>
      <w:r>
        <w:rPr>
          <w:rFonts w:hint="eastAsia" w:ascii="Times New Roman" w:hAnsi="Times New Roman" w:eastAsia="仿宋_GB2312" w:cs="Times New Roman"/>
          <w:sz w:val="32"/>
          <w:szCs w:val="32"/>
          <w:lang w:val="en-US" w:eastAsia="zh-CN"/>
        </w:rPr>
        <w:t>1150</w:t>
      </w:r>
      <w:r>
        <w:rPr>
          <w:rFonts w:ascii="Times New Roman" w:hAnsi="Times New Roman" w:eastAsia="仿宋_GB2312" w:cs="Times New Roman"/>
          <w:sz w:val="32"/>
          <w:szCs w:val="32"/>
        </w:rPr>
        <w:t>元/月，集中养育从</w:t>
      </w:r>
      <w:r>
        <w:rPr>
          <w:rFonts w:hint="eastAsia" w:ascii="Times New Roman" w:hAnsi="Times New Roman" w:eastAsia="仿宋_GB2312" w:cs="Times New Roman"/>
          <w:sz w:val="32"/>
          <w:szCs w:val="32"/>
          <w:lang w:val="en-US" w:eastAsia="zh-CN"/>
        </w:rPr>
        <w:t>1500</w:t>
      </w:r>
      <w:r>
        <w:rPr>
          <w:rFonts w:ascii="Times New Roman" w:hAnsi="Times New Roman" w:eastAsia="仿宋_GB2312" w:cs="Times New Roman"/>
          <w:sz w:val="32"/>
          <w:szCs w:val="32"/>
        </w:rPr>
        <w:t>元/月提高到</w:t>
      </w:r>
      <w:r>
        <w:rPr>
          <w:rFonts w:hint="eastAsia" w:ascii="Times New Roman" w:hAnsi="Times New Roman" w:eastAsia="仿宋_GB2312" w:cs="Times New Roman"/>
          <w:sz w:val="32"/>
          <w:szCs w:val="32"/>
          <w:lang w:val="en-US" w:eastAsia="zh-CN"/>
        </w:rPr>
        <w:t>1600</w:t>
      </w:r>
      <w:r>
        <w:rPr>
          <w:rFonts w:ascii="Times New Roman" w:hAnsi="Times New Roman" w:eastAsia="仿宋_GB2312" w:cs="Times New Roman"/>
          <w:sz w:val="32"/>
          <w:szCs w:val="32"/>
        </w:rPr>
        <w:t>元/月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开展留</w:t>
      </w:r>
      <w:r>
        <w:rPr>
          <w:rFonts w:hint="eastAsia" w:ascii="仿宋_GB2312" w:hAnsi="仿宋_GB2312" w:eastAsia="仿宋_GB2312" w:cs="仿宋_GB2312"/>
          <w:b w:val="0"/>
          <w:bCs/>
          <w:sz w:val="32"/>
          <w:szCs w:val="32"/>
          <w:lang w:val="en-US" w:eastAsia="zh-CN"/>
        </w:rPr>
        <w:t>守儿童关爱保护活动。对全</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县15个乡镇的儿童督导员，247个村（社区）儿童主任、县救助站工作人员开展从业查询，未发现有违法犯罪记录的情况。积极开展孤儿、事实无人抚养儿童巡访巡查工作，多层次开展《未成年人保护法》宣传，印发宣传资料2万份，深入村（社区）开展防溺水、防性侵等安全知识宣传活动，特别是针对27个重点村（社区）进行了集中宣传。</w: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三是</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提高未成年人服务能力。开展</w:t>
      </w:r>
      <w:r>
        <w:rPr>
          <w:rFonts w:hint="eastAsia" w:ascii="仿宋_GB2312" w:hAnsi="仿宋_GB2312" w:eastAsia="仿宋_GB2312" w:cs="仿宋_GB2312"/>
          <w:b w:val="0"/>
          <w:bCs w:val="0"/>
          <w:kern w:val="0"/>
          <w:sz w:val="32"/>
          <w:szCs w:val="32"/>
          <w:lang w:val="en-US" w:eastAsia="zh-CN" w:bidi="ar"/>
        </w:rPr>
        <w:t>“利剑护蕾·雷霆行动”</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专项行动，</w:t>
      </w:r>
      <w:r>
        <w:rPr>
          <w:rFonts w:hint="eastAsia" w:ascii="仿宋_GB2312" w:hAnsi="仿宋_GB2312" w:eastAsia="仿宋_GB2312" w:cs="仿宋_GB2312"/>
          <w:b w:val="0"/>
          <w:bCs w:val="0"/>
          <w:kern w:val="0"/>
          <w:sz w:val="32"/>
          <w:szCs w:val="40"/>
          <w:lang w:val="en-US" w:eastAsia="zh-CN" w:bidi="ar"/>
        </w:rPr>
        <w:t>指导各乡镇对辖区内困境儿童、留守儿童、残疾儿童、辖区内智力和精神障碍未成年人进行了全方面摸底排查和监护情况的调查评估。</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b w:val="0"/>
          <w:bCs w:val="0"/>
          <w:sz w:val="32"/>
          <w:szCs w:val="32"/>
          <w:lang w:val="en-US" w:eastAsia="zh-CN"/>
        </w:rPr>
        <w:t>稳步推进殡葬改革工作。</w:t>
      </w:r>
      <w:r>
        <w:rPr>
          <w:rFonts w:hint="eastAsia" w:ascii="仿宋_GB2312" w:hAnsi="仿宋_GB2312" w:eastAsia="仿宋_GB2312" w:cs="仿宋_GB2312"/>
          <w:sz w:val="32"/>
          <w:szCs w:val="32"/>
          <w:u w:val="none"/>
          <w:lang w:val="en-US" w:eastAsia="zh-CN"/>
        </w:rPr>
        <w:t>我县自2023年12月31日启动“零点行动”以来，加强工作统筹调度，强化部门协同合作，强调乡镇主战场职责，稳步推进我县殡改工作。全县共计火化遗体1196具，惠民殡葬救助人员318人次，减免火化费15.12万元和遗体接运费8.3万元，中心城区违规治丧有效整治和移风易俗逐步深入人心。新殡仪馆的施工建设已进入扫尾和设备调试阶段，目前正与县城投公司探讨运营模式方案，预计12月中旬投入正常使用。</w:t>
      </w:r>
      <w:r>
        <w:rPr>
          <w:rFonts w:hint="eastAsia" w:ascii="仿宋_GB2312" w:hAnsi="仿宋_GB2312" w:eastAsia="仿宋_GB2312" w:cs="仿宋_GB2312"/>
          <w:b/>
          <w:bCs/>
          <w:sz w:val="32"/>
          <w:szCs w:val="32"/>
          <w:u w:val="none"/>
          <w:lang w:val="en-US" w:eastAsia="zh-CN"/>
        </w:rPr>
        <w:t>五是</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婚姻登记工作依法有序开展。顺利完成春节前后高峰期及2月14日、2月22日、5·20“吉祥日”“七夕”婚姻登记工作，婚姻登记实现“跨省通办”。共办理结婚登记1693对，离婚登记683对，补发结婚登记244对，补发离婚登记47，离婚冷静期受理1186对，婚姻登记率合格率100%。</w:t>
      </w:r>
    </w:p>
    <w:p w14:paraId="1F48E620">
      <w:pPr>
        <w:keepNext w:val="0"/>
        <w:keepLines w:val="0"/>
        <w:pageBreakBefore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bCs w:val="0"/>
          <w:sz w:val="32"/>
          <w:szCs w:val="32"/>
          <w:lang w:val="en-US" w:eastAsia="zh-CN"/>
        </w:rPr>
        <w:t>4、</w:t>
      </w:r>
      <w:r>
        <w:rPr>
          <w:rFonts w:hint="eastAsia" w:ascii="楷体_GB2312" w:hAnsi="楷体_GB2312" w:eastAsia="楷体_GB2312" w:cs="楷体_GB2312"/>
          <w:b/>
          <w:bCs w:val="0"/>
          <w:sz w:val="32"/>
          <w:szCs w:val="32"/>
          <w:lang w:eastAsia="zh-CN"/>
        </w:rPr>
        <w:t>狠抓基层社会治理</w:t>
      </w:r>
      <w:r>
        <w:rPr>
          <w:rFonts w:hint="eastAsia" w:ascii="楷体_GB2312" w:hAnsi="楷体_GB2312" w:eastAsia="楷体_GB2312" w:cs="楷体_GB2312"/>
          <w:b/>
          <w:bCs w:val="0"/>
          <w:sz w:val="32"/>
          <w:szCs w:val="32"/>
        </w:rPr>
        <w:t>和创新社会管理职能。</w:t>
      </w:r>
      <w:r>
        <w:rPr>
          <w:rFonts w:hint="eastAsia" w:ascii="楷体_GB2312" w:hAnsi="楷体_GB2312" w:eastAsia="楷体_GB2312" w:cs="楷体_GB2312"/>
          <w:b/>
          <w:bCs/>
          <w:i w:val="0"/>
          <w:iCs w:val="0"/>
          <w:caps w:val="0"/>
          <w:color w:val="auto"/>
          <w:spacing w:val="0"/>
          <w:kern w:val="0"/>
          <w:sz w:val="32"/>
          <w:szCs w:val="32"/>
          <w:shd w:val="clear" w:color="auto" w:fill="FFFFFF"/>
          <w:lang w:val="en-US" w:eastAsia="zh-CN" w:bidi="ar"/>
        </w:rPr>
        <w:t>一是</w:t>
      </w:r>
      <w:r>
        <w:rPr>
          <w:rFonts w:hint="eastAsia" w:ascii="仿宋_GB2312" w:hAnsi="仿宋" w:eastAsia="仿宋_GB2312" w:cs="仿宋_GB2312"/>
          <w:i w:val="0"/>
          <w:iCs w:val="0"/>
          <w:caps w:val="0"/>
          <w:color w:val="auto"/>
          <w:spacing w:val="0"/>
          <w:kern w:val="0"/>
          <w:sz w:val="32"/>
          <w:szCs w:val="32"/>
          <w:shd w:val="clear" w:color="auto" w:fill="FFFFFF"/>
          <w:lang w:val="en-US" w:eastAsia="zh-CN" w:bidi="ar-SA"/>
        </w:rPr>
        <w:t>基层自治组织建设水平显著提升。</w:t>
      </w:r>
      <w:r>
        <w:rPr>
          <w:rFonts w:hint="default" w:ascii="仿宋_GB2312" w:hAnsi="仿宋" w:eastAsia="仿宋_GB2312" w:cs="仿宋_GB2312"/>
          <w:i w:val="0"/>
          <w:iCs w:val="0"/>
          <w:caps w:val="0"/>
          <w:color w:val="auto"/>
          <w:spacing w:val="0"/>
          <w:kern w:val="0"/>
          <w:sz w:val="32"/>
          <w:szCs w:val="32"/>
          <w:shd w:val="clear" w:color="auto" w:fill="FFFFFF"/>
          <w:lang w:val="en-US" w:eastAsia="zh-CN" w:bidi="ar-SA"/>
        </w:rPr>
        <w:t>积极推进村级减负“三个事项”。持续开展规范村级组织工作事务、机制牌子和证明事项专项督导，督促各乡镇及时做好村干部出缺补选工作，</w:t>
      </w:r>
      <w:r>
        <w:rPr>
          <w:rFonts w:hint="eastAsia" w:ascii="仿宋_GB2312" w:hAnsi="仿宋" w:eastAsia="仿宋_GB2312" w:cs="仿宋_GB2312"/>
          <w:i w:val="0"/>
          <w:iCs w:val="0"/>
          <w:caps w:val="0"/>
          <w:color w:val="auto"/>
          <w:spacing w:val="0"/>
          <w:kern w:val="0"/>
          <w:sz w:val="32"/>
          <w:szCs w:val="32"/>
          <w:shd w:val="clear" w:color="auto" w:fill="FFFFFF"/>
          <w:lang w:val="en-US" w:eastAsia="zh-CN" w:bidi="ar-SA"/>
        </w:rPr>
        <w:t>目前此项工作划转至社会工作部。</w:t>
      </w:r>
      <w:r>
        <w:rPr>
          <w:rFonts w:hint="default" w:ascii="仿宋_GB2312" w:hAnsi="仿宋" w:eastAsia="仿宋_GB2312" w:cs="仿宋_GB2312"/>
          <w:i w:val="0"/>
          <w:iCs w:val="0"/>
          <w:caps w:val="0"/>
          <w:color w:val="auto"/>
          <w:spacing w:val="0"/>
          <w:kern w:val="0"/>
          <w:sz w:val="32"/>
          <w:szCs w:val="32"/>
          <w:shd w:val="clear" w:color="auto" w:fill="FFFFFF"/>
          <w:lang w:val="en-US" w:eastAsia="zh-CN" w:bidi="ar-SA"/>
        </w:rPr>
        <w:t>完成“十里法治文化长廊”民政局宣传标识建设任务，发布2023年民政局法治政府建设情况报告</w:t>
      </w:r>
      <w:r>
        <w:rPr>
          <w:rFonts w:hint="eastAsia" w:ascii="仿宋_GB2312" w:hAnsi="仿宋" w:eastAsia="仿宋_GB2312" w:cs="仿宋_GB2312"/>
          <w:i w:val="0"/>
          <w:iCs w:val="0"/>
          <w:caps w:val="0"/>
          <w:color w:val="auto"/>
          <w:spacing w:val="0"/>
          <w:kern w:val="0"/>
          <w:sz w:val="32"/>
          <w:szCs w:val="32"/>
          <w:shd w:val="clear" w:color="auto" w:fill="FFFFFF"/>
          <w:lang w:val="en-US" w:eastAsia="zh-CN" w:bidi="ar-SA"/>
        </w:rPr>
        <w:t>，开展法制驻点式督查工作。</w:t>
      </w:r>
      <w:r>
        <w:rPr>
          <w:rFonts w:hint="eastAsia" w:ascii="仿宋_GB2312" w:hAnsi="仿宋" w:eastAsia="仿宋_GB2312" w:cs="仿宋_GB2312"/>
          <w:b/>
          <w:bCs/>
          <w:i w:val="0"/>
          <w:iCs w:val="0"/>
          <w:caps w:val="0"/>
          <w:color w:val="auto"/>
          <w:spacing w:val="0"/>
          <w:kern w:val="0"/>
          <w:sz w:val="32"/>
          <w:szCs w:val="32"/>
          <w:shd w:val="clear" w:color="auto" w:fill="FFFFFF"/>
          <w:lang w:val="en-US" w:eastAsia="zh-CN" w:bidi="ar-SA"/>
        </w:rPr>
        <w:t>二是</w:t>
      </w:r>
      <w:r>
        <w:rPr>
          <w:rFonts w:hint="eastAsia" w:ascii="仿宋_GB2312" w:hAnsi="仿宋" w:eastAsia="仿宋_GB2312" w:cs="仿宋_GB2312"/>
          <w:i w:val="0"/>
          <w:iCs w:val="0"/>
          <w:caps w:val="0"/>
          <w:color w:val="auto"/>
          <w:spacing w:val="0"/>
          <w:kern w:val="0"/>
          <w:sz w:val="32"/>
          <w:szCs w:val="32"/>
          <w:shd w:val="clear" w:color="auto" w:fill="FFFFFF"/>
          <w:lang w:val="en-US" w:eastAsia="zh-CN" w:bidi="ar-SA"/>
        </w:rPr>
        <w:t>加强社会组织业务管理。</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完成全县社会组织年检工作，对年度检查不合格的和两年以上未参加年检且不接受监督管理的，视情节依法予以行政处罚，并纳入社会组织异常名录。开展行业协会商会涉企违规收费专项治理，召开2024年度社会工作资格证考前培训班。</w:t>
      </w:r>
    </w:p>
    <w:p w14:paraId="2466F85F">
      <w:pPr>
        <w:pStyle w:val="12"/>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val="0"/>
          <w:kern w:val="2"/>
          <w:sz w:val="32"/>
          <w:szCs w:val="32"/>
          <w:lang w:val="en-US" w:eastAsia="zh-CN" w:bidi="ar-SA"/>
        </w:rPr>
        <w:t>5、</w:t>
      </w:r>
      <w:r>
        <w:rPr>
          <w:rFonts w:hint="eastAsia" w:ascii="楷体_GB2312" w:hAnsi="楷体_GB2312" w:eastAsia="楷体_GB2312" w:cs="楷体_GB2312"/>
          <w:b/>
          <w:bCs w:val="0"/>
          <w:kern w:val="2"/>
          <w:sz w:val="32"/>
          <w:szCs w:val="32"/>
          <w:lang w:val="en" w:eastAsia="zh-CN" w:bidi="ar-SA"/>
        </w:rPr>
        <w:t>探索慈福事业发展，打造桃江慈福项目品牌。</w:t>
      </w:r>
      <w:r>
        <w:rPr>
          <w:rFonts w:hint="eastAsia" w:ascii="Times New Roman" w:hAnsi="Times New Roman" w:eastAsia="仿宋_GB2312" w:cs="Times New Roman"/>
          <w:b/>
          <w:bCs/>
          <w:color w:val="auto"/>
          <w:kern w:val="2"/>
          <w:sz w:val="32"/>
          <w:szCs w:val="32"/>
          <w:lang w:val="en" w:eastAsia="zh-CN" w:bidi="ar-SA"/>
        </w:rPr>
        <w:t>一是</w:t>
      </w:r>
      <w:r>
        <w:rPr>
          <w:rFonts w:hint="eastAsia" w:ascii="Times New Roman" w:hAnsi="Times New Roman" w:eastAsia="仿宋_GB2312" w:cs="Times New Roman"/>
          <w:color w:val="auto"/>
          <w:kern w:val="2"/>
          <w:sz w:val="32"/>
          <w:szCs w:val="32"/>
          <w:lang w:val="en-US" w:eastAsia="zh-CN" w:bidi="ar-SA"/>
        </w:rPr>
        <w:t>开展“迎新春送温暖”慰问活动。针对困难群众，组织各乡镇和县本级开展慰问活动，共筹集资金64.13万元，用于全县困难老人春节走访慰问，启动“花漾儿童 竹梦未来”儿童性教育项目公益课堂进校园活动。</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对全县4.5万名小学生、2.4万名中学生、1.8万名高中生进行了性防范授课。</w:t>
      </w:r>
      <w:r>
        <w:rPr>
          <w:rFonts w:hint="eastAsia" w:ascii="Times New Roman" w:hAnsi="Times New Roman" w:eastAsia="仿宋_GB2312" w:cs="Times New Roman"/>
          <w:b/>
          <w:bCs/>
          <w:color w:val="auto"/>
          <w:kern w:val="2"/>
          <w:sz w:val="32"/>
          <w:szCs w:val="32"/>
          <w:lang w:val="en-US" w:eastAsia="zh-CN" w:bidi="ar-SA"/>
        </w:rPr>
        <w:t>二是</w:t>
      </w:r>
      <w:r>
        <w:rPr>
          <w:rFonts w:hint="eastAsia" w:ascii="Times New Roman" w:hAnsi="Times New Roman" w:eastAsia="仿宋_GB2312" w:cs="Times New Roman"/>
          <w:color w:val="auto"/>
          <w:kern w:val="2"/>
          <w:sz w:val="32"/>
          <w:szCs w:val="32"/>
          <w:lang w:val="en-US" w:eastAsia="zh-CN" w:bidi="ar-SA"/>
        </w:rPr>
        <w:t>启动“腾讯99公益”暨“益行益善 益老益小”</w:t>
      </w:r>
      <w:r>
        <w:rPr>
          <w:rFonts w:hint="eastAsia" w:eastAsia="仿宋_GB2312" w:cs="Times New Roman"/>
          <w:color w:val="auto"/>
          <w:kern w:val="2"/>
          <w:sz w:val="32"/>
          <w:szCs w:val="32"/>
          <w:lang w:val="en-US" w:eastAsia="zh-CN" w:bidi="ar-SA"/>
        </w:rPr>
        <w:t>和“慈善一日捐”项目。截至10月15日，县直各部门，中央、省属驻桃等单位，共参与线上捐款25159人次，总捐款金额1354822.64元，县直单位完成线下捐款93家，捐款总金额408000元。</w:t>
      </w:r>
      <w:r>
        <w:rPr>
          <w:rFonts w:hint="eastAsia" w:ascii="Times New Roman" w:hAnsi="Times New Roman" w:eastAsia="仿宋_GB2312" w:cs="Times New Roman"/>
          <w:b/>
          <w:bCs/>
          <w:color w:val="auto"/>
          <w:kern w:val="2"/>
          <w:sz w:val="32"/>
          <w:szCs w:val="32"/>
          <w:lang w:val="en-US" w:eastAsia="zh-CN" w:bidi="ar-SA"/>
        </w:rPr>
        <w:t>三是</w:t>
      </w:r>
      <w:r>
        <w:rPr>
          <w:rFonts w:hint="eastAsia" w:ascii="Times New Roman" w:hAnsi="Times New Roman" w:eastAsia="仿宋_GB2312" w:cs="Times New Roman"/>
          <w:b w:val="0"/>
          <w:bCs w:val="0"/>
          <w:color w:val="auto"/>
          <w:kern w:val="2"/>
          <w:sz w:val="32"/>
          <w:szCs w:val="32"/>
          <w:lang w:val="en-US" w:eastAsia="zh-CN" w:bidi="ar-SA"/>
        </w:rPr>
        <w:t>福彩销量稳步提升</w:t>
      </w:r>
      <w:r>
        <w:rPr>
          <w:rFonts w:hint="eastAsia" w:eastAsia="仿宋_GB2312" w:cs="Times New Roman"/>
          <w:b w:val="0"/>
          <w:bCs w:val="0"/>
          <w:color w:val="auto"/>
          <w:kern w:val="2"/>
          <w:sz w:val="32"/>
          <w:szCs w:val="32"/>
          <w:lang w:val="en-US" w:eastAsia="zh-CN" w:bidi="ar-SA"/>
        </w:rPr>
        <w:t>，</w:t>
      </w:r>
      <w:r>
        <w:rPr>
          <w:rFonts w:hint="eastAsia" w:ascii="仿宋_GB2312" w:hAnsi="仿宋_GB2312" w:eastAsia="仿宋_GB2312" w:cs="仿宋_GB2312"/>
          <w:sz w:val="32"/>
          <w:szCs w:val="32"/>
          <w:u w:val="none"/>
          <w:lang w:val="en-US" w:eastAsia="zh-CN"/>
        </w:rPr>
        <w:t>我</w:t>
      </w:r>
      <w:r>
        <w:rPr>
          <w:rFonts w:hint="eastAsia" w:ascii="仿宋_GB2312" w:hAnsi="仿宋_GB2312" w:eastAsia="仿宋_GB2312" w:cs="仿宋_GB2312"/>
          <w:sz w:val="32"/>
          <w:szCs w:val="32"/>
          <w:u w:val="none"/>
          <w:lang w:eastAsia="ar-SA"/>
        </w:rPr>
        <w:t>县</w:t>
      </w:r>
      <w:r>
        <w:rPr>
          <w:rFonts w:hint="eastAsia" w:ascii="仿宋_GB2312" w:hAnsi="仿宋_GB2312" w:eastAsia="仿宋_GB2312" w:cs="仿宋_GB2312"/>
          <w:sz w:val="32"/>
          <w:szCs w:val="32"/>
          <w:u w:val="none"/>
          <w:lang w:eastAsia="zh-CN"/>
        </w:rPr>
        <w:t>现有</w:t>
      </w:r>
      <w:r>
        <w:rPr>
          <w:rFonts w:hint="eastAsia" w:ascii="仿宋_GB2312" w:hAnsi="仿宋_GB2312" w:eastAsia="仿宋_GB2312" w:cs="仿宋_GB2312"/>
          <w:sz w:val="32"/>
          <w:szCs w:val="32"/>
          <w:u w:val="none"/>
          <w:lang w:eastAsia="ar-SA"/>
        </w:rPr>
        <w:t>福彩投注站</w:t>
      </w:r>
      <w:r>
        <w:rPr>
          <w:rFonts w:hint="eastAsia" w:ascii="仿宋_GB2312" w:hAnsi="仿宋_GB2312" w:eastAsia="仿宋_GB2312" w:cs="仿宋_GB2312"/>
          <w:sz w:val="32"/>
          <w:szCs w:val="32"/>
          <w:u w:val="none"/>
          <w:lang w:eastAsia="zh-CN"/>
        </w:rPr>
        <w:t>点</w:t>
      </w:r>
      <w:r>
        <w:rPr>
          <w:rFonts w:hint="eastAsia" w:ascii="仿宋_GB2312" w:hAnsi="仿宋_GB2312" w:eastAsia="仿宋_GB2312" w:cs="仿宋_GB2312"/>
          <w:sz w:val="32"/>
          <w:szCs w:val="32"/>
          <w:u w:val="none"/>
          <w:lang w:val="en-US" w:eastAsia="zh-CN"/>
        </w:rPr>
        <w:t>38</w:t>
      </w:r>
      <w:r>
        <w:rPr>
          <w:rFonts w:hint="eastAsia" w:ascii="仿宋_GB2312" w:hAnsi="仿宋_GB2312" w:eastAsia="仿宋_GB2312" w:cs="仿宋_GB2312"/>
          <w:sz w:val="32"/>
          <w:szCs w:val="32"/>
          <w:u w:val="none"/>
          <w:lang w:eastAsia="ar-SA"/>
        </w:rPr>
        <w:t>家</w:t>
      </w:r>
      <w:r>
        <w:rPr>
          <w:rFonts w:hint="eastAsia" w:ascii="仿宋_GB2312" w:hAnsi="仿宋_GB2312" w:eastAsia="仿宋_GB2312" w:cs="仿宋_GB2312"/>
          <w:sz w:val="32"/>
          <w:szCs w:val="32"/>
          <w:u w:val="none"/>
          <w:lang w:eastAsia="zh-CN"/>
        </w:rPr>
        <w:t>，其中</w:t>
      </w:r>
      <w:r>
        <w:rPr>
          <w:rFonts w:hint="eastAsia" w:ascii="仿宋_GB2312" w:hAnsi="仿宋_GB2312" w:eastAsia="仿宋_GB2312" w:cs="仿宋_GB2312"/>
          <w:sz w:val="32"/>
          <w:szCs w:val="32"/>
          <w:u w:val="none"/>
          <w:lang w:val="en-US" w:eastAsia="zh-CN"/>
        </w:rPr>
        <w:t>福潮店10家。</w:t>
      </w:r>
      <w:r>
        <w:rPr>
          <w:rFonts w:ascii="Times New Roman" w:hAnsi="Times New Roman" w:eastAsia="仿宋" w:cs="Times New Roman"/>
          <w:color w:val="000000"/>
          <w:sz w:val="32"/>
          <w:szCs w:val="32"/>
        </w:rPr>
        <w:t>全县</w:t>
      </w:r>
      <w:r>
        <w:rPr>
          <w:rFonts w:hint="eastAsia" w:ascii="Times New Roman" w:hAnsi="Times New Roman" w:eastAsia="仿宋" w:cs="Times New Roman"/>
          <w:color w:val="000000"/>
          <w:sz w:val="32"/>
          <w:szCs w:val="32"/>
          <w:lang w:val="en-US" w:eastAsia="zh-CN"/>
        </w:rPr>
        <w:t>福利彩票</w:t>
      </w:r>
      <w:r>
        <w:rPr>
          <w:rFonts w:ascii="Times New Roman" w:hAnsi="Times New Roman" w:eastAsia="仿宋" w:cs="Times New Roman"/>
          <w:color w:val="000000"/>
          <w:sz w:val="32"/>
          <w:szCs w:val="32"/>
        </w:rPr>
        <w:t>销售</w:t>
      </w:r>
      <w:r>
        <w:rPr>
          <w:rFonts w:hint="eastAsia" w:ascii="Times New Roman" w:hAnsi="Times New Roman" w:eastAsia="仿宋" w:cs="Times New Roman"/>
          <w:color w:val="000000"/>
          <w:sz w:val="32"/>
          <w:szCs w:val="32"/>
          <w:lang w:val="en-US" w:eastAsia="zh-CN"/>
        </w:rPr>
        <w:t>4495.9</w:t>
      </w:r>
      <w:r>
        <w:rPr>
          <w:rFonts w:ascii="Times New Roman" w:hAnsi="Times New Roman" w:eastAsia="仿宋" w:cs="Times New Roman"/>
          <w:color w:val="000000"/>
          <w:sz w:val="32"/>
          <w:szCs w:val="32"/>
        </w:rPr>
        <w:t>万</w:t>
      </w:r>
      <w:r>
        <w:rPr>
          <w:rFonts w:hint="eastAsia" w:ascii="Times New Roman" w:hAnsi="Times New Roman" w:eastAsia="仿宋" w:cs="Times New Roman"/>
          <w:color w:val="000000"/>
          <w:sz w:val="32"/>
          <w:szCs w:val="32"/>
          <w:lang w:val="en-US" w:eastAsia="zh-CN"/>
        </w:rPr>
        <w:t>元</w:t>
      </w:r>
      <w:r>
        <w:rPr>
          <w:rFonts w:ascii="Times New Roman" w:hAnsi="Times New Roman" w:eastAsia="仿宋" w:cs="Times New Roman"/>
          <w:color w:val="000000"/>
          <w:sz w:val="32"/>
          <w:szCs w:val="32"/>
        </w:rPr>
        <w:t>，全省</w:t>
      </w:r>
      <w:r>
        <w:rPr>
          <w:rFonts w:hint="eastAsia" w:ascii="Times New Roman" w:hAnsi="Times New Roman" w:eastAsia="仿宋" w:cs="Times New Roman"/>
          <w:color w:val="000000"/>
          <w:sz w:val="32"/>
          <w:szCs w:val="32"/>
          <w:lang w:val="en-US" w:eastAsia="zh-CN"/>
        </w:rPr>
        <w:t>总量</w:t>
      </w:r>
      <w:r>
        <w:rPr>
          <w:rFonts w:ascii="Times New Roman" w:hAnsi="Times New Roman" w:eastAsia="仿宋" w:cs="Times New Roman"/>
          <w:color w:val="000000"/>
          <w:sz w:val="32"/>
          <w:szCs w:val="32"/>
        </w:rPr>
        <w:t>排名第</w:t>
      </w:r>
      <w:r>
        <w:rPr>
          <w:rFonts w:hint="eastAsia" w:ascii="Times New Roman" w:hAnsi="Times New Roman" w:eastAsia="仿宋" w:cs="Times New Roman"/>
          <w:color w:val="000000"/>
          <w:sz w:val="32"/>
          <w:szCs w:val="32"/>
          <w:lang w:val="en-US" w:eastAsia="zh-CN"/>
        </w:rPr>
        <w:t>18</w:t>
      </w:r>
      <w:r>
        <w:rPr>
          <w:rFonts w:ascii="Times New Roman" w:hAnsi="Times New Roman" w:eastAsia="仿宋" w:cs="Times New Roman"/>
          <w:color w:val="000000"/>
          <w:sz w:val="32"/>
          <w:szCs w:val="32"/>
        </w:rPr>
        <w:t>，增量排名第</w:t>
      </w:r>
      <w:r>
        <w:rPr>
          <w:rFonts w:hint="eastAsia" w:ascii="Times New Roman" w:hAnsi="Times New Roman" w:eastAsia="仿宋" w:cs="Times New Roman"/>
          <w:color w:val="000000"/>
          <w:sz w:val="32"/>
          <w:szCs w:val="32"/>
          <w:lang w:val="en-US" w:eastAsia="zh-CN"/>
        </w:rPr>
        <w:t>2</w:t>
      </w:r>
      <w:r>
        <w:rPr>
          <w:rFonts w:ascii="Times New Roman" w:hAnsi="Times New Roman" w:eastAsia="仿宋" w:cs="Times New Roman"/>
          <w:color w:val="000000"/>
          <w:sz w:val="32"/>
          <w:szCs w:val="32"/>
        </w:rPr>
        <w:t>，增幅排名第2</w:t>
      </w:r>
      <w:r>
        <w:rPr>
          <w:rFonts w:hint="eastAsia" w:ascii="Times New Roman" w:hAnsi="Times New Roman" w:eastAsia="仿宋" w:cs="Times New Roman"/>
          <w:color w:val="000000"/>
          <w:sz w:val="32"/>
          <w:szCs w:val="32"/>
          <w:lang w:eastAsia="zh-CN"/>
        </w:rPr>
        <w:t>，</w:t>
      </w:r>
      <w:r>
        <w:rPr>
          <w:rFonts w:hint="eastAsia" w:ascii="仿宋_GB2312" w:hAnsi="仿宋_GB2312" w:eastAsia="仿宋_GB2312" w:cs="仿宋_GB2312"/>
          <w:sz w:val="32"/>
          <w:szCs w:val="32"/>
          <w:u w:val="none"/>
          <w:lang w:val="en-US" w:eastAsia="zh-CN"/>
        </w:rPr>
        <w:t>我县福彩新人新店工作在今年4月4日全省福彩工作会议上作典型发言。</w:t>
      </w:r>
    </w:p>
    <w:p w14:paraId="46D50632">
      <w:pPr>
        <w:keepNext w:val="0"/>
        <w:keepLines w:val="0"/>
        <w:pageBreakBefore w:val="0"/>
        <w:kinsoku/>
        <w:wordWrap/>
        <w:overflowPunct/>
        <w:topLinePunct w:val="0"/>
        <w:autoSpaceDE/>
        <w:autoSpaceDN/>
        <w:bidi w:val="0"/>
        <w:adjustRightInd/>
        <w:snapToGrid/>
        <w:spacing w:line="590" w:lineRule="exact"/>
        <w:ind w:firstLine="630" w:firstLineChars="196"/>
        <w:textAlignment w:val="auto"/>
        <w:rPr>
          <w:rFonts w:hint="eastAsia" w:ascii="仿宋_GB2312" w:hAnsi="Times New Roman" w:eastAsia="仿宋_GB2312" w:cs="Times New Roman"/>
          <w:b/>
          <w:color w:val="000000"/>
          <w:sz w:val="32"/>
          <w:szCs w:val="32"/>
        </w:rPr>
      </w:pPr>
      <w:r>
        <w:rPr>
          <w:rFonts w:hint="eastAsia" w:ascii="楷体_GB2312" w:hAnsi="楷体_GB2312" w:eastAsia="楷体_GB2312" w:cs="楷体_GB2312"/>
          <w:b/>
          <w:bCs w:val="0"/>
          <w:kern w:val="2"/>
          <w:sz w:val="32"/>
          <w:szCs w:val="32"/>
          <w:lang w:val="en-US" w:eastAsia="zh-CN" w:bidi="ar-SA"/>
        </w:rPr>
        <w:t>6、</w:t>
      </w:r>
      <w:r>
        <w:rPr>
          <w:rFonts w:hint="eastAsia" w:ascii="楷体_GB2312" w:hAnsi="Times New Roman" w:eastAsia="楷体_GB2312" w:cs="Times New Roman"/>
          <w:b/>
          <w:snapToGrid w:val="0"/>
          <w:color w:val="080808"/>
          <w:sz w:val="32"/>
          <w:szCs w:val="32"/>
        </w:rPr>
        <w:t>民政自身建设迈出新步伐。</w:t>
      </w:r>
      <w:r>
        <w:rPr>
          <w:rFonts w:hint="eastAsia" w:ascii="仿宋_GB2312" w:hAnsi="Times New Roman" w:eastAsia="仿宋_GB2312" w:cs="Times New Roman"/>
          <w:b/>
          <w:snapToGrid w:val="0"/>
          <w:color w:val="080808"/>
          <w:sz w:val="32"/>
          <w:szCs w:val="32"/>
        </w:rPr>
        <w:t>一是</w:t>
      </w:r>
      <w:r>
        <w:rPr>
          <w:rFonts w:hint="eastAsia" w:ascii="仿宋_GB2312" w:hAnsi="Times New Roman" w:eastAsia="仿宋_GB2312" w:cs="Times New Roman"/>
          <w:snapToGrid w:val="0"/>
          <w:color w:val="080808"/>
          <w:sz w:val="32"/>
          <w:szCs w:val="32"/>
          <w:lang w:eastAsia="zh-CN"/>
        </w:rPr>
        <w:t>配合县审计局完成</w:t>
      </w:r>
      <w:r>
        <w:rPr>
          <w:rFonts w:hint="eastAsia" w:ascii="仿宋_GB2312" w:hAnsi="Times New Roman" w:eastAsia="仿宋_GB2312" w:cs="Times New Roman"/>
          <w:snapToGrid w:val="0"/>
          <w:color w:val="080808"/>
          <w:sz w:val="32"/>
          <w:szCs w:val="32"/>
          <w:lang w:val="en-US" w:eastAsia="zh-CN"/>
        </w:rPr>
        <w:t>2023年</w:t>
      </w:r>
      <w:r>
        <w:rPr>
          <w:rFonts w:hint="eastAsia" w:ascii="仿宋_GB2312" w:hAnsi="Times New Roman" w:eastAsia="仿宋_GB2312" w:cs="Times New Roman"/>
          <w:snapToGrid w:val="0"/>
          <w:color w:val="080808"/>
          <w:sz w:val="32"/>
          <w:szCs w:val="32"/>
          <w:lang w:eastAsia="zh-CN"/>
        </w:rPr>
        <w:t>预算执行审计，对审计发现问题进行整改。</w:t>
      </w:r>
      <w:r>
        <w:rPr>
          <w:rFonts w:hint="eastAsia" w:ascii="仿宋_GB2312" w:hAnsi="Times New Roman" w:eastAsia="仿宋_GB2312" w:cs="Times New Roman"/>
          <w:b/>
          <w:snapToGrid w:val="0"/>
          <w:color w:val="080808"/>
          <w:sz w:val="32"/>
          <w:szCs w:val="32"/>
        </w:rPr>
        <w:t>二是</w:t>
      </w:r>
      <w:r>
        <w:rPr>
          <w:rFonts w:hint="eastAsia" w:ascii="仿宋_GB2312" w:hAnsi="仿宋_GB2312" w:eastAsia="仿宋_GB2312" w:cs="仿宋_GB2312"/>
          <w:sz w:val="32"/>
          <w:szCs w:val="32"/>
          <w:u w:val="none"/>
          <w:lang w:val="en-US" w:eastAsia="zh-CN"/>
        </w:rPr>
        <w:t>县委巡察办开展常规巡察，2024年6月县委第一巡察组对党组进行了巡察，反馈了巡察意见，指出了4个方面40个问题，移交线索7条，出台了整改方案及整改清单。</w:t>
      </w:r>
      <w:r>
        <w:rPr>
          <w:rFonts w:hint="eastAsia" w:ascii="仿宋_GB2312" w:hAnsi="Times New Roman" w:eastAsia="仿宋_GB2312" w:cs="Times New Roman"/>
          <w:b/>
          <w:snapToGrid w:val="0"/>
          <w:color w:val="080808"/>
          <w:sz w:val="32"/>
          <w:szCs w:val="32"/>
        </w:rPr>
        <w:t>三是</w:t>
      </w:r>
      <w:r>
        <w:rPr>
          <w:rFonts w:hint="eastAsia" w:ascii="仿宋_GB2312" w:hAnsi="仿宋_GB2312" w:eastAsia="仿宋_GB2312" w:cs="仿宋_GB2312"/>
          <w:sz w:val="32"/>
          <w:szCs w:val="32"/>
          <w:u w:val="none"/>
          <w:lang w:val="en-US" w:eastAsia="zh-CN"/>
        </w:rPr>
        <w:t>深入开展群众身边不正之风和腐败问题集中整治，针对整治“人情保、关系保”、整治“殡仪馆乱收费”开展自查自纠，注重线索挖掘，确保集中整治群众身边不正之风和腐败问题整治问题走深走实、取得实效。以审计、巡察整改为契机，结合群众身边不正之风和腐败问题集中整治，</w:t>
      </w:r>
      <w:r>
        <w:rPr>
          <w:rFonts w:hint="default" w:ascii="仿宋_GB2312" w:hAnsi="仿宋_GB2312" w:eastAsia="仿宋_GB2312" w:cs="仿宋_GB2312"/>
          <w:sz w:val="32"/>
          <w:szCs w:val="32"/>
          <w:u w:val="none"/>
          <w:lang w:val="en-US" w:eastAsia="zh-CN"/>
        </w:rPr>
        <w:t>注重总结经验，完善制度，建立长效机制，工作取得实效</w:t>
      </w:r>
      <w:r>
        <w:rPr>
          <w:rFonts w:hint="eastAsia" w:ascii="仿宋_GB2312" w:hAnsi="仿宋_GB2312" w:eastAsia="仿宋_GB2312" w:cs="仿宋_GB2312"/>
          <w:sz w:val="32"/>
          <w:szCs w:val="32"/>
          <w:u w:val="none"/>
          <w:lang w:val="en-US" w:eastAsia="zh-CN"/>
        </w:rPr>
        <w:t>。</w:t>
      </w:r>
      <w:r>
        <w:rPr>
          <w:rFonts w:hint="eastAsia" w:ascii="仿宋_GB2312" w:hAnsi="Times New Roman" w:eastAsia="仿宋_GB2312" w:cs="Times New Roman"/>
          <w:snapToGrid w:val="0"/>
          <w:color w:val="080808"/>
          <w:sz w:val="32"/>
          <w:szCs w:val="32"/>
        </w:rPr>
        <w:t>深入开展了各种形式的党风廉政教育，增强了党员干部的党风党纪观念和廉洁从政意识。大力开展行风建设，对群众反映的问题按照政策规定全部得到了妥善处理。</w:t>
      </w:r>
    </w:p>
    <w:p w14:paraId="35B932A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（三）社会公众满意度评价</w:t>
      </w:r>
    </w:p>
    <w:p w14:paraId="1BCC3303">
      <w:pPr>
        <w:keepNext w:val="0"/>
        <w:keepLines w:val="0"/>
        <w:pageBreakBefore w:val="0"/>
        <w:kinsoku/>
        <w:wordWrap/>
        <w:overflowPunct/>
        <w:topLinePunct w:val="0"/>
        <w:autoSpaceDE/>
        <w:autoSpaceDN/>
        <w:bidi w:val="0"/>
        <w:adjustRightInd/>
        <w:snapToGrid/>
        <w:spacing w:line="590" w:lineRule="exact"/>
        <w:ind w:firstLine="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年，全局干部职工在局党组的正确领导下，认真贯彻落实县委县政府决策部署，勤奋工作，创先争优，在省市民政工作中多项工作被评为先进。通过群众测评，民政公众服务对象满意度指标达98%以上。</w:t>
      </w:r>
    </w:p>
    <w:p w14:paraId="2E581F4A">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绩效评价工作开展情况</w:t>
      </w:r>
    </w:p>
    <w:p w14:paraId="3B6D1D94">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（一）绩效评价目的</w:t>
      </w:r>
    </w:p>
    <w:p w14:paraId="79864DD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绩效评价的目的是为了全面分析和综合评价我局本级财政预算资金的使用管理情况，在于促进部门高效履职。同时，了解202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我局部门整体支出资金的使用情况、管理情况、完成情况、资金使用效益情况，及时总结经验，分析存在的问题，采取切实有效的措施进一步改进和加强财政支出项目管理，切实提高财政资金使用效益。强化预算支出的责任和效率，为上级部门决策和下年度资金安排提供参考依据。</w:t>
      </w:r>
    </w:p>
    <w:p w14:paraId="0413F418">
      <w:pPr>
        <w:keepNext w:val="0"/>
        <w:keepLines w:val="0"/>
        <w:pageBreakBefore w:val="0"/>
        <w:kinsoku/>
        <w:wordWrap/>
        <w:overflowPunct/>
        <w:topLinePunct w:val="0"/>
        <w:autoSpaceDE/>
        <w:autoSpaceDN/>
        <w:bidi w:val="0"/>
        <w:adjustRightInd/>
        <w:snapToGrid/>
        <w:spacing w:line="590" w:lineRule="exact"/>
        <w:ind w:left="64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（二）绩效评价依据</w:t>
      </w:r>
    </w:p>
    <w:p w14:paraId="4D2E7E46">
      <w:pPr>
        <w:keepNext w:val="0"/>
        <w:keepLines w:val="0"/>
        <w:pageBreakBefore w:val="0"/>
        <w:kinsoku/>
        <w:wordWrap/>
        <w:overflowPunct/>
        <w:topLinePunct w:val="0"/>
        <w:autoSpaceDE/>
        <w:autoSpaceDN/>
        <w:bidi w:val="0"/>
        <w:adjustRightInd/>
        <w:snapToGrid/>
        <w:spacing w:line="590" w:lineRule="exact"/>
        <w:ind w:left="64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中华人民共和国</w:t>
      </w:r>
      <w:r>
        <w:rPr>
          <w:rFonts w:ascii="仿宋_GB2312" w:hAnsi="仿宋_GB2312" w:eastAsia="仿宋_GB2312" w:cs="仿宋_GB2312"/>
          <w:sz w:val="32"/>
          <w:szCs w:val="32"/>
          <w:lang w:eastAsia="zh-CN"/>
        </w:rPr>
        <w:t>预算法》</w:t>
      </w:r>
    </w:p>
    <w:p w14:paraId="3408392A">
      <w:pPr>
        <w:keepNext w:val="0"/>
        <w:keepLines w:val="0"/>
        <w:pageBreakBefore w:val="0"/>
        <w:kinsoku/>
        <w:wordWrap/>
        <w:overflowPunct/>
        <w:topLinePunct w:val="0"/>
        <w:autoSpaceDE/>
        <w:autoSpaceDN/>
        <w:bidi w:val="0"/>
        <w:adjustRightInd/>
        <w:snapToGrid/>
        <w:spacing w:line="590" w:lineRule="exact"/>
        <w:ind w:left="5" w:leftChars="2"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ascii="仿宋_GB2312" w:hAnsi="仿宋_GB2312" w:eastAsia="仿宋_GB2312" w:cs="仿宋_GB2312"/>
          <w:sz w:val="32"/>
          <w:szCs w:val="32"/>
          <w:lang w:eastAsia="zh-CN"/>
        </w:rPr>
        <w:t>《财政支出绩效评价管理暂行办法》</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财预〔2011〕285号</w:t>
      </w:r>
      <w:r>
        <w:rPr>
          <w:rFonts w:hint="eastAsia" w:ascii="仿宋_GB2312" w:hAnsi="仿宋_GB2312" w:eastAsia="仿宋_GB2312" w:cs="仿宋_GB2312"/>
          <w:sz w:val="32"/>
          <w:szCs w:val="32"/>
          <w:lang w:eastAsia="zh-CN"/>
        </w:rPr>
        <w:t>）</w:t>
      </w:r>
    </w:p>
    <w:p w14:paraId="5EFB930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中共湖南省委办公厅 湖南省人民政府办公厅关于全面实施预算绩效管理的实施意见</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湘</w:t>
      </w:r>
      <w:r>
        <w:rPr>
          <w:rFonts w:hint="eastAsia" w:ascii="仿宋_GB2312" w:hAnsi="仿宋_GB2312" w:eastAsia="仿宋_GB2312" w:cs="仿宋_GB2312"/>
          <w:sz w:val="32"/>
          <w:szCs w:val="32"/>
          <w:lang w:eastAsia="zh-CN"/>
        </w:rPr>
        <w:t>办</w:t>
      </w:r>
      <w:r>
        <w:rPr>
          <w:rFonts w:ascii="仿宋_GB2312" w:hAnsi="仿宋_GB2312" w:eastAsia="仿宋_GB2312" w:cs="仿宋_GB2312"/>
          <w:sz w:val="32"/>
          <w:szCs w:val="32"/>
          <w:lang w:eastAsia="zh-CN"/>
        </w:rPr>
        <w:t>发〔201</w:t>
      </w:r>
      <w:r>
        <w:rPr>
          <w:rFonts w:hint="eastAsia" w:ascii="仿宋_GB2312" w:hAnsi="仿宋_GB2312" w:eastAsia="仿宋_GB2312" w:cs="仿宋_GB2312"/>
          <w:sz w:val="32"/>
          <w:szCs w:val="32"/>
          <w:lang w:eastAsia="zh-CN"/>
        </w:rPr>
        <w:t>9</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10</w:t>
      </w:r>
      <w:r>
        <w:rPr>
          <w:rFonts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eastAsia="zh-CN"/>
        </w:rPr>
        <w:t>）</w:t>
      </w:r>
    </w:p>
    <w:p w14:paraId="4AD2FE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ascii="仿宋_GB2312" w:hAnsi="仿宋_GB2312" w:eastAsia="仿宋_GB2312" w:cs="仿宋_GB2312"/>
          <w:sz w:val="32"/>
          <w:szCs w:val="32"/>
          <w:lang w:eastAsia="zh-CN"/>
        </w:rPr>
        <w:t>《湖南省预算支出绩效评价管理办法》（湘财绩〔2021〕7号）</w:t>
      </w:r>
    </w:p>
    <w:p w14:paraId="7085735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ascii="仿宋_GB2312" w:hAnsi="仿宋_GB2312" w:eastAsia="仿宋_GB2312" w:cs="仿宋_GB2312"/>
          <w:sz w:val="32"/>
          <w:szCs w:val="32"/>
          <w:lang w:eastAsia="zh-CN"/>
        </w:rPr>
        <w:t>《桃江县人民政府关于推进全县预算绩效管理的实施意见》（桃政发〔2013〕25号）</w:t>
      </w:r>
    </w:p>
    <w:p w14:paraId="23F914F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6、桃江县民政局相关</w:t>
      </w:r>
      <w:r>
        <w:rPr>
          <w:rFonts w:ascii="仿宋_GB2312" w:hAnsi="仿宋_GB2312" w:eastAsia="仿宋_GB2312" w:cs="仿宋_GB2312"/>
          <w:sz w:val="32"/>
          <w:szCs w:val="32"/>
          <w:lang w:eastAsia="zh-CN"/>
        </w:rPr>
        <w:t>专项资金管理办法，部门职能、规划、年度工作计划，</w:t>
      </w:r>
      <w:r>
        <w:rPr>
          <w:rFonts w:hint="eastAsia" w:ascii="仿宋_GB2312" w:hAnsi="仿宋_GB2312" w:eastAsia="仿宋_GB2312" w:cs="仿宋_GB2312"/>
          <w:sz w:val="32"/>
          <w:szCs w:val="32"/>
          <w:lang w:eastAsia="zh-CN"/>
        </w:rPr>
        <w:t>项目审计报告和验收报告，</w:t>
      </w:r>
      <w:r>
        <w:rPr>
          <w:rFonts w:ascii="仿宋_GB2312" w:hAnsi="仿宋_GB2312" w:eastAsia="仿宋_GB2312" w:cs="仿宋_GB2312"/>
          <w:sz w:val="32"/>
          <w:szCs w:val="32"/>
          <w:lang w:eastAsia="zh-CN"/>
        </w:rPr>
        <w:t>部门预算资金、项目管理规定，财务会计制度，财政部门预算批复、部门年度预算执行情况、年度决算报告、年度部门支出预算绩效目标等。</w:t>
      </w:r>
    </w:p>
    <w:p w14:paraId="4F54A0F2">
      <w:pPr>
        <w:keepNext w:val="0"/>
        <w:keepLines w:val="0"/>
        <w:pageBreakBefore w:val="0"/>
        <w:kinsoku/>
        <w:wordWrap/>
        <w:overflowPunct/>
        <w:topLinePunct w:val="0"/>
        <w:autoSpaceDE/>
        <w:autoSpaceDN/>
        <w:bidi w:val="0"/>
        <w:adjustRightInd/>
        <w:snapToGrid/>
        <w:spacing w:line="590" w:lineRule="exact"/>
        <w:ind w:firstLine="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（三）绩效评价的原则</w:t>
      </w:r>
    </w:p>
    <w:p w14:paraId="23A72833">
      <w:pPr>
        <w:keepNext w:val="0"/>
        <w:keepLines w:val="0"/>
        <w:pageBreakBefore w:val="0"/>
        <w:kinsoku/>
        <w:wordWrap/>
        <w:overflowPunct/>
        <w:topLinePunct w:val="0"/>
        <w:autoSpaceDE/>
        <w:autoSpaceDN/>
        <w:bidi w:val="0"/>
        <w:adjustRightInd/>
        <w:snapToGrid/>
        <w:spacing w:line="590" w:lineRule="exact"/>
        <w:ind w:firstLine="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部门整体支出绩效评价工作坚持公平、公正、公开和利害回避的原则，一般评价与重点评价相结合的原则，定量分析与定性分析相结合原则。</w:t>
      </w:r>
    </w:p>
    <w:p w14:paraId="2EA536F4">
      <w:pPr>
        <w:keepNext w:val="0"/>
        <w:keepLines w:val="0"/>
        <w:pageBreakBefore w:val="0"/>
        <w:kinsoku/>
        <w:wordWrap/>
        <w:overflowPunct/>
        <w:topLinePunct w:val="0"/>
        <w:autoSpaceDE/>
        <w:autoSpaceDN/>
        <w:bidi w:val="0"/>
        <w:adjustRightInd/>
        <w:snapToGrid/>
        <w:spacing w:line="590" w:lineRule="exact"/>
        <w:ind w:firstLine="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（四）绩效评价的内容</w:t>
      </w:r>
    </w:p>
    <w:p w14:paraId="53411B0B">
      <w:pPr>
        <w:keepNext w:val="0"/>
        <w:keepLines w:val="0"/>
        <w:pageBreakBefore w:val="0"/>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围绕制定的绩效目标，对资金的预算、决策、运行、完成及管理情况，按投入目标、管理目标、产出目标、效果目标进行综合评价，具体如下：</w:t>
      </w:r>
    </w:p>
    <w:p w14:paraId="2B0F99C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1、目标设定情况；</w:t>
      </w:r>
    </w:p>
    <w:p w14:paraId="0073EED4">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2、资金分配、使用、管理情况；</w:t>
      </w:r>
    </w:p>
    <w:p w14:paraId="54FB7F86">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3、制定的制度和措施情况；</w:t>
      </w:r>
    </w:p>
    <w:p w14:paraId="03EC71A3">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4、目标完成和资金效益情况。</w:t>
      </w:r>
    </w:p>
    <w:p w14:paraId="7B48244B">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（五）绩效评价的方法</w:t>
      </w:r>
    </w:p>
    <w:p w14:paraId="02524B34">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1、成本效益比较法；</w:t>
      </w:r>
    </w:p>
    <w:p w14:paraId="2C166BF7">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2、因素分析法；</w:t>
      </w:r>
    </w:p>
    <w:p w14:paraId="6A067177">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ascii="仿宋_GB2312" w:hAnsi="仿宋_GB2312" w:eastAsia="仿宋_GB2312" w:cs="仿宋_GB2312"/>
          <w:sz w:val="32"/>
          <w:szCs w:val="32"/>
          <w:lang w:eastAsia="zh-CN"/>
        </w:rPr>
        <w:t>目标预定与实施效果</w:t>
      </w:r>
      <w:r>
        <w:rPr>
          <w:rFonts w:hint="eastAsia" w:ascii="仿宋_GB2312" w:hAnsi="仿宋_GB2312" w:eastAsia="仿宋_GB2312" w:cs="仿宋_GB2312"/>
          <w:sz w:val="32"/>
          <w:szCs w:val="32"/>
          <w:lang w:eastAsia="zh-CN"/>
        </w:rPr>
        <w:t>比较法；</w:t>
      </w:r>
    </w:p>
    <w:p w14:paraId="631CCB52">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4、公众评判法。</w:t>
      </w:r>
    </w:p>
    <w:p w14:paraId="77086364">
      <w:pPr>
        <w:keepNext w:val="0"/>
        <w:keepLines w:val="0"/>
        <w:pageBreakBefore w:val="0"/>
        <w:kinsoku/>
        <w:wordWrap/>
        <w:overflowPunct/>
        <w:topLinePunct w:val="0"/>
        <w:autoSpaceDE/>
        <w:autoSpaceDN/>
        <w:bidi w:val="0"/>
        <w:adjustRightInd/>
        <w:snapToGrid/>
        <w:spacing w:line="590" w:lineRule="exact"/>
        <w:ind w:left="72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（六）绩效评价结论及评价评分</w:t>
      </w:r>
    </w:p>
    <w:p w14:paraId="7BF8A5D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基本支出预算保障了机关日常正常运转，项目支出预算认真履行好部门职能职责，充分发挥了项目资金的作用，重点保障了民生，圆满完成了县委、县政府下达的各项目标任务。根据《部门整体支出绩效评价指标》确定的内容及评分标准，经综合分析讨论评分，我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年度部门整体支出绩效评价指标表评分情况；分值9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lang w:eastAsia="zh-CN"/>
        </w:rPr>
        <w:t>分，财政支出绩效等级为“优秀”（绩效评价指标表附后）。</w:t>
      </w:r>
    </w:p>
    <w:p w14:paraId="68EA650B">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存在的主要问题</w:t>
      </w:r>
    </w:p>
    <w:p w14:paraId="5CB5C7C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sz w:val="32"/>
          <w:szCs w:val="32"/>
          <w:lang w:eastAsia="zh-CN"/>
        </w:rPr>
        <w:t>一是因出现部分年度工作计划安排以外的工作任务，导致工作经费增加。二是基础设施建设进度慢。目前，上级民政部门采取“以奖代补”的方式推进项目建设，而我县财政紧张，推进民政项目建设基本靠争取上级资金，因而我县民政基础设施建设落地较难。</w:t>
      </w:r>
    </w:p>
    <w:p w14:paraId="02290835">
      <w:pPr>
        <w:pStyle w:val="25"/>
        <w:keepNext w:val="0"/>
        <w:keepLines w:val="0"/>
        <w:pageBreakBefore w:val="0"/>
        <w:numPr>
          <w:ilvl w:val="0"/>
          <w:numId w:val="1"/>
        </w:numPr>
        <w:kinsoku/>
        <w:wordWrap/>
        <w:overflowPunct/>
        <w:topLinePunct w:val="0"/>
        <w:autoSpaceDE/>
        <w:autoSpaceDN/>
        <w:bidi w:val="0"/>
        <w:adjustRightInd/>
        <w:snapToGrid/>
        <w:spacing w:line="590" w:lineRule="exact"/>
        <w:textAlignment w:val="auto"/>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改进措施</w:t>
      </w:r>
    </w:p>
    <w:p w14:paraId="73962CC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针对上述存在的问题及我局整体支出管理工作的需要，拟实施的改进措施如下：</w:t>
      </w:r>
    </w:p>
    <w:p w14:paraId="3C98E30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14:paraId="42A8F59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（二）扩展资金来源，吸取社会组织和爱心人士加大对民政公益事业的资助，和争取上级资金加大投入。</w:t>
      </w:r>
      <w:bookmarkStart w:id="0" w:name="_GoBack"/>
      <w:bookmarkEnd w:id="0"/>
    </w:p>
    <w:p w14:paraId="3BB5307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p>
    <w:p w14:paraId="2E02799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lang w:eastAsia="zh-CN"/>
        </w:rPr>
      </w:pPr>
    </w:p>
    <w:p w14:paraId="2BED15B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桃江县民政局</w:t>
      </w:r>
    </w:p>
    <w:p w14:paraId="4A2B79F8">
      <w:pPr>
        <w:keepNext w:val="0"/>
        <w:keepLines w:val="0"/>
        <w:pageBreakBefore w:val="0"/>
        <w:kinsoku/>
        <w:wordWrap/>
        <w:overflowPunct/>
        <w:topLinePunct w:val="0"/>
        <w:autoSpaceDE/>
        <w:autoSpaceDN/>
        <w:bidi w:val="0"/>
        <w:adjustRightInd/>
        <w:snapToGrid/>
        <w:spacing w:line="590" w:lineRule="exact"/>
        <w:ind w:right="360" w:firstLine="640" w:firstLineChars="200"/>
        <w:jc w:val="right"/>
        <w:textAlignment w:val="auto"/>
        <w:rPr>
          <w:rFonts w:ascii="宋体" w:hAnsi="宋体" w:eastAsia="宋体"/>
          <w:sz w:val="36"/>
          <w:szCs w:val="36"/>
          <w:lang w:eastAsia="zh-CN"/>
        </w:rPr>
      </w:pPr>
      <w:r>
        <w:rPr>
          <w:rFonts w:hint="eastAsia" w:ascii="仿宋_GB2312" w:hAnsi="仿宋_GB2312" w:eastAsia="仿宋_GB2312" w:cs="仿宋_GB2312"/>
          <w:sz w:val="32"/>
          <w:szCs w:val="32"/>
          <w:lang w:eastAsia="zh-CN"/>
        </w:rPr>
        <w:t>2024年3月30日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B2C92"/>
    <w:multiLevelType w:val="multilevel"/>
    <w:tmpl w:val="2DAB2C92"/>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F73185"/>
    <w:multiLevelType w:val="multilevel"/>
    <w:tmpl w:val="3BF73185"/>
    <w:lvl w:ilvl="0" w:tentative="0">
      <w:start w:val="1"/>
      <w:numFmt w:val="japaneseCounting"/>
      <w:lvlText w:val="%1、"/>
      <w:lvlJc w:val="left"/>
      <w:pPr>
        <w:ind w:left="1440" w:hanging="720"/>
      </w:pPr>
      <w:rPr>
        <w:rFonts w:hint="default"/>
        <w:lang w:val="en-U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08B3C54"/>
    <w:multiLevelType w:val="multilevel"/>
    <w:tmpl w:val="508B3C54"/>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5YTY1ZjkyMjVmZjhhN2RlNWM4NjI1YmE0NGVlZmEifQ=="/>
  </w:docVars>
  <w:rsids>
    <w:rsidRoot w:val="00140C86"/>
    <w:rsid w:val="00006F1C"/>
    <w:rsid w:val="00020F05"/>
    <w:rsid w:val="000410ED"/>
    <w:rsid w:val="00043C2D"/>
    <w:rsid w:val="00057679"/>
    <w:rsid w:val="000610CD"/>
    <w:rsid w:val="00061DE1"/>
    <w:rsid w:val="00070821"/>
    <w:rsid w:val="0009086B"/>
    <w:rsid w:val="000D0241"/>
    <w:rsid w:val="000E3554"/>
    <w:rsid w:val="001027BF"/>
    <w:rsid w:val="001076A8"/>
    <w:rsid w:val="00111723"/>
    <w:rsid w:val="00112832"/>
    <w:rsid w:val="00120C65"/>
    <w:rsid w:val="00140C86"/>
    <w:rsid w:val="00156CF4"/>
    <w:rsid w:val="00157604"/>
    <w:rsid w:val="0019298E"/>
    <w:rsid w:val="00195711"/>
    <w:rsid w:val="00197B83"/>
    <w:rsid w:val="001A0668"/>
    <w:rsid w:val="001B6340"/>
    <w:rsid w:val="001F0A2A"/>
    <w:rsid w:val="002025D9"/>
    <w:rsid w:val="00205E18"/>
    <w:rsid w:val="00243FBF"/>
    <w:rsid w:val="002453AF"/>
    <w:rsid w:val="002635A4"/>
    <w:rsid w:val="0028283D"/>
    <w:rsid w:val="002929AE"/>
    <w:rsid w:val="002B0F08"/>
    <w:rsid w:val="002B3A13"/>
    <w:rsid w:val="002C1F76"/>
    <w:rsid w:val="002C54A6"/>
    <w:rsid w:val="002C72A4"/>
    <w:rsid w:val="002D497C"/>
    <w:rsid w:val="002E3796"/>
    <w:rsid w:val="00305B0F"/>
    <w:rsid w:val="003148D8"/>
    <w:rsid w:val="00322A0C"/>
    <w:rsid w:val="00323A23"/>
    <w:rsid w:val="003460DC"/>
    <w:rsid w:val="00347C15"/>
    <w:rsid w:val="00355BC3"/>
    <w:rsid w:val="00370C7B"/>
    <w:rsid w:val="003926CF"/>
    <w:rsid w:val="003A36C9"/>
    <w:rsid w:val="003A55D6"/>
    <w:rsid w:val="003B66E5"/>
    <w:rsid w:val="003C19E3"/>
    <w:rsid w:val="003D0D7A"/>
    <w:rsid w:val="004120D1"/>
    <w:rsid w:val="004272F3"/>
    <w:rsid w:val="004352EA"/>
    <w:rsid w:val="00445BEC"/>
    <w:rsid w:val="00471575"/>
    <w:rsid w:val="00483C71"/>
    <w:rsid w:val="00493EB7"/>
    <w:rsid w:val="00495F62"/>
    <w:rsid w:val="004B33AF"/>
    <w:rsid w:val="004C0C1E"/>
    <w:rsid w:val="004C0EE8"/>
    <w:rsid w:val="004F1403"/>
    <w:rsid w:val="005036E9"/>
    <w:rsid w:val="0050511B"/>
    <w:rsid w:val="0050571A"/>
    <w:rsid w:val="00512E0F"/>
    <w:rsid w:val="00531F71"/>
    <w:rsid w:val="00584E47"/>
    <w:rsid w:val="005A4108"/>
    <w:rsid w:val="005B2B63"/>
    <w:rsid w:val="005B4E49"/>
    <w:rsid w:val="005C4C04"/>
    <w:rsid w:val="00601E31"/>
    <w:rsid w:val="00612106"/>
    <w:rsid w:val="0062411D"/>
    <w:rsid w:val="0063681F"/>
    <w:rsid w:val="00643064"/>
    <w:rsid w:val="0064778F"/>
    <w:rsid w:val="006545A8"/>
    <w:rsid w:val="0066334D"/>
    <w:rsid w:val="00664138"/>
    <w:rsid w:val="006A33CA"/>
    <w:rsid w:val="006A78D7"/>
    <w:rsid w:val="006D36DC"/>
    <w:rsid w:val="006E018F"/>
    <w:rsid w:val="006F06D9"/>
    <w:rsid w:val="006F3859"/>
    <w:rsid w:val="006F43A9"/>
    <w:rsid w:val="0070634B"/>
    <w:rsid w:val="00706590"/>
    <w:rsid w:val="00722B3C"/>
    <w:rsid w:val="007245C5"/>
    <w:rsid w:val="00730F43"/>
    <w:rsid w:val="00734FCB"/>
    <w:rsid w:val="0073658C"/>
    <w:rsid w:val="00773556"/>
    <w:rsid w:val="00790F4B"/>
    <w:rsid w:val="007B272C"/>
    <w:rsid w:val="007B6925"/>
    <w:rsid w:val="007B7A05"/>
    <w:rsid w:val="007C14D7"/>
    <w:rsid w:val="007F372C"/>
    <w:rsid w:val="007F3CB1"/>
    <w:rsid w:val="00802C80"/>
    <w:rsid w:val="00807FF9"/>
    <w:rsid w:val="0081739E"/>
    <w:rsid w:val="00830601"/>
    <w:rsid w:val="00834906"/>
    <w:rsid w:val="008422B7"/>
    <w:rsid w:val="008439C4"/>
    <w:rsid w:val="008549DF"/>
    <w:rsid w:val="0086066D"/>
    <w:rsid w:val="0086482D"/>
    <w:rsid w:val="008F3D83"/>
    <w:rsid w:val="00906372"/>
    <w:rsid w:val="00910E2B"/>
    <w:rsid w:val="00912113"/>
    <w:rsid w:val="00923035"/>
    <w:rsid w:val="00924500"/>
    <w:rsid w:val="0092754F"/>
    <w:rsid w:val="009306B3"/>
    <w:rsid w:val="00936C34"/>
    <w:rsid w:val="00966B48"/>
    <w:rsid w:val="009834F0"/>
    <w:rsid w:val="009A5B4A"/>
    <w:rsid w:val="009C39FA"/>
    <w:rsid w:val="009D1017"/>
    <w:rsid w:val="009D41AB"/>
    <w:rsid w:val="00A0735D"/>
    <w:rsid w:val="00A269D5"/>
    <w:rsid w:val="00A316BB"/>
    <w:rsid w:val="00A35A97"/>
    <w:rsid w:val="00A61A28"/>
    <w:rsid w:val="00A62688"/>
    <w:rsid w:val="00AA0C64"/>
    <w:rsid w:val="00AD0332"/>
    <w:rsid w:val="00AE2EC6"/>
    <w:rsid w:val="00AE4C03"/>
    <w:rsid w:val="00AE6C53"/>
    <w:rsid w:val="00AF0671"/>
    <w:rsid w:val="00B06C82"/>
    <w:rsid w:val="00B102C6"/>
    <w:rsid w:val="00B224BC"/>
    <w:rsid w:val="00B4570C"/>
    <w:rsid w:val="00B66B60"/>
    <w:rsid w:val="00B91486"/>
    <w:rsid w:val="00B93A8F"/>
    <w:rsid w:val="00BA2AF8"/>
    <w:rsid w:val="00BA41DE"/>
    <w:rsid w:val="00BB1E36"/>
    <w:rsid w:val="00BB35F7"/>
    <w:rsid w:val="00BB6804"/>
    <w:rsid w:val="00BC52EF"/>
    <w:rsid w:val="00BD7409"/>
    <w:rsid w:val="00BE19B3"/>
    <w:rsid w:val="00C0152E"/>
    <w:rsid w:val="00C05A40"/>
    <w:rsid w:val="00C07C2E"/>
    <w:rsid w:val="00C331F1"/>
    <w:rsid w:val="00C37713"/>
    <w:rsid w:val="00C65A25"/>
    <w:rsid w:val="00C75C67"/>
    <w:rsid w:val="00C8000D"/>
    <w:rsid w:val="00C87A0E"/>
    <w:rsid w:val="00C900CC"/>
    <w:rsid w:val="00C93563"/>
    <w:rsid w:val="00CB4AA7"/>
    <w:rsid w:val="00CD4A4B"/>
    <w:rsid w:val="00CE4CEB"/>
    <w:rsid w:val="00CF028D"/>
    <w:rsid w:val="00D3548F"/>
    <w:rsid w:val="00D3693D"/>
    <w:rsid w:val="00D43A9A"/>
    <w:rsid w:val="00D6551B"/>
    <w:rsid w:val="00D77368"/>
    <w:rsid w:val="00D9627D"/>
    <w:rsid w:val="00D971C4"/>
    <w:rsid w:val="00DA4A96"/>
    <w:rsid w:val="00DC13BE"/>
    <w:rsid w:val="00DD5138"/>
    <w:rsid w:val="00DD78AD"/>
    <w:rsid w:val="00E0113A"/>
    <w:rsid w:val="00E018DE"/>
    <w:rsid w:val="00E36D6A"/>
    <w:rsid w:val="00E37657"/>
    <w:rsid w:val="00E4183B"/>
    <w:rsid w:val="00E441D0"/>
    <w:rsid w:val="00E54B65"/>
    <w:rsid w:val="00E567C2"/>
    <w:rsid w:val="00E5710D"/>
    <w:rsid w:val="00E631FE"/>
    <w:rsid w:val="00E63E53"/>
    <w:rsid w:val="00E731C3"/>
    <w:rsid w:val="00E9122A"/>
    <w:rsid w:val="00EB16F7"/>
    <w:rsid w:val="00EC034A"/>
    <w:rsid w:val="00ED3B0D"/>
    <w:rsid w:val="00EE2820"/>
    <w:rsid w:val="00F03CE2"/>
    <w:rsid w:val="00F051E0"/>
    <w:rsid w:val="00F14CE2"/>
    <w:rsid w:val="00F14ED4"/>
    <w:rsid w:val="00F46A65"/>
    <w:rsid w:val="00F520C1"/>
    <w:rsid w:val="00F62F27"/>
    <w:rsid w:val="00F74478"/>
    <w:rsid w:val="00F91EDE"/>
    <w:rsid w:val="00F95B31"/>
    <w:rsid w:val="00F976C3"/>
    <w:rsid w:val="00FA0E59"/>
    <w:rsid w:val="00FA6FCF"/>
    <w:rsid w:val="00FB64F2"/>
    <w:rsid w:val="193A32DB"/>
    <w:rsid w:val="34C63E24"/>
    <w:rsid w:val="3E061762"/>
    <w:rsid w:val="448E5E7F"/>
    <w:rsid w:val="477E3F9D"/>
    <w:rsid w:val="4E271118"/>
    <w:rsid w:val="4E9C50B5"/>
    <w:rsid w:val="66A712CB"/>
    <w:rsid w:val="681A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en-US" w:eastAsia="en-US" w:bidi="en-US"/>
    </w:rPr>
  </w:style>
  <w:style w:type="paragraph" w:styleId="2">
    <w:name w:val="heading 1"/>
    <w:basedOn w:val="1"/>
    <w:next w:val="1"/>
    <w:link w:val="28"/>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9"/>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30"/>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1"/>
    <w:semiHidden/>
    <w:unhideWhenUsed/>
    <w:qFormat/>
    <w:uiPriority w:val="9"/>
    <w:pPr>
      <w:keepNext/>
      <w:spacing w:before="240" w:after="60"/>
      <w:outlineLvl w:val="3"/>
    </w:pPr>
    <w:rPr>
      <w:b/>
      <w:bCs/>
      <w:sz w:val="28"/>
      <w:szCs w:val="28"/>
    </w:rPr>
  </w:style>
  <w:style w:type="paragraph" w:styleId="6">
    <w:name w:val="heading 5"/>
    <w:basedOn w:val="1"/>
    <w:next w:val="1"/>
    <w:link w:val="32"/>
    <w:semiHidden/>
    <w:unhideWhenUsed/>
    <w:qFormat/>
    <w:uiPriority w:val="9"/>
    <w:pPr>
      <w:spacing w:before="240" w:after="60"/>
      <w:outlineLvl w:val="4"/>
    </w:pPr>
    <w:rPr>
      <w:b/>
      <w:bCs/>
      <w:i/>
      <w:iCs/>
      <w:sz w:val="26"/>
      <w:szCs w:val="26"/>
    </w:rPr>
  </w:style>
  <w:style w:type="paragraph" w:styleId="7">
    <w:name w:val="heading 6"/>
    <w:basedOn w:val="1"/>
    <w:next w:val="1"/>
    <w:link w:val="33"/>
    <w:semiHidden/>
    <w:unhideWhenUsed/>
    <w:qFormat/>
    <w:uiPriority w:val="9"/>
    <w:pPr>
      <w:spacing w:before="240" w:after="60"/>
      <w:outlineLvl w:val="5"/>
    </w:pPr>
    <w:rPr>
      <w:b/>
      <w:bCs/>
      <w:sz w:val="22"/>
      <w:szCs w:val="22"/>
    </w:rPr>
  </w:style>
  <w:style w:type="paragraph" w:styleId="8">
    <w:name w:val="heading 7"/>
    <w:basedOn w:val="1"/>
    <w:next w:val="1"/>
    <w:link w:val="34"/>
    <w:semiHidden/>
    <w:unhideWhenUsed/>
    <w:qFormat/>
    <w:uiPriority w:val="9"/>
    <w:pPr>
      <w:spacing w:before="240" w:after="60"/>
      <w:outlineLvl w:val="6"/>
    </w:pPr>
  </w:style>
  <w:style w:type="paragraph" w:styleId="9">
    <w:name w:val="heading 8"/>
    <w:basedOn w:val="1"/>
    <w:next w:val="1"/>
    <w:link w:val="35"/>
    <w:semiHidden/>
    <w:unhideWhenUsed/>
    <w:qFormat/>
    <w:uiPriority w:val="9"/>
    <w:pPr>
      <w:spacing w:before="240" w:after="60"/>
      <w:outlineLvl w:val="7"/>
    </w:pPr>
    <w:rPr>
      <w:i/>
      <w:iCs/>
    </w:rPr>
  </w:style>
  <w:style w:type="paragraph" w:styleId="10">
    <w:name w:val="heading 9"/>
    <w:basedOn w:val="1"/>
    <w:next w:val="1"/>
    <w:link w:val="36"/>
    <w:semiHidden/>
    <w:unhideWhenUsed/>
    <w:qFormat/>
    <w:uiPriority w:val="9"/>
    <w:pPr>
      <w:spacing w:before="240" w:after="60"/>
      <w:outlineLvl w:val="8"/>
    </w:pPr>
    <w:rPr>
      <w:rFonts w:asciiTheme="majorHAnsi" w:hAnsiTheme="majorHAnsi" w:eastAsiaTheme="majorEastAsia"/>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2"/>
    <w:semiHidden/>
    <w:unhideWhenUsed/>
    <w:qFormat/>
    <w:uiPriority w:val="99"/>
    <w:pPr>
      <w:spacing w:after="120"/>
    </w:pPr>
  </w:style>
  <w:style w:type="paragraph" w:styleId="12">
    <w:name w:val="toc 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footer"/>
    <w:basedOn w:val="1"/>
    <w:link w:val="27"/>
    <w:semiHidden/>
    <w:unhideWhenUsed/>
    <w:qFormat/>
    <w:uiPriority w:val="99"/>
    <w:pPr>
      <w:tabs>
        <w:tab w:val="center" w:pos="4153"/>
        <w:tab w:val="right" w:pos="8306"/>
      </w:tabs>
      <w:snapToGrid w:val="0"/>
    </w:pPr>
    <w:rPr>
      <w:sz w:val="18"/>
      <w:szCs w:val="18"/>
    </w:rPr>
  </w:style>
  <w:style w:type="paragraph" w:styleId="14">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link w:val="38"/>
    <w:qFormat/>
    <w:uiPriority w:val="11"/>
    <w:pPr>
      <w:spacing w:after="60"/>
      <w:jc w:val="center"/>
      <w:outlineLvl w:val="1"/>
    </w:pPr>
    <w:rPr>
      <w:rFonts w:asciiTheme="majorHAnsi" w:hAnsiTheme="majorHAnsi" w:eastAsiaTheme="majorEastAsia"/>
    </w:rPr>
  </w:style>
  <w:style w:type="paragraph" w:styleId="17">
    <w:name w:val="Body Text 2"/>
    <w:basedOn w:val="1"/>
    <w:link w:val="51"/>
    <w:unhideWhenUsed/>
    <w:qFormat/>
    <w:uiPriority w:val="99"/>
    <w:pPr>
      <w:widowControl w:val="0"/>
      <w:spacing w:after="120" w:line="480" w:lineRule="auto"/>
      <w:jc w:val="both"/>
    </w:pPr>
    <w:rPr>
      <w:rFonts w:ascii="Calibri" w:hAnsi="Calibri" w:eastAsia="宋体"/>
      <w:kern w:val="2"/>
      <w:sz w:val="21"/>
      <w:szCs w:val="22"/>
      <w:lang w:eastAsia="zh-CN" w:bidi="ar-SA"/>
    </w:rPr>
  </w:style>
  <w:style w:type="paragraph" w:styleId="18">
    <w:name w:val="Normal (Web)"/>
    <w:basedOn w:val="1"/>
    <w:semiHidden/>
    <w:unhideWhenUsed/>
    <w:qFormat/>
    <w:uiPriority w:val="99"/>
    <w:pPr>
      <w:spacing w:before="100" w:beforeAutospacing="1" w:after="142" w:line="276" w:lineRule="auto"/>
      <w:jc w:val="both"/>
    </w:pPr>
    <w:rPr>
      <w:rFonts w:ascii="宋体" w:hAnsi="宋体" w:eastAsia="宋体" w:cs="宋体"/>
      <w:color w:val="000000"/>
      <w:lang w:eastAsia="zh-CN" w:bidi="ar-SA"/>
    </w:rPr>
  </w:style>
  <w:style w:type="paragraph" w:styleId="19">
    <w:name w:val="Title"/>
    <w:basedOn w:val="1"/>
    <w:next w:val="1"/>
    <w:link w:val="37"/>
    <w:qFormat/>
    <w:uiPriority w:val="10"/>
    <w:pPr>
      <w:spacing w:before="240" w:after="60"/>
      <w:jc w:val="center"/>
      <w:outlineLvl w:val="0"/>
    </w:pPr>
    <w:rPr>
      <w:rFonts w:asciiTheme="majorHAnsi" w:hAnsiTheme="majorHAnsi" w:eastAsiaTheme="majorEastAsia"/>
      <w:b/>
      <w:bCs/>
      <w:kern w:val="28"/>
      <w:sz w:val="32"/>
      <w:szCs w:val="32"/>
    </w:rPr>
  </w:style>
  <w:style w:type="table" w:styleId="21">
    <w:name w:val="Table Grid"/>
    <w:basedOn w:val="20"/>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Emphasis"/>
    <w:basedOn w:val="22"/>
    <w:qFormat/>
    <w:uiPriority w:val="20"/>
    <w:rPr>
      <w:rFonts w:asciiTheme="minorHAnsi" w:hAnsiTheme="minorHAnsi"/>
      <w:b/>
      <w:i/>
      <w:iCs/>
    </w:rPr>
  </w:style>
  <w:style w:type="paragraph" w:styleId="25">
    <w:name w:val="List Paragraph"/>
    <w:basedOn w:val="1"/>
    <w:qFormat/>
    <w:uiPriority w:val="34"/>
    <w:pPr>
      <w:ind w:left="720"/>
      <w:contextualSpacing/>
    </w:pPr>
  </w:style>
  <w:style w:type="character" w:customStyle="1" w:styleId="26">
    <w:name w:val="页眉 Char"/>
    <w:basedOn w:val="22"/>
    <w:link w:val="14"/>
    <w:semiHidden/>
    <w:qFormat/>
    <w:uiPriority w:val="99"/>
    <w:rPr>
      <w:sz w:val="18"/>
      <w:szCs w:val="18"/>
    </w:rPr>
  </w:style>
  <w:style w:type="character" w:customStyle="1" w:styleId="27">
    <w:name w:val="页脚 Char"/>
    <w:basedOn w:val="22"/>
    <w:link w:val="13"/>
    <w:semiHidden/>
    <w:qFormat/>
    <w:uiPriority w:val="99"/>
    <w:rPr>
      <w:sz w:val="18"/>
      <w:szCs w:val="18"/>
    </w:rPr>
  </w:style>
  <w:style w:type="character" w:customStyle="1" w:styleId="28">
    <w:name w:val="标题 1 Char"/>
    <w:basedOn w:val="22"/>
    <w:link w:val="2"/>
    <w:qFormat/>
    <w:uiPriority w:val="9"/>
    <w:rPr>
      <w:rFonts w:asciiTheme="majorHAnsi" w:hAnsiTheme="majorHAnsi" w:eastAsiaTheme="majorEastAsia"/>
      <w:b/>
      <w:bCs/>
      <w:kern w:val="32"/>
      <w:sz w:val="32"/>
      <w:szCs w:val="32"/>
    </w:rPr>
  </w:style>
  <w:style w:type="character" w:customStyle="1" w:styleId="29">
    <w:name w:val="标题 2 Char"/>
    <w:basedOn w:val="22"/>
    <w:link w:val="3"/>
    <w:semiHidden/>
    <w:qFormat/>
    <w:uiPriority w:val="9"/>
    <w:rPr>
      <w:rFonts w:asciiTheme="majorHAnsi" w:hAnsiTheme="majorHAnsi" w:eastAsiaTheme="majorEastAsia"/>
      <w:b/>
      <w:bCs/>
      <w:i/>
      <w:iCs/>
      <w:sz w:val="28"/>
      <w:szCs w:val="28"/>
    </w:rPr>
  </w:style>
  <w:style w:type="character" w:customStyle="1" w:styleId="30">
    <w:name w:val="标题 3 Char"/>
    <w:basedOn w:val="22"/>
    <w:link w:val="4"/>
    <w:semiHidden/>
    <w:qFormat/>
    <w:uiPriority w:val="9"/>
    <w:rPr>
      <w:rFonts w:asciiTheme="majorHAnsi" w:hAnsiTheme="majorHAnsi" w:eastAsiaTheme="majorEastAsia"/>
      <w:b/>
      <w:bCs/>
      <w:sz w:val="26"/>
      <w:szCs w:val="26"/>
    </w:rPr>
  </w:style>
  <w:style w:type="character" w:customStyle="1" w:styleId="31">
    <w:name w:val="标题 4 Char"/>
    <w:basedOn w:val="22"/>
    <w:link w:val="5"/>
    <w:qFormat/>
    <w:uiPriority w:val="9"/>
    <w:rPr>
      <w:b/>
      <w:bCs/>
      <w:sz w:val="28"/>
      <w:szCs w:val="28"/>
    </w:rPr>
  </w:style>
  <w:style w:type="character" w:customStyle="1" w:styleId="32">
    <w:name w:val="标题 5 Char"/>
    <w:basedOn w:val="22"/>
    <w:link w:val="6"/>
    <w:semiHidden/>
    <w:qFormat/>
    <w:uiPriority w:val="9"/>
    <w:rPr>
      <w:b/>
      <w:bCs/>
      <w:i/>
      <w:iCs/>
      <w:sz w:val="26"/>
      <w:szCs w:val="26"/>
    </w:rPr>
  </w:style>
  <w:style w:type="character" w:customStyle="1" w:styleId="33">
    <w:name w:val="标题 6 Char"/>
    <w:basedOn w:val="22"/>
    <w:link w:val="7"/>
    <w:semiHidden/>
    <w:qFormat/>
    <w:uiPriority w:val="9"/>
    <w:rPr>
      <w:b/>
      <w:bCs/>
    </w:rPr>
  </w:style>
  <w:style w:type="character" w:customStyle="1" w:styleId="34">
    <w:name w:val="标题 7 Char"/>
    <w:basedOn w:val="22"/>
    <w:link w:val="8"/>
    <w:semiHidden/>
    <w:qFormat/>
    <w:uiPriority w:val="9"/>
    <w:rPr>
      <w:sz w:val="24"/>
      <w:szCs w:val="24"/>
    </w:rPr>
  </w:style>
  <w:style w:type="character" w:customStyle="1" w:styleId="35">
    <w:name w:val="标题 8 Char"/>
    <w:basedOn w:val="22"/>
    <w:link w:val="9"/>
    <w:semiHidden/>
    <w:qFormat/>
    <w:uiPriority w:val="9"/>
    <w:rPr>
      <w:i/>
      <w:iCs/>
      <w:sz w:val="24"/>
      <w:szCs w:val="24"/>
    </w:rPr>
  </w:style>
  <w:style w:type="character" w:customStyle="1" w:styleId="36">
    <w:name w:val="标题 9 Char"/>
    <w:basedOn w:val="22"/>
    <w:link w:val="10"/>
    <w:semiHidden/>
    <w:qFormat/>
    <w:uiPriority w:val="9"/>
    <w:rPr>
      <w:rFonts w:asciiTheme="majorHAnsi" w:hAnsiTheme="majorHAnsi" w:eastAsiaTheme="majorEastAsia"/>
    </w:rPr>
  </w:style>
  <w:style w:type="character" w:customStyle="1" w:styleId="37">
    <w:name w:val="标题 Char"/>
    <w:basedOn w:val="22"/>
    <w:link w:val="19"/>
    <w:qFormat/>
    <w:uiPriority w:val="10"/>
    <w:rPr>
      <w:rFonts w:asciiTheme="majorHAnsi" w:hAnsiTheme="majorHAnsi" w:eastAsiaTheme="majorEastAsia"/>
      <w:b/>
      <w:bCs/>
      <w:kern w:val="28"/>
      <w:sz w:val="32"/>
      <w:szCs w:val="32"/>
    </w:rPr>
  </w:style>
  <w:style w:type="character" w:customStyle="1" w:styleId="38">
    <w:name w:val="副标题 Char"/>
    <w:basedOn w:val="22"/>
    <w:link w:val="16"/>
    <w:qFormat/>
    <w:uiPriority w:val="11"/>
    <w:rPr>
      <w:rFonts w:asciiTheme="majorHAnsi" w:hAnsiTheme="majorHAnsi" w:eastAsiaTheme="majorEastAsia"/>
      <w:sz w:val="24"/>
      <w:szCs w:val="24"/>
    </w:rPr>
  </w:style>
  <w:style w:type="paragraph" w:styleId="39">
    <w:name w:val="No Spacing"/>
    <w:basedOn w:val="1"/>
    <w:qFormat/>
    <w:uiPriority w:val="1"/>
    <w:rPr>
      <w:szCs w:val="32"/>
    </w:rPr>
  </w:style>
  <w:style w:type="paragraph" w:styleId="40">
    <w:name w:val="Quote"/>
    <w:basedOn w:val="1"/>
    <w:next w:val="1"/>
    <w:link w:val="41"/>
    <w:qFormat/>
    <w:uiPriority w:val="29"/>
    <w:rPr>
      <w:i/>
    </w:rPr>
  </w:style>
  <w:style w:type="character" w:customStyle="1" w:styleId="41">
    <w:name w:val="引用 Char"/>
    <w:basedOn w:val="22"/>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Char"/>
    <w:basedOn w:val="22"/>
    <w:link w:val="42"/>
    <w:qFormat/>
    <w:uiPriority w:val="30"/>
    <w:rPr>
      <w:b/>
      <w:i/>
      <w:sz w:val="24"/>
    </w:rPr>
  </w:style>
  <w:style w:type="character" w:customStyle="1" w:styleId="44">
    <w:name w:val="Subtle Emphasis"/>
    <w:qFormat/>
    <w:uiPriority w:val="19"/>
    <w:rPr>
      <w:i/>
      <w:color w:val="595959" w:themeColor="text1" w:themeTint="A5"/>
    </w:rPr>
  </w:style>
  <w:style w:type="character" w:customStyle="1" w:styleId="45">
    <w:name w:val="Intense Emphasis"/>
    <w:basedOn w:val="22"/>
    <w:qFormat/>
    <w:uiPriority w:val="21"/>
    <w:rPr>
      <w:b/>
      <w:i/>
      <w:sz w:val="24"/>
      <w:szCs w:val="24"/>
      <w:u w:val="single"/>
    </w:rPr>
  </w:style>
  <w:style w:type="character" w:customStyle="1" w:styleId="46">
    <w:name w:val="Subtle Reference"/>
    <w:basedOn w:val="22"/>
    <w:qFormat/>
    <w:uiPriority w:val="31"/>
    <w:rPr>
      <w:sz w:val="24"/>
      <w:szCs w:val="24"/>
      <w:u w:val="single"/>
    </w:rPr>
  </w:style>
  <w:style w:type="character" w:customStyle="1" w:styleId="47">
    <w:name w:val="Intense Reference"/>
    <w:basedOn w:val="22"/>
    <w:qFormat/>
    <w:uiPriority w:val="32"/>
    <w:rPr>
      <w:b/>
      <w:sz w:val="24"/>
      <w:u w:val="single"/>
    </w:rPr>
  </w:style>
  <w:style w:type="character" w:customStyle="1" w:styleId="48">
    <w:name w:val="Book Title"/>
    <w:basedOn w:val="22"/>
    <w:qFormat/>
    <w:uiPriority w:val="33"/>
    <w:rPr>
      <w:rFonts w:asciiTheme="majorHAnsi" w:hAnsiTheme="majorHAnsi" w:eastAsiaTheme="majorEastAsia"/>
      <w:b/>
      <w:i/>
      <w:sz w:val="24"/>
      <w:szCs w:val="24"/>
    </w:rPr>
  </w:style>
  <w:style w:type="paragraph" w:customStyle="1" w:styleId="49">
    <w:name w:val="TOC Heading"/>
    <w:basedOn w:val="2"/>
    <w:next w:val="1"/>
    <w:semiHidden/>
    <w:unhideWhenUsed/>
    <w:qFormat/>
    <w:uiPriority w:val="39"/>
    <w:pPr>
      <w:outlineLvl w:val="9"/>
    </w:pPr>
  </w:style>
  <w:style w:type="paragraph" w:customStyle="1" w:styleId="50">
    <w:name w:val="p0"/>
    <w:basedOn w:val="1"/>
    <w:qFormat/>
    <w:uiPriority w:val="0"/>
    <w:pPr>
      <w:jc w:val="both"/>
    </w:pPr>
    <w:rPr>
      <w:rFonts w:ascii="Calibri" w:hAnsi="Calibri" w:eastAsia="宋体"/>
      <w:sz w:val="21"/>
      <w:szCs w:val="21"/>
      <w:lang w:eastAsia="zh-CN" w:bidi="ar-SA"/>
    </w:rPr>
  </w:style>
  <w:style w:type="character" w:customStyle="1" w:styleId="51">
    <w:name w:val="正文文本 2 Char"/>
    <w:basedOn w:val="22"/>
    <w:link w:val="17"/>
    <w:qFormat/>
    <w:uiPriority w:val="99"/>
    <w:rPr>
      <w:rFonts w:ascii="Calibri" w:hAnsi="Calibri" w:eastAsia="宋体"/>
      <w:kern w:val="2"/>
      <w:sz w:val="21"/>
      <w:lang w:eastAsia="zh-CN" w:bidi="ar-SA"/>
    </w:rPr>
  </w:style>
  <w:style w:type="character" w:customStyle="1" w:styleId="52">
    <w:name w:val="正文文本 Char"/>
    <w:basedOn w:val="22"/>
    <w:link w:val="11"/>
    <w:semiHidden/>
    <w:qFormat/>
    <w:uiPriority w:val="99"/>
    <w:rPr>
      <w:sz w:val="24"/>
      <w:szCs w:val="24"/>
    </w:rPr>
  </w:style>
  <w:style w:type="paragraph" w:customStyle="1" w:styleId="53">
    <w:name w:val="cjk"/>
    <w:basedOn w:val="1"/>
    <w:qFormat/>
    <w:uiPriority w:val="0"/>
    <w:pPr>
      <w:spacing w:before="100" w:beforeAutospacing="1" w:after="142" w:line="276" w:lineRule="auto"/>
      <w:jc w:val="both"/>
    </w:pPr>
    <w:rPr>
      <w:rFonts w:ascii="宋体" w:hAnsi="宋体" w:eastAsia="宋体" w:cs="宋体"/>
      <w:color w:val="000000"/>
      <w:sz w:val="20"/>
      <w:szCs w:val="20"/>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4468-FC04-4568-AEF3-7EA990D3049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14</Pages>
  <Words>6286</Words>
  <Characters>6734</Characters>
  <Lines>54</Lines>
  <Paragraphs>15</Paragraphs>
  <TotalTime>18</TotalTime>
  <ScaleCrop>false</ScaleCrop>
  <LinksUpToDate>false</LinksUpToDate>
  <CharactersWithSpaces>6803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2019-10-16T07:46:00Z</dcterms:created>
  <dc:creator>China</dc:creator>
  <cp:lastModifiedBy>Administrator</cp:lastModifiedBy>
  <cp:lastPrinted>2023-04-04T08:06:00Z</cp:lastPrinted>
  <dcterms:modified xsi:type="dcterms:W3CDTF">2025-11-03T06:20:08Z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eyJoZGlkIjoiY2YxYTIyNTFkZjgwYWQ2MWM5NGYzOGZjZGQ3YzA4YjQifQ==</vt:lpwstr>
  </property>
  <property fmtid="{D5CDD505-2E9C-101B-9397-08002B2CF9AE}" pid="3" name="KSOProductBuildVer">
    <vt:lpwstr>2052-12.1.0.23125</vt:lpwstr>
  </property>
  <property fmtid="{D5CDD505-2E9C-101B-9397-08002B2CF9AE}" pid="4" name="ICV">
    <vt:lpwstr>83B3AAB723A34450B85FF61887801EFD_12</vt:lpwstr>
  </property>
</Properties>
</file>