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A5FB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桃江县公安局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2025年度涉企行政检查计划</w:t>
      </w:r>
    </w:p>
    <w:p w14:paraId="68EC653F">
      <w:r>
        <w:rPr>
          <w:rFonts w:hint="eastAsia"/>
        </w:rPr>
        <w:t xml:space="preserve">                                                                   </w:t>
      </w:r>
    </w:p>
    <w:tbl>
      <w:tblPr>
        <w:tblStyle w:val="3"/>
        <w:tblW w:w="13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716"/>
        <w:gridCol w:w="1308"/>
        <w:gridCol w:w="1439"/>
        <w:gridCol w:w="1955"/>
        <w:gridCol w:w="904"/>
        <w:gridCol w:w="853"/>
        <w:gridCol w:w="1918"/>
        <w:gridCol w:w="1435"/>
        <w:gridCol w:w="1175"/>
        <w:gridCol w:w="1422"/>
      </w:tblGrid>
      <w:tr w14:paraId="6867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2F46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D1A926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检查事项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D5620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实施依据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B395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具体检查对象(含数量)或“双随机”抽查对象（含总数及比例）</w:t>
            </w: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FCEEA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检查内容（项目）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7B6A16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拟实施检查时间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3496B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检查方式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A9153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年度检查频次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B1B0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D31FD6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是否属跨部门联合检查（如是，需写明牵头部门和配合部门）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CCD52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F9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E4F25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4A2ADD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对金融机构营业场所、金库安全防范设施建设的监管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B4BA8E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《金融机构营业场所和金库安全防范设施建设许可实施办法》（公安部令第86号）第十四条、十五条、十七条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35A114"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24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银行等金融机构的 营业场所及金库</w:t>
            </w:r>
          </w:p>
          <w:p w14:paraId="6AB72BAC"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24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（单位总数11家，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4B0D86BA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F44837"/>
                <w:sz w:val="21"/>
                <w:szCs w:val="21"/>
              </w:rPr>
            </w:pP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0732B">
            <w:pPr>
              <w:pStyle w:val="2"/>
              <w:widowControl/>
              <w:numPr>
                <w:ilvl w:val="0"/>
                <w:numId w:val="1"/>
              </w:numPr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安全防范设施配备与运行。2. 制度与流程管理。 3.信息技术与人员管理。4.抽查员工安全培训记录及安保人员资质。  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F57AB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4月-12月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2076C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C78AA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lang w:eastAsia="zh-CN"/>
              </w:rPr>
              <w:t>每年检查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lang w:val="en-US" w:eastAsia="zh-CN"/>
              </w:rPr>
              <w:t>2次</w:t>
            </w:r>
            <w:r>
              <w:rPr>
                <w:rFonts w:hint="eastAsia" w:asciiTheme="majorEastAsia" w:hAnsiTheme="majorEastAsia" w:eastAsiaTheme="majorEastAsia" w:cstheme="majorEastAsia"/>
                <w:color w:val="F44837"/>
                <w:sz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</w:rPr>
              <w:t xml:space="preserve">        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7DA45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桃江县公安局  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C5DD8">
            <w:pPr>
              <w:pStyle w:val="2"/>
              <w:widowControl/>
              <w:spacing w:beforeAutospacing="0" w:afterAutospacing="0" w:line="240" w:lineRule="exact"/>
              <w:jc w:val="both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否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674AD7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  <w:tr w14:paraId="166F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8F7A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56D24"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爆破作业</w:t>
            </w:r>
          </w:p>
          <w:p w14:paraId="167392B9">
            <w:pPr>
              <w:widowControl/>
              <w:spacing w:line="24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监管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1482D6"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《民用爆炸物品安全管理条例》（2006年5月国务院第466号令发布，2014年7月国务院令第653号修订）第四条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2E6B7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爆破作业单位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9家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07BFDDF6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02CF1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1、合同备案审查。包括现场核查；2、民爆物品购买、运输行政许可监督检查；3、民爆物品储存、运输、使用监督检查；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4、安全生产监督检查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032E40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1月至12月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C3DE0B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D3B61A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对每个单位每月检查一次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E51443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桃江县公安局  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CC5BDD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A7A6CD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  <w:tr w14:paraId="63F6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B2DE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B494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检查事项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1A761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实施依据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79EBE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具体检查对象(含数量)或“双随机”抽查对象（含总数及比例）</w:t>
            </w: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F79AC5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检查内容（项目）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E814D7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拟实施检查时间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F1375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检查方式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2D20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年度检查频次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9A60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B239D1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是否属跨部门联合检查（如是，需写明牵头部门和配合部门）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133E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FDD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38A1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EEB50"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剧毒易制爆危险化学品监管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7AC454"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《危险化学品安全管理条例》（2002年1月26日国务院令第344号，2013年12月7日予以修改） 第六条 、第七条、第八十一条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74950C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剧毒化学品易制爆危险化学品购买单位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24家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0300962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C1275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剧毒（易制爆）化学品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储存备案审查。包括现场核查；2、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剧毒（易制爆）化学品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储存、使用监督检查；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3、安全生产监督检查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20BF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4月至12月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CFD2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7785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对每个单位每季度检查一次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B5C7C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7F3D1D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C6236C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  <w:tr w14:paraId="55B4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13FC0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3F8474">
            <w:pPr>
              <w:widowControl/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第二、三类易制毒化学品综合监管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8D662">
            <w:pPr>
              <w:widowControl/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Cs w:val="21"/>
              </w:rPr>
              <w:t>《易制毒化学品管理条例》（国务院令第445号，2005年8月26日颁布）第十五条 、第三十二条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1F03E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第二、三类易制毒化学品销售、使用单位（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4587BB3D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  <w:p w14:paraId="24FB027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CB1313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易制毒化学品的购买、使用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179B83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4月-12月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4EFD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2FA68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1年不超过2次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2BA68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DCC38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8E8EC0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  <w:tr w14:paraId="7301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0B233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00E4D8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检查事项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EFEF7A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实施依据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2F7F9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具体检查对象(含数量)或“双随机”抽查对象（含总数及比例）</w:t>
            </w: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28E0E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检查内容（项目）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D0B3E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拟实施检查时间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6A864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检查方式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18518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年度检查频次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85B5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承办机构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7FD97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是否属跨部门联合检查（如是，需写明牵头部门和配合部门）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666D4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B41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276CB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E1196F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保安服务监管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2DDA1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《保安服务管理条例》(国务院令〔2009〕564号)第三条、第三十六条第二款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7A192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保安从业单位、保安培训单位（总数15家，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0415B9F1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F44837"/>
                <w:sz w:val="21"/>
                <w:szCs w:val="21"/>
              </w:rPr>
            </w:pPr>
          </w:p>
          <w:p w14:paraId="3EFD8BE8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F44837"/>
                <w:sz w:val="21"/>
                <w:szCs w:val="21"/>
              </w:rPr>
            </w:pP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89904">
            <w:pPr>
              <w:pStyle w:val="2"/>
              <w:widowControl/>
              <w:numPr>
                <w:ilvl w:val="0"/>
                <w:numId w:val="2"/>
              </w:numPr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保安从业单位：1、 管理制度与合同。 2、人员管理。3、设施安全。4、信息录入。二 、 保安培训单位 ： 1、培训合规性。2、备案情况。  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65D59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4月-12月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70498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B16E3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1、公安机关治安部门每季度至少抽查1次/；          2、派出所对自招保安单位每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次。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E753F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桃江县公安局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2BC73F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是（牵头：公安局；配合：人社局）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87B3B0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  <w:tr w14:paraId="553F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5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3E722C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7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35D0DB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旅馆业监管</w:t>
            </w:r>
          </w:p>
        </w:tc>
        <w:tc>
          <w:tcPr>
            <w:tcW w:w="13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03645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《旅馆业治安管理办法》第十四条</w:t>
            </w:r>
          </w:p>
        </w:tc>
        <w:tc>
          <w:tcPr>
            <w:tcW w:w="143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AB1033"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24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酒店、宾馆、旅店等</w:t>
            </w:r>
          </w:p>
          <w:p w14:paraId="217C4B33">
            <w:pPr>
              <w:pStyle w:val="2"/>
              <w:widowControl/>
              <w:numPr>
                <w:ilvl w:val="0"/>
                <w:numId w:val="0"/>
              </w:numPr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（单位总数113家，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专项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检查比例100%，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双随机一公开抽取5%）</w:t>
            </w:r>
          </w:p>
          <w:p w14:paraId="23DD53F8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color w:val="F44837"/>
                <w:sz w:val="21"/>
                <w:szCs w:val="21"/>
              </w:rPr>
            </w:pPr>
          </w:p>
        </w:tc>
        <w:tc>
          <w:tcPr>
            <w:tcW w:w="19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7D538D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1. 消防安全设施。2. 视频监控系统。3. 实名登记制度。4. 治安管理信息系统。5. 安全管理制度。6. 禁止违法活动。</w:t>
            </w:r>
          </w:p>
        </w:tc>
        <w:tc>
          <w:tcPr>
            <w:tcW w:w="90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6A10C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4月-12月</w:t>
            </w:r>
          </w:p>
        </w:tc>
        <w:tc>
          <w:tcPr>
            <w:tcW w:w="8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94263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现场检查、非现场检查相结合</w:t>
            </w:r>
          </w:p>
        </w:tc>
        <w:tc>
          <w:tcPr>
            <w:tcW w:w="19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D3BB0">
            <w:pPr>
              <w:pStyle w:val="2"/>
              <w:widowControl/>
              <w:spacing w:beforeAutospacing="0" w:afterAutospacing="0" w:line="240" w:lineRule="exact"/>
              <w:jc w:val="left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44837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公安机关治安部门每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季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度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检查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1次。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F44837"/>
                <w:sz w:val="21"/>
                <w:szCs w:val="21"/>
              </w:rPr>
              <w:t xml:space="preserve">   </w:t>
            </w:r>
          </w:p>
        </w:tc>
        <w:tc>
          <w:tcPr>
            <w:tcW w:w="14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54A50E">
            <w:pPr>
              <w:pStyle w:val="2"/>
              <w:widowControl/>
              <w:spacing w:beforeAutospacing="0" w:afterAutospacing="0" w:line="240" w:lineRule="exact"/>
              <w:rPr>
                <w:rFonts w:asciiTheme="majorEastAsia" w:hAnsiTheme="majorEastAsia" w:eastAsiaTheme="majorEastAsia" w:cstheme="majorEastAsia"/>
                <w:sz w:val="21"/>
              </w:rPr>
            </w:pPr>
            <w:r>
              <w:rPr>
                <w:rFonts w:asciiTheme="majorEastAsia" w:hAnsiTheme="majorEastAsia" w:eastAsiaTheme="majorEastAsia" w:cstheme="majorEastAsia"/>
                <w:sz w:val="21"/>
              </w:rPr>
              <w:t>桃江县公安局</w:t>
            </w:r>
          </w:p>
        </w:tc>
        <w:tc>
          <w:tcPr>
            <w:tcW w:w="11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3BA5E2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是（</w:t>
            </w:r>
            <w:bookmarkStart w:id="0" w:name="OLE_LINK3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牵头：公安局；配合：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市监局、文体广新局）</w:t>
            </w:r>
          </w:p>
        </w:tc>
        <w:tc>
          <w:tcPr>
            <w:tcW w:w="14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F7B2A">
            <w:pPr>
              <w:pStyle w:val="2"/>
              <w:widowControl/>
              <w:spacing w:beforeAutospacing="0" w:afterAutospacing="0"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专项检查、双随机一公开</w:t>
            </w:r>
          </w:p>
        </w:tc>
      </w:tr>
    </w:tbl>
    <w:p w14:paraId="461D7EA3"/>
    <w:sectPr>
      <w:pgSz w:w="16838" w:h="11906" w:orient="landscape"/>
      <w:pgMar w:top="89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9EFD3"/>
    <w:multiLevelType w:val="singleLevel"/>
    <w:tmpl w:val="AEE9EFD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DE5085A"/>
    <w:multiLevelType w:val="singleLevel"/>
    <w:tmpl w:val="1DE508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1FC6"/>
    <w:rsid w:val="001825CC"/>
    <w:rsid w:val="001F198F"/>
    <w:rsid w:val="00241C80"/>
    <w:rsid w:val="002574E3"/>
    <w:rsid w:val="003E12EE"/>
    <w:rsid w:val="0042661E"/>
    <w:rsid w:val="0049643D"/>
    <w:rsid w:val="004A28A8"/>
    <w:rsid w:val="004B46FD"/>
    <w:rsid w:val="00560743"/>
    <w:rsid w:val="006D450C"/>
    <w:rsid w:val="007A4F93"/>
    <w:rsid w:val="00851818"/>
    <w:rsid w:val="008B4466"/>
    <w:rsid w:val="0091127F"/>
    <w:rsid w:val="00B3338E"/>
    <w:rsid w:val="00C871B7"/>
    <w:rsid w:val="00D457A7"/>
    <w:rsid w:val="00D71083"/>
    <w:rsid w:val="00D843C4"/>
    <w:rsid w:val="00E55094"/>
    <w:rsid w:val="00E81062"/>
    <w:rsid w:val="00FE12EC"/>
    <w:rsid w:val="05980437"/>
    <w:rsid w:val="0914053F"/>
    <w:rsid w:val="0BE43F91"/>
    <w:rsid w:val="11781AAC"/>
    <w:rsid w:val="12802E2E"/>
    <w:rsid w:val="14E80F29"/>
    <w:rsid w:val="27016E0B"/>
    <w:rsid w:val="27066EC0"/>
    <w:rsid w:val="2BE85EC6"/>
    <w:rsid w:val="35107C80"/>
    <w:rsid w:val="3D1377D5"/>
    <w:rsid w:val="3D8449A1"/>
    <w:rsid w:val="3F23307D"/>
    <w:rsid w:val="426062F6"/>
    <w:rsid w:val="544F3B03"/>
    <w:rsid w:val="60870181"/>
    <w:rsid w:val="69111FC6"/>
    <w:rsid w:val="693E16C7"/>
    <w:rsid w:val="69680F41"/>
    <w:rsid w:val="6BDF70C3"/>
    <w:rsid w:val="6CFE7A1D"/>
    <w:rsid w:val="6F605B83"/>
    <w:rsid w:val="70424902"/>
    <w:rsid w:val="712A3F42"/>
    <w:rsid w:val="7ED03D29"/>
    <w:rsid w:val="7F2E0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3</Pages>
  <Words>1484</Words>
  <Characters>1577</Characters>
  <Lines>12</Lines>
  <Paragraphs>3</Paragraphs>
  <TotalTime>4</TotalTime>
  <ScaleCrop>false</ScaleCrop>
  <LinksUpToDate>false</LinksUpToDate>
  <CharactersWithSpaces>1714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2025-04-16T00:44:00Z</dcterms:created>
  <dc:creator>Administrator</dc:creator>
  <cp:lastModifiedBy>z</cp:lastModifiedBy>
  <dcterms:modified xsi:type="dcterms:W3CDTF">2025-07-04T07:45:14Z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9D616AA7FF9445E88039EEC320506876_13</vt:lpwstr>
  </property>
  <property fmtid="{D5CDD505-2E9C-101B-9397-08002B2CF9AE}" pid="4" name="KSOTemplateDocerSaveRecord">
    <vt:lpwstr>eyJoZGlkIjoiZWVhMDA4YTZmZDA4MmI4MGFmYzhkYmFmNGJiOGY2OWIiLCJ1c2VySWQiOiIyNDk4MzExMzgifQ==</vt:lpwstr>
  </property>
</Properties>
</file>