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550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2024年</w:t>
      </w:r>
      <w:r>
        <w:rPr>
          <w:rFonts w:hint="eastAsia" w:ascii="方正小标宋简体" w:hAnsi="方正小标宋简体" w:eastAsia="方正小标宋简体" w:cs="方正小标宋简体"/>
          <w:b/>
          <w:bCs/>
          <w:sz w:val="44"/>
          <w:szCs w:val="44"/>
        </w:rPr>
        <w:t>法治</w:t>
      </w:r>
      <w:r>
        <w:rPr>
          <w:rFonts w:hint="eastAsia" w:ascii="方正小标宋简体" w:hAnsi="方正小标宋简体" w:eastAsia="方正小标宋简体" w:cs="方正小标宋简体"/>
          <w:b/>
          <w:bCs/>
          <w:sz w:val="44"/>
          <w:szCs w:val="44"/>
          <w:lang w:eastAsia="zh-CN"/>
        </w:rPr>
        <w:t>政府</w:t>
      </w:r>
      <w:r>
        <w:rPr>
          <w:rFonts w:hint="eastAsia" w:ascii="方正小标宋简体" w:hAnsi="方正小标宋简体" w:eastAsia="方正小标宋简体" w:cs="方正小标宋简体"/>
          <w:b/>
          <w:bCs/>
          <w:sz w:val="44"/>
          <w:szCs w:val="44"/>
        </w:rPr>
        <w:t>建设工作</w:t>
      </w:r>
      <w:r>
        <w:rPr>
          <w:rFonts w:hint="eastAsia" w:ascii="方正小标宋简体" w:hAnsi="方正小标宋简体" w:eastAsia="方正小标宋简体" w:cs="方正小标宋简体"/>
          <w:b/>
          <w:bCs/>
          <w:sz w:val="44"/>
          <w:szCs w:val="44"/>
          <w:lang w:eastAsia="zh-CN"/>
        </w:rPr>
        <w:t>报告</w:t>
      </w:r>
    </w:p>
    <w:p w14:paraId="1C69511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桃江县市场监督管理局</w:t>
      </w:r>
    </w:p>
    <w:p w14:paraId="4B94DAC7">
      <w:pPr>
        <w:rPr>
          <w:rFonts w:hint="eastAsia"/>
        </w:rPr>
      </w:pPr>
    </w:p>
    <w:p w14:paraId="78DBB84E">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，桃江县市场监督管理局</w:t>
      </w:r>
      <w:r>
        <w:rPr>
          <w:rFonts w:hint="eastAsia" w:ascii="仿宋_GB2312" w:eastAsia="仿宋_GB2312"/>
          <w:sz w:val="32"/>
          <w:szCs w:val="32"/>
        </w:rPr>
        <w:t>坚持以习近平新时代中国特色社会主义思想为指导，深入贯彻党的二十大</w:t>
      </w:r>
      <w:r>
        <w:rPr>
          <w:rFonts w:hint="eastAsia" w:ascii="仿宋_GB2312" w:eastAsia="仿宋_GB2312"/>
          <w:sz w:val="32"/>
          <w:szCs w:val="32"/>
          <w:lang w:eastAsia="zh-CN"/>
        </w:rPr>
        <w:t>和二十届三中全会</w:t>
      </w:r>
      <w:r>
        <w:rPr>
          <w:rFonts w:hint="eastAsia" w:ascii="仿宋_GB2312" w:eastAsia="仿宋_GB2312"/>
          <w:sz w:val="32"/>
          <w:szCs w:val="32"/>
        </w:rPr>
        <w:t>精神，认真落实上级关于推进法治政府建设的各项决策部署</w:t>
      </w:r>
      <w:r>
        <w:rPr>
          <w:rFonts w:hint="eastAsia" w:ascii="仿宋_GB2312" w:eastAsia="仿宋_GB2312"/>
          <w:sz w:val="32"/>
          <w:szCs w:val="32"/>
          <w:lang w:eastAsia="zh-CN"/>
        </w:rPr>
        <w:t>，</w:t>
      </w:r>
      <w:r>
        <w:rPr>
          <w:rFonts w:hint="eastAsia" w:ascii="仿宋_GB2312" w:eastAsia="仿宋_GB2312"/>
          <w:sz w:val="32"/>
          <w:szCs w:val="32"/>
        </w:rPr>
        <w:t>围绕法治建设“一规划两纲要”目标要求，</w:t>
      </w:r>
      <w:r>
        <w:rPr>
          <w:rFonts w:hint="eastAsia" w:ascii="仿宋_GB2312" w:eastAsia="仿宋_GB2312"/>
          <w:sz w:val="32"/>
          <w:szCs w:val="32"/>
          <w:lang w:eastAsia="zh-CN"/>
        </w:rPr>
        <w:t>持续推进市场监管法治工作。</w:t>
      </w:r>
      <w:r>
        <w:rPr>
          <w:rFonts w:hint="eastAsia" w:ascii="仿宋_GB2312" w:eastAsia="仿宋_GB2312"/>
          <w:sz w:val="32"/>
          <w:szCs w:val="32"/>
        </w:rPr>
        <w:t>现将</w:t>
      </w:r>
      <w:r>
        <w:rPr>
          <w:rFonts w:hint="eastAsia" w:ascii="仿宋_GB2312" w:eastAsia="仿宋_GB2312"/>
          <w:sz w:val="32"/>
          <w:szCs w:val="32"/>
          <w:lang w:eastAsia="zh-CN"/>
        </w:rPr>
        <w:t>主要工作报告</w:t>
      </w:r>
      <w:r>
        <w:rPr>
          <w:rFonts w:hint="eastAsia" w:ascii="仿宋_GB2312" w:eastAsia="仿宋_GB2312"/>
          <w:sz w:val="32"/>
          <w:szCs w:val="32"/>
        </w:rPr>
        <w:t>如下：</w:t>
      </w:r>
    </w:p>
    <w:p w14:paraId="0401D4B7">
      <w:pPr>
        <w:spacing w:line="560" w:lineRule="exact"/>
        <w:ind w:firstLine="640" w:firstLineChars="200"/>
        <w:jc w:val="left"/>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主要举措和</w:t>
      </w:r>
      <w:r>
        <w:rPr>
          <w:rFonts w:hint="eastAsia" w:ascii="黑体" w:hAnsi="黑体" w:eastAsia="黑体"/>
          <w:sz w:val="32"/>
          <w:szCs w:val="32"/>
        </w:rPr>
        <w:t>成效</w:t>
      </w:r>
    </w:p>
    <w:p w14:paraId="72F93EFC">
      <w:pPr>
        <w:spacing w:line="560" w:lineRule="exact"/>
        <w:ind w:firstLine="643" w:firstLineChars="200"/>
        <w:jc w:val="left"/>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（一）深入学习贯彻党的二十大、二十届三中全会精神和习近平法治思想，统筹推进法治政府建设</w:t>
      </w:r>
    </w:p>
    <w:p w14:paraId="7D67933E">
      <w:pPr>
        <w:spacing w:line="560" w:lineRule="exact"/>
        <w:ind w:firstLine="643" w:firstLineChars="200"/>
        <w:jc w:val="both"/>
        <w:rPr>
          <w:rFonts w:hint="eastAsia" w:ascii="仿宋_GB2312" w:eastAsia="仿宋_GB2312"/>
          <w:sz w:val="32"/>
          <w:szCs w:val="32"/>
        </w:rPr>
      </w:pPr>
      <w:r>
        <w:rPr>
          <w:rFonts w:hint="eastAsia" w:ascii="仿宋_GB2312" w:eastAsia="仿宋_GB2312"/>
          <w:b/>
          <w:bCs/>
          <w:sz w:val="32"/>
          <w:szCs w:val="32"/>
        </w:rPr>
        <w:t>一是</w:t>
      </w:r>
      <w:r>
        <w:rPr>
          <w:rFonts w:hint="eastAsia" w:ascii="仿宋_GB2312" w:eastAsia="仿宋_GB2312"/>
          <w:b w:val="0"/>
          <w:bCs w:val="0"/>
          <w:sz w:val="32"/>
          <w:szCs w:val="32"/>
        </w:rPr>
        <w:t>始终坚持党对法治政府建设的全面领导。</w:t>
      </w:r>
      <w:r>
        <w:rPr>
          <w:rFonts w:hint="eastAsia" w:ascii="仿宋_GB2312" w:eastAsia="仿宋_GB2312"/>
          <w:b w:val="0"/>
          <w:bCs w:val="0"/>
          <w:sz w:val="32"/>
          <w:szCs w:val="32"/>
          <w:lang w:eastAsia="zh-CN"/>
        </w:rPr>
        <w:t>我局</w:t>
      </w:r>
      <w:r>
        <w:rPr>
          <w:rFonts w:hint="eastAsia" w:ascii="仿宋_GB2312" w:eastAsia="仿宋_GB2312"/>
          <w:b w:val="0"/>
          <w:bCs w:val="0"/>
          <w:sz w:val="32"/>
          <w:szCs w:val="32"/>
        </w:rPr>
        <w:t>落实党组理论学习中心组学习习近平法治思想常态化机制，主要负责人和党组领导班子带头学习，</w:t>
      </w:r>
      <w:r>
        <w:rPr>
          <w:rFonts w:hint="eastAsia" w:ascii="仿宋_GB2312" w:eastAsia="仿宋_GB2312"/>
          <w:sz w:val="32"/>
          <w:szCs w:val="32"/>
        </w:rPr>
        <w:t>把学习宣传贯彻习近平法治思想作为局党组理论学习中心组学习的重要内容</w:t>
      </w:r>
      <w:r>
        <w:rPr>
          <w:rFonts w:hint="eastAsia" w:ascii="仿宋_GB2312" w:eastAsia="仿宋_GB2312"/>
          <w:sz w:val="32"/>
          <w:szCs w:val="32"/>
          <w:lang w:eastAsia="zh-CN"/>
        </w:rPr>
        <w:t>。同时</w:t>
      </w:r>
      <w:r>
        <w:rPr>
          <w:rFonts w:hint="eastAsia" w:ascii="仿宋_GB2312" w:hAnsi="Calibri" w:eastAsia="仿宋_GB2312" w:cs="Times New Roman"/>
          <w:kern w:val="2"/>
          <w:sz w:val="32"/>
          <w:szCs w:val="32"/>
          <w:lang w:val="en-US" w:eastAsia="zh-CN" w:bidi="ar-SA"/>
        </w:rPr>
        <w:t>组织全局执法人员参加依法行政专题培训</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法治专题讲座</w:t>
      </w:r>
      <w:r>
        <w:rPr>
          <w:rFonts w:hint="eastAsia" w:ascii="仿宋_GB2312" w:eastAsia="仿宋_GB2312" w:cs="Times New Roman"/>
          <w:kern w:val="2"/>
          <w:sz w:val="32"/>
          <w:szCs w:val="32"/>
          <w:lang w:val="en-US" w:eastAsia="zh-CN" w:bidi="ar-SA"/>
        </w:rPr>
        <w:t>和</w:t>
      </w:r>
      <w:r>
        <w:rPr>
          <w:rFonts w:hint="eastAsia" w:ascii="仿宋_GB2312" w:hAnsi="Calibri" w:eastAsia="仿宋_GB2312" w:cs="Times New Roman"/>
          <w:kern w:val="2"/>
          <w:sz w:val="32"/>
          <w:szCs w:val="32"/>
          <w:lang w:val="en-US" w:eastAsia="zh-CN" w:bidi="ar-SA"/>
        </w:rPr>
        <w:t>“学法考法”活动，网上学法参学率、参考率、通过率均达</w:t>
      </w:r>
      <w:r>
        <w:rPr>
          <w:rFonts w:hint="eastAsia" w:ascii="仿宋_GB2312" w:hAnsi="Calibri" w:eastAsia="仿宋_GB2312" w:cs="Times New Roman"/>
          <w:b w:val="0"/>
          <w:bCs w:val="0"/>
          <w:kern w:val="2"/>
          <w:sz w:val="32"/>
          <w:szCs w:val="32"/>
          <w:lang w:val="en-US" w:eastAsia="zh-CN" w:bidi="ar-SA"/>
        </w:rPr>
        <w:t>100%。</w:t>
      </w:r>
      <w:r>
        <w:rPr>
          <w:rFonts w:hint="eastAsia" w:ascii="仿宋_GB2312" w:eastAsia="仿宋_GB2312"/>
          <w:b/>
          <w:bCs/>
          <w:sz w:val="32"/>
          <w:szCs w:val="32"/>
          <w:lang w:eastAsia="zh-CN"/>
        </w:rPr>
        <w:t>二是</w:t>
      </w:r>
      <w:r>
        <w:rPr>
          <w:rFonts w:hint="eastAsia" w:ascii="仿宋_GB2312" w:eastAsia="仿宋_GB2312"/>
          <w:b w:val="0"/>
          <w:bCs w:val="0"/>
          <w:sz w:val="32"/>
          <w:szCs w:val="32"/>
          <w:lang w:eastAsia="zh-CN"/>
        </w:rPr>
        <w:t>严格落实党政主要负责人履行推进法治建设第一责任人职责。局党组切实发挥在推进法治建设中的领导核心作用，把推进法治政府建设摆在市场监管工作全局的重要位置抓紧抓实</w:t>
      </w:r>
      <w:r>
        <w:rPr>
          <w:rFonts w:hint="eastAsia" w:ascii="仿宋_GB2312" w:eastAsia="仿宋_GB2312"/>
          <w:sz w:val="32"/>
          <w:szCs w:val="32"/>
          <w:lang w:eastAsia="zh-CN"/>
        </w:rPr>
        <w:t>。</w:t>
      </w:r>
    </w:p>
    <w:p w14:paraId="6E10854B">
      <w:pPr>
        <w:pStyle w:val="4"/>
        <w:numPr>
          <w:ilvl w:val="0"/>
          <w:numId w:val="0"/>
        </w:numPr>
        <w:shd w:val="clear" w:color="auto" w:fill="FFFFFF"/>
        <w:spacing w:before="0" w:beforeAutospacing="0" w:after="0" w:afterAutospacing="0"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US" w:eastAsia="zh-CN"/>
        </w:rPr>
        <w:t>持续优化营商环境，助力经济高质量发展</w:t>
      </w:r>
    </w:p>
    <w:p w14:paraId="6D10A684">
      <w:pPr>
        <w:pStyle w:val="4"/>
        <w:shd w:val="clear" w:color="auto" w:fill="FFFFFF"/>
        <w:spacing w:before="0" w:beforeAutospacing="0" w:after="0" w:afterAutospacing="0" w:line="560" w:lineRule="exact"/>
        <w:ind w:firstLine="643"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一是全面推行“双随机、一公开”监管制度，营造公平竞争环境。</w:t>
      </w:r>
      <w:r>
        <w:rPr>
          <w:rFonts w:hint="eastAsia" w:ascii="仿宋_GB2312" w:hAnsi="微软雅黑" w:eastAsia="仿宋_GB2312"/>
          <w:b w:val="0"/>
          <w:bCs w:val="0"/>
          <w:color w:val="000000"/>
          <w:sz w:val="32"/>
          <w:szCs w:val="32"/>
          <w:lang w:val="en-US" w:eastAsia="zh-CN"/>
        </w:rPr>
        <w:t>我局制定并实施了</w:t>
      </w:r>
      <w:r>
        <w:rPr>
          <w:rFonts w:hint="eastAsia" w:ascii="仿宋_GB2312" w:hAnsi="微软雅黑" w:eastAsia="仿宋_GB2312"/>
          <w:color w:val="000000"/>
          <w:sz w:val="32"/>
          <w:szCs w:val="32"/>
          <w:lang w:val="en-US" w:eastAsia="zh-CN"/>
        </w:rPr>
        <w:t>《桃江县市场监管局“双随机、一公开”监管2024年度抽查工作计划》、《桃江县市场监管领域部门联合“双随机、一公开”监管2024年度抽查工作计划》，截至目前，全县成员单位共启动抽查任务数327项，已完成任务数327项，计划完成率达100%。</w:t>
      </w:r>
      <w:r>
        <w:rPr>
          <w:rFonts w:hint="default" w:ascii="Times New Roman" w:hAnsi="Times New Roman" w:eastAsia="仿宋_GB2312" w:cs="Times New Roman"/>
          <w:color w:val="000000"/>
          <w:sz w:val="32"/>
          <w:szCs w:val="32"/>
          <w:u w:val="none"/>
          <w:lang w:val="zh-CN" w:eastAsia="zh-CN"/>
        </w:rPr>
        <w:t>“双随机一公开”监管方式推进有力，跨部门联合执法在优化营商环境的同时提升了执法效能。</w:t>
      </w:r>
    </w:p>
    <w:p w14:paraId="75B0E95E">
      <w:pPr>
        <w:pStyle w:val="4"/>
        <w:shd w:val="clear" w:color="auto" w:fill="FFFFFF"/>
        <w:spacing w:before="0" w:beforeAutospacing="0" w:after="0" w:afterAutospacing="0" w:line="560" w:lineRule="exact"/>
        <w:ind w:firstLine="643"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二是创新行政审批新模式，提升行政审批质效</w:t>
      </w:r>
      <w:r>
        <w:rPr>
          <w:rFonts w:hint="eastAsia" w:ascii="仿宋_GB2312" w:hAnsi="微软雅黑" w:eastAsia="仿宋_GB2312"/>
          <w:color w:val="000000"/>
          <w:sz w:val="32"/>
          <w:szCs w:val="32"/>
          <w:lang w:val="en-US" w:eastAsia="zh-CN"/>
        </w:rPr>
        <w:t>。一方面，窗口服务采取统一受理、集中勘验，实行行政审批全流程、全过程归口政务服务窗口管理的新模式。另一方面，推出“六办制”服务，全面推行企业开办全程“网上办”；下放审批权限，实现“就近办”；为新开办企业提供免费首套印章刻制服务,实现“免费办”；实现服务“进一区”“跑一次”的“专区办”和实施企业进出“简易办”；开辟绿色通道，实现特事特办。</w:t>
      </w:r>
    </w:p>
    <w:p w14:paraId="0E2FB480">
      <w:pPr>
        <w:pStyle w:val="4"/>
        <w:shd w:val="clear" w:color="auto" w:fill="FFFFFF"/>
        <w:spacing w:before="0" w:beforeAutospacing="0" w:after="0" w:afterAutospacing="0" w:line="560" w:lineRule="exact"/>
        <w:ind w:firstLine="643"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b/>
          <w:bCs/>
          <w:i w:val="0"/>
          <w:iCs w:val="0"/>
          <w:color w:val="000000"/>
          <w:sz w:val="32"/>
          <w:szCs w:val="32"/>
          <w:lang w:val="en-US" w:eastAsia="zh-CN"/>
        </w:rPr>
        <w:t>三是牵头组织开展“主体强身行动”，激发市场活力。</w:t>
      </w:r>
      <w:r>
        <w:rPr>
          <w:rFonts w:hint="eastAsia" w:ascii="仿宋_GB2312" w:hAnsi="微软雅黑" w:eastAsia="仿宋_GB2312"/>
          <w:color w:val="000000"/>
          <w:sz w:val="32"/>
          <w:szCs w:val="32"/>
          <w:lang w:val="en-US" w:eastAsia="zh-CN"/>
        </w:rPr>
        <w:t>2024年全县新培育市场主体9792户（其中公司1784户，个体8008户），注销市场主体4381户（其中公司503户，个体3878户），全程电子化申办3584件，办理特种设备使用登记证295个，食品生产加工小作坊28个，食品经营许可证1201户，小餐饮经营许可证126户，提供免费帮代办服务800余次。</w:t>
      </w:r>
    </w:p>
    <w:p w14:paraId="230BEF44">
      <w:pPr>
        <w:pStyle w:val="4"/>
        <w:shd w:val="clear" w:color="auto" w:fill="FFFFFF"/>
        <w:spacing w:before="0" w:beforeAutospacing="0" w:after="0" w:afterAutospacing="0" w:line="560" w:lineRule="exact"/>
        <w:ind w:firstLine="643"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四是“面对面”助企，为企业提供精准指导。</w:t>
      </w:r>
      <w:r>
        <w:rPr>
          <w:rFonts w:hint="eastAsia" w:ascii="仿宋_GB2312" w:hAnsi="微软雅黑" w:eastAsia="仿宋_GB2312"/>
          <w:color w:val="000000"/>
          <w:sz w:val="32"/>
          <w:szCs w:val="32"/>
          <w:lang w:val="en-US" w:eastAsia="zh-CN"/>
        </w:rPr>
        <w:t>全年组织全县成员单位创建省级“诚信经营放心消费”示范门店（单位）340家，上报国家市监总局“行风建设助力优化营商环境”优秀实践案例1件，指导12家食品生产企业获得SC证，续证7家，新增许可类别（扩项）2家。帮助生产企业进行技术改造、装备升级，11家桃江竹笋生产企业日产能8万斤，协助桃花江竹材科技顺利完成现代竹质工程工业标准化试点示范项目验收。</w:t>
      </w:r>
    </w:p>
    <w:p w14:paraId="44E17879">
      <w:pPr>
        <w:pStyle w:val="4"/>
        <w:shd w:val="clear" w:color="auto" w:fill="FFFFFF"/>
        <w:spacing w:before="0" w:beforeAutospacing="0" w:after="0" w:afterAutospacing="0" w:line="560" w:lineRule="exact"/>
        <w:ind w:firstLine="643" w:firstLineChars="200"/>
        <w:rPr>
          <w:rFonts w:hint="eastAsia" w:ascii="楷体_GB2312" w:hAnsi="楷体_GB2312" w:eastAsia="楷体_GB2312" w:cs="楷体_GB2312"/>
          <w:b/>
          <w:bCs/>
          <w:sz w:val="32"/>
          <w:szCs w:val="32"/>
          <w:lang w:eastAsia="zh-CN"/>
        </w:rPr>
      </w:pPr>
      <w:r>
        <w:rPr>
          <w:rFonts w:hint="eastAsia" w:ascii="仿宋_GB2312" w:hAnsi="微软雅黑" w:eastAsia="仿宋_GB2312"/>
          <w:b/>
          <w:bCs/>
          <w:color w:val="000000"/>
          <w:sz w:val="32"/>
          <w:szCs w:val="32"/>
          <w:lang w:val="en-US" w:eastAsia="zh-CN"/>
        </w:rPr>
        <w:t>五是“柔性化”执法，彰显市场监管温度。</w:t>
      </w:r>
      <w:r>
        <w:rPr>
          <w:rFonts w:hint="eastAsia" w:ascii="仿宋_GB2312" w:hAnsi="微软雅黑" w:eastAsia="仿宋_GB2312"/>
          <w:color w:val="000000"/>
          <w:sz w:val="32"/>
          <w:szCs w:val="32"/>
          <w:lang w:val="en-US" w:eastAsia="zh-CN"/>
        </w:rPr>
        <w:t>我局积极推行“包容审慎”的监管执法模式，严格执行市场领域“柔性执法”清单，深入落实《湖南省市场监督管理轻微违法行为不予行政处罚清单》，2024年对18家主体减轻处罚，对37家主体从轻处罚，对4家主体不予处罚；</w:t>
      </w:r>
      <w:r>
        <w:rPr>
          <w:rFonts w:hint="default" w:ascii="Times New Roman" w:hAnsi="Times New Roman" w:eastAsia="仿宋_GB2312" w:cs="Times New Roman"/>
          <w:color w:val="000000"/>
          <w:sz w:val="32"/>
          <w:szCs w:val="32"/>
          <w:u w:val="none"/>
          <w:lang w:val="en-US" w:eastAsia="zh-CN"/>
        </w:rPr>
        <w:t>执行市局制定的行政处罚“案件执法观察期”制度，并依照该制度办结1件典型案例</w:t>
      </w:r>
      <w:r>
        <w:rPr>
          <w:rFonts w:hint="eastAsia" w:ascii="Times New Roman" w:hAnsi="Times New Roman" w:eastAsia="仿宋_GB2312" w:cs="Times New Roman"/>
          <w:color w:val="000000"/>
          <w:sz w:val="32"/>
          <w:szCs w:val="32"/>
          <w:u w:val="none"/>
          <w:lang w:val="en-US" w:eastAsia="zh-CN"/>
        </w:rPr>
        <w:t>；</w:t>
      </w:r>
      <w:r>
        <w:rPr>
          <w:rFonts w:hint="eastAsia" w:ascii="仿宋_GB2312" w:hAnsi="微软雅黑" w:eastAsia="仿宋_GB2312"/>
          <w:color w:val="000000"/>
          <w:sz w:val="32"/>
          <w:szCs w:val="32"/>
          <w:lang w:val="en-US" w:eastAsia="zh-CN"/>
        </w:rPr>
        <w:t>同时通过行政建议、说服教育等方式引导市场主体依法依规开展生产经营活动，将严格执法与说服教育相结合，切实减轻市场主体负担，营造公平有序的营商环境，让行政执法不仅有力度，更有温度。</w:t>
      </w:r>
    </w:p>
    <w:p w14:paraId="2B3EDA77">
      <w:pPr>
        <w:pStyle w:val="4"/>
        <w:shd w:val="clear" w:color="auto" w:fill="FFFFFF"/>
        <w:spacing w:before="0" w:beforeAutospacing="0" w:after="0" w:afterAutospacing="0"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（三）健全规章制度，提升行政决策法治化水平</w:t>
      </w:r>
    </w:p>
    <w:p w14:paraId="47370B9F">
      <w:pPr>
        <w:pStyle w:val="4"/>
        <w:shd w:val="clear" w:color="auto" w:fill="FFFFFF"/>
        <w:spacing w:before="0" w:beforeAutospacing="0" w:after="0" w:afterAutospacing="0" w:line="560" w:lineRule="exact"/>
        <w:ind w:firstLine="643" w:firstLineChars="200"/>
        <w:jc w:val="both"/>
        <w:rPr>
          <w:rFonts w:hint="eastAsia" w:ascii="仿宋_GB2312" w:hAnsi="微软雅黑" w:eastAsia="仿宋_GB2312"/>
          <w:color w:val="000000"/>
          <w:sz w:val="32"/>
          <w:szCs w:val="32"/>
        </w:rPr>
      </w:pPr>
      <w:r>
        <w:rPr>
          <w:rFonts w:hint="eastAsia" w:ascii="仿宋_GB2312" w:hAnsi="微软雅黑" w:eastAsia="仿宋_GB2312"/>
          <w:b/>
          <w:bCs/>
          <w:color w:val="000000"/>
          <w:sz w:val="32"/>
          <w:szCs w:val="32"/>
          <w:lang w:eastAsia="zh-CN"/>
        </w:rPr>
        <w:t>一是</w:t>
      </w:r>
      <w:r>
        <w:rPr>
          <w:rFonts w:hint="eastAsia" w:ascii="仿宋_GB2312" w:hAnsi="微软雅黑" w:eastAsia="仿宋_GB2312"/>
          <w:b w:val="0"/>
          <w:bCs w:val="0"/>
          <w:color w:val="000000"/>
          <w:sz w:val="32"/>
          <w:szCs w:val="32"/>
          <w:lang w:eastAsia="zh-CN"/>
        </w:rPr>
        <w:t>严格落实行政执法三项制度。严格实施行政执法公示制度，通过多个端口公示行政处罚案件，及时公开行政执法信息；严格执行执法全过程记录制度，要求执法人员通过文字、影像等方式全过程记录行政执法过程；严格落实法制审核制度，通过办案人员审核、法制审核、案审会议讨论相结合的形式，实现行政处罚案件审核率100％。</w:t>
      </w:r>
      <w:r>
        <w:rPr>
          <w:rFonts w:hint="eastAsia" w:ascii="仿宋_GB2312" w:hAnsi="微软雅黑" w:eastAsia="仿宋_GB2312"/>
          <w:b/>
          <w:bCs/>
          <w:color w:val="000000"/>
          <w:sz w:val="32"/>
          <w:szCs w:val="32"/>
        </w:rPr>
        <w:t>二是</w:t>
      </w:r>
      <w:r>
        <w:rPr>
          <w:rFonts w:hint="eastAsia" w:ascii="仿宋_GB2312" w:hAnsi="微软雅黑" w:eastAsia="仿宋_GB2312"/>
          <w:b w:val="0"/>
          <w:bCs w:val="0"/>
          <w:color w:val="000000"/>
          <w:sz w:val="32"/>
          <w:szCs w:val="32"/>
          <w:lang w:eastAsia="zh-CN"/>
        </w:rPr>
        <w:t>加强考核，</w:t>
      </w:r>
      <w:r>
        <w:rPr>
          <w:rFonts w:hint="eastAsia" w:ascii="仿宋_GB2312" w:hAnsi="微软雅黑" w:eastAsia="仿宋_GB2312"/>
          <w:b w:val="0"/>
          <w:bCs w:val="0"/>
          <w:color w:val="000000"/>
          <w:sz w:val="32"/>
          <w:szCs w:val="32"/>
        </w:rPr>
        <w:t>规范执法行为。</w:t>
      </w:r>
      <w:r>
        <w:rPr>
          <w:rFonts w:hint="eastAsia" w:ascii="仿宋_GB2312" w:hAnsi="微软雅黑" w:eastAsia="仿宋_GB2312"/>
          <w:b w:val="0"/>
          <w:bCs w:val="0"/>
          <w:color w:val="000000"/>
          <w:sz w:val="32"/>
          <w:szCs w:val="32"/>
          <w:lang w:eastAsia="zh-CN"/>
        </w:rPr>
        <w:t>进一步完善</w:t>
      </w:r>
      <w:r>
        <w:rPr>
          <w:rFonts w:hint="eastAsia" w:ascii="仿宋_GB2312" w:hAnsi="微软雅黑" w:eastAsia="仿宋_GB2312"/>
          <w:b w:val="0"/>
          <w:bCs w:val="0"/>
          <w:color w:val="000000"/>
          <w:sz w:val="32"/>
          <w:szCs w:val="32"/>
        </w:rPr>
        <w:t>《行政执法工作评议考核办法》，对</w:t>
      </w:r>
      <w:r>
        <w:rPr>
          <w:rFonts w:hint="eastAsia" w:ascii="仿宋_GB2312" w:hAnsi="微软雅黑" w:eastAsia="仿宋_GB2312"/>
          <w:b w:val="0"/>
          <w:bCs w:val="0"/>
          <w:color w:val="000000"/>
          <w:sz w:val="32"/>
          <w:szCs w:val="32"/>
          <w:lang w:eastAsia="zh-CN"/>
        </w:rPr>
        <w:t>规章</w:t>
      </w:r>
      <w:r>
        <w:rPr>
          <w:rFonts w:hint="eastAsia" w:ascii="仿宋_GB2312" w:hAnsi="微软雅黑" w:eastAsia="仿宋_GB2312"/>
          <w:b w:val="0"/>
          <w:bCs w:val="0"/>
          <w:color w:val="000000"/>
          <w:sz w:val="32"/>
          <w:szCs w:val="32"/>
        </w:rPr>
        <w:t>制度落实、执法</w:t>
      </w:r>
      <w:r>
        <w:rPr>
          <w:rFonts w:hint="eastAsia" w:ascii="仿宋_GB2312" w:hAnsi="微软雅黑" w:eastAsia="仿宋_GB2312"/>
          <w:b w:val="0"/>
          <w:bCs w:val="0"/>
          <w:color w:val="000000"/>
          <w:sz w:val="32"/>
          <w:szCs w:val="32"/>
          <w:lang w:eastAsia="zh-CN"/>
        </w:rPr>
        <w:t>行为规范</w:t>
      </w:r>
      <w:r>
        <w:rPr>
          <w:rFonts w:hint="eastAsia" w:ascii="仿宋_GB2312" w:hAnsi="微软雅黑" w:eastAsia="仿宋_GB2312"/>
          <w:b w:val="0"/>
          <w:bCs w:val="0"/>
          <w:color w:val="000000"/>
          <w:sz w:val="32"/>
          <w:szCs w:val="32"/>
        </w:rPr>
        <w:t>、执法人员廉政执法等情况列入考核范畴，推进执法行为规范化。</w:t>
      </w:r>
      <w:r>
        <w:rPr>
          <w:rFonts w:hint="eastAsia" w:ascii="仿宋_GB2312" w:hAnsi="微软雅黑" w:eastAsia="仿宋_GB2312"/>
          <w:b/>
          <w:bCs/>
          <w:color w:val="000000"/>
          <w:sz w:val="32"/>
          <w:szCs w:val="32"/>
        </w:rPr>
        <w:t>三是</w:t>
      </w:r>
      <w:r>
        <w:rPr>
          <w:rFonts w:hint="eastAsia" w:ascii="仿宋_GB2312" w:hAnsi="微软雅黑" w:eastAsia="仿宋_GB2312"/>
          <w:b w:val="0"/>
          <w:bCs w:val="0"/>
          <w:color w:val="000000"/>
          <w:sz w:val="32"/>
          <w:szCs w:val="32"/>
          <w:lang w:eastAsia="zh-CN"/>
        </w:rPr>
        <w:t>严格执行案件办理</w:t>
      </w:r>
      <w:r>
        <w:rPr>
          <w:rFonts w:hint="eastAsia" w:ascii="仿宋_GB2312" w:hAnsi="微软雅黑" w:eastAsia="仿宋_GB2312"/>
          <w:b w:val="0"/>
          <w:bCs w:val="0"/>
          <w:color w:val="000000"/>
          <w:sz w:val="32"/>
          <w:szCs w:val="32"/>
        </w:rPr>
        <w:t>流程监控</w:t>
      </w:r>
      <w:r>
        <w:rPr>
          <w:rFonts w:hint="eastAsia" w:ascii="仿宋_GB2312" w:hAnsi="微软雅黑" w:eastAsia="仿宋_GB2312"/>
          <w:b w:val="0"/>
          <w:bCs w:val="0"/>
          <w:color w:val="000000"/>
          <w:sz w:val="32"/>
          <w:szCs w:val="32"/>
          <w:lang w:eastAsia="zh-CN"/>
        </w:rPr>
        <w:t>制度</w:t>
      </w:r>
      <w:r>
        <w:rPr>
          <w:rFonts w:hint="eastAsia" w:ascii="仿宋_GB2312" w:hAnsi="微软雅黑" w:eastAsia="仿宋_GB2312"/>
          <w:b w:val="0"/>
          <w:bCs w:val="0"/>
          <w:color w:val="000000"/>
          <w:sz w:val="32"/>
          <w:szCs w:val="32"/>
        </w:rPr>
        <w:t>。以市场监管行政处罚系统为依托，对在办案件进行全程监控。</w:t>
      </w:r>
      <w:r>
        <w:rPr>
          <w:rFonts w:hint="eastAsia" w:ascii="仿宋_GB2312" w:hAnsi="微软雅黑" w:eastAsia="仿宋_GB2312"/>
          <w:b/>
          <w:bCs/>
          <w:color w:val="000000"/>
          <w:sz w:val="32"/>
          <w:szCs w:val="32"/>
        </w:rPr>
        <w:t>四是</w:t>
      </w:r>
      <w:r>
        <w:rPr>
          <w:rFonts w:hint="eastAsia" w:ascii="仿宋_GB2312" w:hAnsi="微软雅黑" w:eastAsia="仿宋_GB2312"/>
          <w:b w:val="0"/>
          <w:bCs w:val="0"/>
          <w:color w:val="000000"/>
          <w:sz w:val="32"/>
          <w:szCs w:val="32"/>
        </w:rPr>
        <w:t>加强行政规范性文件管理。全面落实行政规范性文件合法性审核和备案制度，对规范性文件制定进行严格程序把关。</w:t>
      </w:r>
      <w:r>
        <w:rPr>
          <w:rFonts w:hint="eastAsia" w:ascii="Times New Roman" w:hAnsi="Times New Roman" w:eastAsia="仿宋_GB2312" w:cs="Times New Roman"/>
          <w:b/>
          <w:bCs/>
          <w:color w:val="000000"/>
          <w:sz w:val="32"/>
          <w:szCs w:val="32"/>
          <w:u w:val="none"/>
          <w:lang w:val="zh-CN" w:eastAsia="zh-CN"/>
        </w:rPr>
        <w:t>五</w:t>
      </w:r>
      <w:r>
        <w:rPr>
          <w:rFonts w:hint="default" w:ascii="Times New Roman" w:hAnsi="Times New Roman" w:eastAsia="仿宋_GB2312" w:cs="Times New Roman"/>
          <w:b/>
          <w:bCs/>
          <w:color w:val="000000"/>
          <w:sz w:val="32"/>
          <w:szCs w:val="32"/>
          <w:u w:val="none"/>
          <w:lang w:val="zh-CN" w:eastAsia="zh-CN"/>
        </w:rPr>
        <w:t>是</w:t>
      </w:r>
      <w:r>
        <w:rPr>
          <w:rFonts w:hint="default" w:ascii="Times New Roman" w:hAnsi="Times New Roman" w:eastAsia="仿宋_GB2312" w:cs="Times New Roman"/>
          <w:color w:val="000000"/>
          <w:sz w:val="32"/>
          <w:szCs w:val="32"/>
          <w:u w:val="none"/>
          <w:lang w:val="zh-CN" w:eastAsia="zh-CN"/>
        </w:rPr>
        <w:t>有效实行行刑纪衔接。</w:t>
      </w:r>
      <w:r>
        <w:rPr>
          <w:rFonts w:hint="default" w:ascii="Times New Roman" w:hAnsi="Times New Roman" w:eastAsia="仿宋_GB2312" w:cs="Times New Roman"/>
          <w:color w:val="000000"/>
          <w:sz w:val="32"/>
          <w:szCs w:val="32"/>
          <w:u w:val="none"/>
          <w:lang w:val="en-US" w:eastAsia="zh-CN"/>
        </w:rPr>
        <w:t>202</w:t>
      </w:r>
      <w:r>
        <w:rPr>
          <w:rFonts w:hint="eastAsia" w:ascii="Times New Roman" w:hAnsi="Times New Roman" w:eastAsia="仿宋_GB2312"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lang w:val="en-US" w:eastAsia="zh-CN"/>
        </w:rPr>
        <w:t>年，由检察院作出不起诉决定后，向我局反向移送案件</w:t>
      </w:r>
      <w:r>
        <w:rPr>
          <w:rFonts w:hint="eastAsia" w:ascii="Times New Roman" w:hAnsi="Times New Roman" w:eastAsia="仿宋_GB2312"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lang w:val="en-US" w:eastAsia="zh-CN"/>
        </w:rPr>
        <w:t>件；</w:t>
      </w:r>
      <w:r>
        <w:rPr>
          <w:rFonts w:hint="eastAsia" w:ascii="Times New Roman" w:hAnsi="Times New Roman" w:eastAsia="仿宋_GB2312" w:cs="Times New Roman"/>
          <w:color w:val="000000"/>
          <w:sz w:val="32"/>
          <w:szCs w:val="32"/>
          <w:u w:val="none"/>
          <w:lang w:val="en-US" w:eastAsia="zh-CN"/>
        </w:rPr>
        <w:t>我局向公安移送线索1条，刑拘1人，</w:t>
      </w:r>
      <w:r>
        <w:rPr>
          <w:rFonts w:hint="default" w:ascii="Times New Roman" w:hAnsi="Times New Roman" w:eastAsia="仿宋_GB2312" w:cs="Times New Roman"/>
          <w:color w:val="000000"/>
          <w:sz w:val="32"/>
          <w:szCs w:val="32"/>
          <w:u w:val="none"/>
          <w:lang w:val="en-US" w:eastAsia="zh-CN"/>
        </w:rPr>
        <w:t>向纪委移送对给予行政处罚的当事人涉及公职人员或党员的案件线索3起。</w:t>
      </w:r>
    </w:p>
    <w:p w14:paraId="4E6B82D1">
      <w:pPr>
        <w:pStyle w:val="4"/>
        <w:numPr>
          <w:ilvl w:val="0"/>
          <w:numId w:val="1"/>
        </w:numPr>
        <w:shd w:val="clear" w:color="auto" w:fill="FFFFFF"/>
        <w:spacing w:before="0" w:beforeAutospacing="0" w:after="0" w:afterAutospacing="0"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加强法治队伍建设，提升依法行政水平</w:t>
      </w:r>
    </w:p>
    <w:p w14:paraId="5F6B55B9">
      <w:pPr>
        <w:pStyle w:val="4"/>
        <w:numPr>
          <w:ilvl w:val="0"/>
          <w:numId w:val="0"/>
        </w:numPr>
        <w:shd w:val="clear" w:color="auto" w:fill="FFFFFF"/>
        <w:spacing w:before="0" w:beforeAutospacing="0" w:after="0" w:afterAutospacing="0" w:line="560" w:lineRule="exact"/>
        <w:ind w:firstLine="643" w:firstLineChars="200"/>
        <w:jc w:val="both"/>
        <w:rPr>
          <w:rFonts w:hint="default" w:ascii="仿宋_GB2312" w:hAnsi="微软雅黑" w:eastAsia="仿宋_GB2312"/>
          <w:color w:val="000000"/>
          <w:sz w:val="32"/>
          <w:szCs w:val="32"/>
          <w:lang w:val="en-US" w:eastAsia="zh-CN"/>
        </w:rPr>
      </w:pPr>
      <w:r>
        <w:rPr>
          <w:rFonts w:hint="eastAsia" w:ascii="仿宋_GB2312" w:hAnsi="微软雅黑" w:eastAsia="仿宋_GB2312"/>
          <w:b/>
          <w:bCs/>
          <w:color w:val="000000"/>
          <w:sz w:val="32"/>
          <w:szCs w:val="32"/>
          <w:lang w:val="en-US" w:eastAsia="zh-CN"/>
        </w:rPr>
        <w:t>一是</w:t>
      </w:r>
      <w:r>
        <w:rPr>
          <w:rFonts w:hint="eastAsia" w:ascii="仿宋_GB2312" w:hAnsi="微软雅黑" w:eastAsia="仿宋_GB2312"/>
          <w:color w:val="000000"/>
          <w:sz w:val="32"/>
          <w:szCs w:val="32"/>
          <w:lang w:val="en-US" w:eastAsia="zh-CN"/>
        </w:rPr>
        <w:t>开展综合执法能力提升和专门业务培训，以加强法制培训指导、举办“市监大讲堂”活动等多种方式提升全局行政执法水平。目前我局持证人数237人，一线执法人员持证率100％。二</w:t>
      </w:r>
      <w:r>
        <w:rPr>
          <w:rFonts w:hint="eastAsia" w:ascii="仿宋_GB2312" w:hAnsi="微软雅黑" w:eastAsia="仿宋_GB2312"/>
          <w:b/>
          <w:bCs/>
          <w:color w:val="000000"/>
          <w:sz w:val="32"/>
          <w:szCs w:val="32"/>
          <w:lang w:val="en-US" w:eastAsia="zh-CN"/>
        </w:rPr>
        <w:t>是</w:t>
      </w:r>
      <w:r>
        <w:rPr>
          <w:rFonts w:hint="eastAsia" w:ascii="仿宋_GB2312" w:hAnsi="微软雅黑" w:eastAsia="仿宋_GB2312"/>
          <w:color w:val="000000"/>
          <w:sz w:val="32"/>
          <w:szCs w:val="32"/>
          <w:lang w:val="en-US" w:eastAsia="zh-CN"/>
        </w:rPr>
        <w:t>加强法律顾问队伍建设。健全法律顾问长效工作机制并稳步推进，加强外聘法律顾问的聘请、服务和管理工作。三</w:t>
      </w:r>
      <w:r>
        <w:rPr>
          <w:rFonts w:hint="eastAsia" w:ascii="仿宋_GB2312" w:hAnsi="微软雅黑" w:eastAsia="仿宋_GB2312"/>
          <w:b/>
          <w:bCs/>
          <w:color w:val="000000"/>
          <w:sz w:val="32"/>
          <w:szCs w:val="32"/>
          <w:lang w:val="en-US" w:eastAsia="zh-CN"/>
        </w:rPr>
        <w:t>是</w:t>
      </w:r>
      <w:r>
        <w:rPr>
          <w:rFonts w:hint="eastAsia" w:ascii="仿宋_GB2312" w:hAnsi="微软雅黑" w:eastAsia="仿宋_GB2312"/>
          <w:b w:val="0"/>
          <w:bCs w:val="0"/>
          <w:color w:val="000000"/>
          <w:sz w:val="32"/>
          <w:szCs w:val="32"/>
          <w:lang w:val="en-US" w:eastAsia="zh-CN"/>
        </w:rPr>
        <w:t>进行</w:t>
      </w:r>
      <w:r>
        <w:rPr>
          <w:rFonts w:hint="eastAsia" w:ascii="仿宋_GB2312" w:hAnsi="微软雅黑" w:eastAsia="仿宋_GB2312"/>
          <w:color w:val="000000"/>
          <w:sz w:val="32"/>
          <w:szCs w:val="32"/>
          <w:lang w:val="en-US" w:eastAsia="zh-CN"/>
        </w:rPr>
        <w:t>优秀案卷评选活动。开展2024年度“典型案例”“优秀案卷”等评选活动，评查案卷73卷，评选“典型案例”“优秀案卷”各3个，其中2个分别被市局评选“典型案例”“优秀案卷”。我局将案卷评选结果列入单位考核和个人评优加分项，</w:t>
      </w:r>
      <w:r>
        <w:rPr>
          <w:rFonts w:hint="eastAsia" w:ascii="仿宋_GB2312" w:eastAsia="仿宋_GB2312"/>
          <w:sz w:val="32"/>
          <w:szCs w:val="32"/>
        </w:rPr>
        <w:t>确保把案卷评查成果转化为推动执法工作进步的重要动力</w:t>
      </w:r>
      <w:r>
        <w:rPr>
          <w:rFonts w:hint="eastAsia" w:ascii="仿宋_GB2312" w:hAnsi="微软雅黑" w:eastAsia="仿宋_GB2312"/>
          <w:color w:val="000000"/>
          <w:sz w:val="32"/>
          <w:szCs w:val="32"/>
          <w:lang w:val="en-US" w:eastAsia="zh-CN"/>
        </w:rPr>
        <w:t>。</w:t>
      </w:r>
    </w:p>
    <w:p w14:paraId="324F4F4B">
      <w:pPr>
        <w:numPr>
          <w:ilvl w:val="0"/>
          <w:numId w:val="1"/>
        </w:numPr>
        <w:autoSpaceDE w:val="0"/>
        <w:spacing w:line="560" w:lineRule="exact"/>
        <w:ind w:left="0" w:leftChars="0" w:firstLine="643" w:firstLineChars="200"/>
        <w:jc w:val="left"/>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全面依法履职，严格文明执法</w:t>
      </w:r>
    </w:p>
    <w:p w14:paraId="0FB05E9F">
      <w:pPr>
        <w:numPr>
          <w:ilvl w:val="0"/>
          <w:numId w:val="0"/>
        </w:numPr>
        <w:autoSpaceDE w:val="0"/>
        <w:spacing w:line="560" w:lineRule="exact"/>
        <w:ind w:firstLine="643" w:firstLineChars="200"/>
        <w:jc w:val="both"/>
        <w:rPr>
          <w:rFonts w:hint="eastAsia" w:ascii="仿宋_GB2312" w:hAnsi="微软雅黑" w:eastAsia="仿宋_GB2312"/>
          <w:color w:val="000000"/>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rPr>
        <w:t>深化“放管服”改革，全面激发市场活力</w:t>
      </w:r>
      <w:r>
        <w:rPr>
          <w:rFonts w:hint="eastAsia" w:ascii="仿宋_GB2312" w:hAnsi="仿宋_GB2312" w:eastAsia="仿宋_GB2312" w:cs="仿宋_GB2312"/>
          <w:b w:val="0"/>
          <w:bCs w:val="0"/>
          <w:sz w:val="32"/>
          <w:szCs w:val="32"/>
          <w:lang w:eastAsia="zh-CN"/>
        </w:rPr>
        <w:t>。在全市率先落实</w:t>
      </w:r>
      <w:r>
        <w:rPr>
          <w:rFonts w:hint="eastAsia" w:ascii="仿宋_GB2312" w:hAnsi="仿宋_GB2312" w:eastAsia="仿宋_GB2312" w:cs="仿宋_GB2312"/>
          <w:b w:val="0"/>
          <w:bCs w:val="0"/>
          <w:sz w:val="32"/>
          <w:szCs w:val="32"/>
        </w:rPr>
        <w:t>证照分离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多证合一改革、企业登记全程电子化、企业简易注销等工作</w:t>
      </w:r>
      <w:r>
        <w:rPr>
          <w:rFonts w:hint="eastAsia" w:ascii="仿宋_GB2312" w:hAnsi="仿宋_GB2312" w:eastAsia="仿宋_GB2312" w:cs="仿宋_GB2312"/>
          <w:b w:val="0"/>
          <w:bCs w:val="0"/>
          <w:sz w:val="32"/>
          <w:szCs w:val="32"/>
          <w:lang w:eastAsia="zh-CN"/>
        </w:rPr>
        <w:t>，实现</w:t>
      </w:r>
      <w:r>
        <w:rPr>
          <w:rFonts w:hint="eastAsia" w:ascii="仿宋_GB2312" w:hAnsi="仿宋_GB2312" w:eastAsia="仿宋_GB2312" w:cs="仿宋_GB2312"/>
          <w:b w:val="0"/>
          <w:bCs w:val="0"/>
          <w:sz w:val="32"/>
          <w:szCs w:val="32"/>
        </w:rPr>
        <w:t>企业开办1日办结，县本级企业4小时完成登记。</w:t>
      </w:r>
      <w:r>
        <w:rPr>
          <w:rFonts w:hint="eastAsia" w:ascii="仿宋_GB2312" w:hAnsi="仿宋_GB2312" w:eastAsia="仿宋_GB2312" w:cs="仿宋_GB2312"/>
          <w:b w:val="0"/>
          <w:bCs w:val="0"/>
          <w:sz w:val="32"/>
          <w:szCs w:val="32"/>
          <w:lang w:eastAsia="zh-CN"/>
        </w:rPr>
        <w:t>创新推出零门槛准入、零距离服务、零死角培育的“三零”举措，</w:t>
      </w:r>
      <w:r>
        <w:rPr>
          <w:rFonts w:hint="eastAsia" w:ascii="仿宋_GB2312" w:hAnsi="仿宋_GB2312" w:eastAsia="仿宋_GB2312" w:cs="仿宋_GB2312"/>
          <w:b w:val="0"/>
          <w:bCs w:val="0"/>
          <w:sz w:val="32"/>
          <w:szCs w:val="32"/>
        </w:rPr>
        <w:t>提振市场主体信心。</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大力推进跨领域跨部门联合执法，着力解决多头执法、重复执法问题。</w:t>
      </w:r>
      <w:r>
        <w:rPr>
          <w:rFonts w:hint="eastAsia" w:ascii="仿宋_GB2312" w:hAnsi="仿宋_GB2312" w:eastAsia="仿宋_GB2312" w:cs="仿宋_GB2312"/>
          <w:b w:val="0"/>
          <w:bCs w:val="0"/>
          <w:sz w:val="32"/>
          <w:szCs w:val="32"/>
          <w:lang w:val="en-US" w:eastAsia="zh-CN"/>
        </w:rPr>
        <w:t>6月28日，我局</w:t>
      </w:r>
      <w:r>
        <w:rPr>
          <w:rFonts w:hint="eastAsia" w:ascii="仿宋_GB2312" w:hAnsi="仿宋_GB2312" w:eastAsia="仿宋_GB2312" w:cs="仿宋_GB2312"/>
          <w:sz w:val="32"/>
          <w:szCs w:val="32"/>
          <w:lang w:eastAsia="zh-CN"/>
        </w:rPr>
        <w:t>制定并实施了利剑护蕾联合执法行动方案，联合公安、教育等多个部门开展联合执法行动超过</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次，累计出动执法人员</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0余人次，检查宾馆酒店21家，检查KTV、酒吧10家，检查电竞、网吧8家，检查洗浴、会所3家，保障未成年人的行动安全。</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加强重点领域监管执法。牢牢</w:t>
      </w:r>
      <w:r>
        <w:rPr>
          <w:rFonts w:hint="eastAsia" w:ascii="仿宋_GB2312" w:hAnsi="仿宋_GB2312" w:eastAsia="仿宋_GB2312" w:cs="仿宋_GB2312"/>
          <w:sz w:val="32"/>
          <w:szCs w:val="32"/>
          <w:lang w:eastAsia="zh-CN"/>
        </w:rPr>
        <w:t>守住安全底线，加大食品药品安全、特种设备安全、工业产品质量安全等关系群众切身利益的重点领域监管执法力度。落实食品安全“四个最严”要求，督促食品生产经营者落实食品安全主体责任，加大食品安全监管执法力度。截至目前，2024年办理完结行政处罚案件84件，罚没金额为1291.99万元。</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rPr>
        <w:t>消费维权合力增强。</w:t>
      </w:r>
      <w:r>
        <w:rPr>
          <w:rFonts w:hint="eastAsia" w:ascii="仿宋_GB2312" w:hAnsi="仿宋_GB2312" w:eastAsia="仿宋_GB2312" w:cs="仿宋_GB2312"/>
          <w:bCs/>
          <w:sz w:val="32"/>
          <w:szCs w:val="32"/>
        </w:rPr>
        <w:t>2024年共受理消费者投诉举报</w:t>
      </w:r>
      <w:r>
        <w:rPr>
          <w:rFonts w:hint="eastAsia" w:ascii="仿宋_GB2312" w:hAnsi="仿宋_GB2312" w:eastAsia="仿宋_GB2312" w:cs="仿宋_GB2312"/>
          <w:bCs/>
          <w:sz w:val="32"/>
          <w:szCs w:val="32"/>
          <w:lang w:val="en-US" w:eastAsia="zh-CN"/>
        </w:rPr>
        <w:t>2000余</w:t>
      </w:r>
      <w:r>
        <w:rPr>
          <w:rFonts w:hint="eastAsia" w:ascii="仿宋_GB2312" w:hAnsi="仿宋_GB2312" w:eastAsia="仿宋_GB2312" w:cs="仿宋_GB2312"/>
          <w:bCs/>
          <w:sz w:val="32"/>
          <w:szCs w:val="32"/>
        </w:rPr>
        <w:t>件，办结率</w:t>
      </w:r>
      <w:r>
        <w:rPr>
          <w:rFonts w:hint="eastAsia" w:ascii="仿宋_GB2312" w:hAnsi="仿宋_GB2312" w:eastAsia="仿宋_GB2312" w:cs="仿宋_GB2312"/>
          <w:bCs/>
          <w:sz w:val="32"/>
          <w:szCs w:val="32"/>
          <w:lang w:eastAsia="zh-CN"/>
        </w:rPr>
        <w:t>达</w:t>
      </w:r>
      <w:r>
        <w:rPr>
          <w:rFonts w:hint="eastAsia" w:ascii="仿宋_GB2312" w:hAnsi="仿宋_GB2312" w:eastAsia="仿宋_GB2312" w:cs="仿宋_GB2312"/>
          <w:bCs/>
          <w:sz w:val="32"/>
          <w:szCs w:val="32"/>
        </w:rPr>
        <w:t>100%</w:t>
      </w:r>
      <w:r>
        <w:rPr>
          <w:rFonts w:hint="eastAsia" w:ascii="仿宋_GB2312" w:hAnsi="仿宋_GB2312" w:eastAsia="仿宋_GB2312" w:cs="仿宋_GB2312"/>
          <w:bCs/>
          <w:sz w:val="32"/>
          <w:szCs w:val="32"/>
          <w:lang w:eastAsia="zh-CN"/>
        </w:rPr>
        <w:t>，有效维护消费者合法权益</w:t>
      </w:r>
      <w:r>
        <w:rPr>
          <w:rFonts w:hint="eastAsia" w:ascii="仿宋_GB2312" w:hAnsi="仿宋_GB2312" w:eastAsia="仿宋_GB2312" w:cs="仿宋_GB2312"/>
          <w:bCs/>
          <w:sz w:val="32"/>
          <w:szCs w:val="32"/>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rPr>
        <w:t>开展不公平竞争审查</w:t>
      </w:r>
      <w:r>
        <w:rPr>
          <w:rFonts w:hint="eastAsia" w:ascii="仿宋_GB2312" w:hAnsi="仿宋_GB2312" w:eastAsia="仿宋_GB2312" w:cs="仿宋_GB2312"/>
          <w:b w:val="0"/>
          <w:bCs w:val="0"/>
          <w:sz w:val="32"/>
          <w:szCs w:val="32"/>
          <w:lang w:eastAsia="zh-CN"/>
        </w:rPr>
        <w:t>，打造公平竞争市场环境。</w:t>
      </w:r>
      <w:r>
        <w:rPr>
          <w:rFonts w:hint="eastAsia" w:ascii="仿宋_GB2312" w:hAnsi="仿宋_GB2312" w:eastAsia="仿宋_GB2312" w:cs="仿宋_GB2312"/>
          <w:b w:val="0"/>
          <w:bCs w:val="0"/>
          <w:sz w:val="32"/>
          <w:szCs w:val="32"/>
        </w:rPr>
        <w:t>开展</w:t>
      </w:r>
      <w:r>
        <w:rPr>
          <w:rFonts w:hint="eastAsia" w:ascii="仿宋_GB2312" w:hAnsi="仿宋_GB2312" w:eastAsia="仿宋_GB2312" w:cs="仿宋_GB2312"/>
          <w:sz w:val="32"/>
          <w:szCs w:val="32"/>
        </w:rPr>
        <w:t>水、电、气、通信等民生领域反垄断执法专项行动和涉企违规收费专项整治行动，</w:t>
      </w:r>
      <w:r>
        <w:rPr>
          <w:rFonts w:hint="eastAsia" w:ascii="仿宋_GB2312" w:hAnsi="仿宋_GB2312" w:eastAsia="仿宋_GB2312" w:cs="仿宋_GB2312"/>
          <w:sz w:val="32"/>
          <w:szCs w:val="32"/>
          <w:lang w:eastAsia="zh-CN"/>
        </w:rPr>
        <w:t>现场立即整改问题</w:t>
      </w:r>
      <w:r>
        <w:rPr>
          <w:rFonts w:hint="eastAsia" w:ascii="仿宋_GB2312" w:hAnsi="仿宋_GB2312" w:eastAsia="仿宋_GB2312" w:cs="仿宋_GB2312"/>
          <w:sz w:val="32"/>
          <w:szCs w:val="32"/>
          <w:lang w:val="en-US" w:eastAsia="zh-CN"/>
        </w:rPr>
        <w:t>5个，审查公平竞争相关文件16个，提升市场竞争整体质量和水平。</w:t>
      </w:r>
    </w:p>
    <w:p w14:paraId="68F4F5FA">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问题和不足</w:t>
      </w:r>
    </w:p>
    <w:p w14:paraId="68633FC0">
      <w:pPr>
        <w:pStyle w:val="4"/>
        <w:shd w:val="clear" w:color="auto" w:fill="FFFFFF"/>
        <w:spacing w:before="0" w:beforeAutospacing="0" w:after="0" w:afterAutospacing="0" w:line="560" w:lineRule="exact"/>
        <w:ind w:firstLine="640" w:firstLineChars="200"/>
        <w:jc w:val="both"/>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今年以来，虽然在法治政府建设工作方面取得了一定成绩，但也存在一些薄弱环节，主要表现在：一是市场监管涉及的法律、行政法规、部门规章数量较多，执法人员日常工作任务重，主动学习和研究法律的时间不够充分，学法成效难以保证；二是网络购物、共享经济、在线教育、职业投诉等新模式、新情况不断涌现，给市场监管带来了新挑战。</w:t>
      </w:r>
    </w:p>
    <w:p w14:paraId="69E5374A">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三、下一步工作计划</w:t>
      </w:r>
    </w:p>
    <w:p w14:paraId="2D819FEA">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接下来</w:t>
      </w:r>
      <w:r>
        <w:rPr>
          <w:rFonts w:hint="eastAsia" w:ascii="仿宋_GB2312" w:hAnsi="仿宋_GB2312" w:eastAsia="仿宋_GB2312" w:cs="仿宋_GB2312"/>
          <w:color w:val="000000" w:themeColor="text1"/>
          <w:sz w:val="32"/>
          <w:szCs w:val="32"/>
          <w14:textFill>
            <w14:solidFill>
              <w14:schemeClr w14:val="tx1"/>
            </w14:solidFill>
          </w14:textFill>
        </w:rPr>
        <w:t>，我局将全面贯彻落实中央和省市县委关于法治</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建设的重大决策部署，坚持深化改革、依法行政、优化服务一体推进，不断推进法治政府建设工作取得新成效，为县域经济社会高质量发展作出更大的贡献。</w:t>
      </w:r>
      <w:bookmarkStart w:id="0" w:name="_GoBack"/>
      <w:bookmarkEnd w:id="0"/>
    </w:p>
    <w:p w14:paraId="25A501CD">
      <w:pPr>
        <w:spacing w:line="56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14:paraId="6C656F0A">
      <w:pPr>
        <w:spacing w:line="56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1CDB984A">
      <w:pPr>
        <w:spacing w:line="560" w:lineRule="exact"/>
        <w:ind w:firstLine="640" w:firstLineChars="200"/>
        <w:jc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2024年12月31日</w:t>
      </w:r>
    </w:p>
    <w:sectPr>
      <w:pgSz w:w="11906" w:h="16838"/>
      <w:pgMar w:top="1667" w:right="1800" w:bottom="166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72A8"/>
    <w:multiLevelType w:val="singleLevel"/>
    <w:tmpl w:val="A86572A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YjgxOTQ3YTM4NTM2YjAyZTA2ZThkODNiZWQ5NDUifQ=="/>
  </w:docVars>
  <w:rsids>
    <w:rsidRoot w:val="00374091"/>
    <w:rsid w:val="00033DF9"/>
    <w:rsid w:val="00062A3E"/>
    <w:rsid w:val="00086CA8"/>
    <w:rsid w:val="001E3400"/>
    <w:rsid w:val="002E1803"/>
    <w:rsid w:val="002E1E1C"/>
    <w:rsid w:val="00374091"/>
    <w:rsid w:val="003C1EB5"/>
    <w:rsid w:val="00405B54"/>
    <w:rsid w:val="005035A4"/>
    <w:rsid w:val="005D0F54"/>
    <w:rsid w:val="006361C6"/>
    <w:rsid w:val="006A1BC6"/>
    <w:rsid w:val="007D59BA"/>
    <w:rsid w:val="008A2B1A"/>
    <w:rsid w:val="009E76BF"/>
    <w:rsid w:val="00AA4A09"/>
    <w:rsid w:val="00B16836"/>
    <w:rsid w:val="00C56F8A"/>
    <w:rsid w:val="00C62AF5"/>
    <w:rsid w:val="00CB23FA"/>
    <w:rsid w:val="00CD6CB4"/>
    <w:rsid w:val="00DC6851"/>
    <w:rsid w:val="00E813B1"/>
    <w:rsid w:val="039A6EA0"/>
    <w:rsid w:val="147D40CE"/>
    <w:rsid w:val="19CE059A"/>
    <w:rsid w:val="1C387BA7"/>
    <w:rsid w:val="1D0D1970"/>
    <w:rsid w:val="1EB01EBE"/>
    <w:rsid w:val="25841144"/>
    <w:rsid w:val="25B31BD5"/>
    <w:rsid w:val="26304FDA"/>
    <w:rsid w:val="288279E2"/>
    <w:rsid w:val="2AC63753"/>
    <w:rsid w:val="2BDE2CA7"/>
    <w:rsid w:val="321A1800"/>
    <w:rsid w:val="32AA505F"/>
    <w:rsid w:val="34803862"/>
    <w:rsid w:val="39D7551C"/>
    <w:rsid w:val="45C64D7A"/>
    <w:rsid w:val="4BAD1DCF"/>
    <w:rsid w:val="516175A4"/>
    <w:rsid w:val="523D0791"/>
    <w:rsid w:val="5C906EEF"/>
    <w:rsid w:val="5EA64025"/>
    <w:rsid w:val="617D56EF"/>
    <w:rsid w:val="65335600"/>
    <w:rsid w:val="6841155D"/>
    <w:rsid w:val="707B1384"/>
    <w:rsid w:val="7314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szCs w:val="24"/>
    </w:rPr>
  </w:style>
  <w:style w:type="character" w:customStyle="1" w:styleId="7">
    <w:name w:val="页眉 Char"/>
    <w:basedOn w:val="6"/>
    <w:link w:val="3"/>
    <w:semiHidden/>
    <w:qFormat/>
    <w:uiPriority w:val="99"/>
    <w:rPr>
      <w:rFonts w:ascii="Calibri" w:hAnsi="Calibri"/>
      <w:kern w:val="2"/>
      <w:sz w:val="18"/>
      <w:szCs w:val="18"/>
    </w:rPr>
  </w:style>
  <w:style w:type="character" w:customStyle="1" w:styleId="8">
    <w:name w:val="页脚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2868</Words>
  <Characters>2978</Characters>
  <Lines>26</Lines>
  <Paragraphs>7</Paragraphs>
  <TotalTime>0</TotalTime>
  <ScaleCrop>false</ScaleCrop>
  <LinksUpToDate>false</LinksUpToDate>
  <CharactersWithSpaces>2987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2023-05-18T00:41:00Z</dcterms:created>
  <dc:creator>Administrator</dc:creator>
  <cp:lastModifiedBy>Lily</cp:lastModifiedBy>
  <dcterms:modified xsi:type="dcterms:W3CDTF">2025-04-08T09:04:35Z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0281CEDD813048E8AB2C6F9926B78C32_13</vt:lpwstr>
  </property>
  <property fmtid="{D5CDD505-2E9C-101B-9397-08002B2CF9AE}" pid="4" name="KSOTemplateDocerSaveRecord">
    <vt:lpwstr>eyJoZGlkIjoiNDI4ZTBjNTgyYTMzZTUyOGIxMGNhZTg3NDM3OTY4YjgiLCJ1c2VySWQiOiI0OTg1OTAyNjMifQ==</vt:lpwstr>
  </property>
</Properties>
</file>