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61"/>
        <w:gridCol w:w="1161"/>
        <w:gridCol w:w="1167"/>
        <w:gridCol w:w="1161"/>
        <w:gridCol w:w="1167"/>
        <w:gridCol w:w="1161"/>
        <w:gridCol w:w="1161"/>
        <w:gridCol w:w="1161"/>
        <w:gridCol w:w="1161"/>
        <w:gridCol w:w="1168"/>
        <w:gridCol w:w="1168"/>
      </w:tblGrid>
      <w:tr w14:paraId="44E0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B24118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  <w:t xml:space="preserve">财政拨款“三公”经费支出决算表 </w:t>
            </w:r>
          </w:p>
        </w:tc>
      </w:tr>
      <w:tr w14:paraId="658D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16" w:type="pct"/>
            <w:shd w:val="clear" w:color="auto" w:fill="auto"/>
            <w:vAlign w:val="center"/>
          </w:tcPr>
          <w:p w14:paraId="39ED9AB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D5E5EF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4C712D8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A18DA22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90056C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8B6215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6B2BF0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AF1C38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53FB157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0F037D0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5C90291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306032A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公开09表 </w:t>
            </w:r>
          </w:p>
        </w:tc>
      </w:tr>
      <w:tr w14:paraId="2442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6" w:type="pct"/>
            <w:gridSpan w:val="4"/>
            <w:shd w:val="clear" w:color="auto" w:fill="auto"/>
            <w:vAlign w:val="center"/>
          </w:tcPr>
          <w:p w14:paraId="7371A5A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部门：桃江县石牛江镇人民政府 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53D702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5C3B3CC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DE235E6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F0383BD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42CD1821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E5CCD83"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57F72185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  <w:t xml:space="preserve">金额单位：万元 </w:t>
            </w:r>
          </w:p>
        </w:tc>
      </w:tr>
      <w:tr w14:paraId="67A4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00" w:type="pct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60047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预算数 </w:t>
            </w:r>
          </w:p>
        </w:tc>
        <w:tc>
          <w:tcPr>
            <w:tcW w:w="2500" w:type="pct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3BEEF6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决算数 </w:t>
            </w:r>
          </w:p>
        </w:tc>
      </w:tr>
      <w:tr w14:paraId="7238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E9F7F8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B2C28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因公出国（境）费 </w:t>
            </w:r>
          </w:p>
        </w:tc>
        <w:tc>
          <w:tcPr>
            <w:tcW w:w="1250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B2CF64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公务用车购置及运行维护费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1D914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公务接待费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7F3D6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合计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360563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因公出国（境）费 </w:t>
            </w:r>
          </w:p>
        </w:tc>
        <w:tc>
          <w:tcPr>
            <w:tcW w:w="1250" w:type="pct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B9AC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公务用车购置及运行维护费 </w:t>
            </w:r>
          </w:p>
        </w:tc>
        <w:tc>
          <w:tcPr>
            <w:tcW w:w="0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45F95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公务接待费 </w:t>
            </w:r>
          </w:p>
        </w:tc>
      </w:tr>
      <w:tr w14:paraId="20BB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F505782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616526F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6D0DE7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小计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2B26E5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公务用车购置费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36BC6C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公务用车运行维护费 </w:t>
            </w: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309EF35C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776C75B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5ED89E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9B08A5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小计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533B18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公务用车购置费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D9468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公务用车运行维护费 </w:t>
            </w:r>
          </w:p>
        </w:tc>
        <w:tc>
          <w:tcPr>
            <w:tcW w:w="0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61E64E8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4BE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6D6BD2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943849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A4A350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3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DBC4FF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C9B07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5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1FAC9C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6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A5D5C0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7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FEC866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8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48DEEB5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9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308023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0C8ECC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11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0DA5CC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12 </w:t>
            </w:r>
          </w:p>
        </w:tc>
      </w:tr>
      <w:tr w14:paraId="69E9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032936D0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20.11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025AD17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CF70D36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A428FD8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277AE31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3B95C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16.11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12F764A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20.11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7737E8DD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6C08D8E9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50D25C32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0.00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16EE7BE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4.00 </w:t>
            </w:r>
          </w:p>
        </w:tc>
        <w:tc>
          <w:tcPr>
            <w:tcW w:w="41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 w14:paraId="2E5B98BB"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16.11 </w:t>
            </w:r>
          </w:p>
        </w:tc>
      </w:tr>
      <w:tr w14:paraId="390B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2A1B541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  <w:t xml:space="preserve">注：本表反映部门本年度财政拨款“三公”经费支出预决算情况。其中，预算数为“三公”经费全年预算数，反映按规定程序调整后的预算数；决算数是包括当年财政拨款和以前年度结转资金安排的实际支出。本表金额转换为万元时，因四舍五入可能存在尾数误差。 </w:t>
            </w:r>
          </w:p>
        </w:tc>
      </w:tr>
    </w:tbl>
    <w:p w14:paraId="20439D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2M3ZDM3ZTA1ZjFiYjIwMWZhMGI3MWU4NWU0ODkifQ=="/>
  </w:docVars>
  <w:rsids>
    <w:rsidRoot w:val="7CF3657E"/>
    <w:rsid w:val="7CF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2024-11-13T16:08:00Z</dcterms:created>
  <dc:creator>不想说话</dc:creator>
  <cp:lastModifiedBy>不想说话</cp:lastModifiedBy>
  <dcterms:modified xsi:type="dcterms:W3CDTF">2024-11-13T16:10:42Z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77C053CFC61D4F6DA41F8EAFDFF5DB72_11</vt:lpwstr>
  </property>
</Properties>
</file>