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FE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黑体" w:eastAsia="方正小标宋简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桃江县疾病预防控制中心</w:t>
      </w:r>
      <w:r>
        <w:rPr>
          <w:rFonts w:hint="eastAsia" w:ascii="方正小标宋简体" w:hAnsi="黑体" w:eastAsia="方正小标宋简体" w:cs="黑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2023年部门整体支出绩效自评报告</w:t>
      </w:r>
      <w:bookmarkStart w:id="0" w:name="_GoBack"/>
      <w:bookmarkEnd w:id="0"/>
    </w:p>
    <w:p w14:paraId="23BD9BCE">
      <w:pPr>
        <w:spacing w:line="600" w:lineRule="exact"/>
        <w:ind w:firstLine="800" w:firstLineChars="250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有序开展业务工作</w:t>
      </w:r>
    </w:p>
    <w:p w14:paraId="2623E997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（一）强化重点传染病防控。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报告甲乙丙类传染病9217例，报告发病率为1387.81/十万，较去年同期（2066例）上升346.13%。无甲类传染病报告；乙类传染病报告6393例，报告发病率为965.60/十万，较去年同期（1247例）上升405.45%；丙类传染病报告2393例，报告发病率为353.52/十万，较去年同期（1311例）上升387.64%。上述发病率上升的原因主要是今年上半年新冠、流感的大流行，经益阳市疾控中心统计剔除新冠，桃江县甲乙类传染病报告发病率低于前五年的平均水平。新冠报告4764例，较去年同期（5例）上升951.80%；流感报告1802例，较去年同期（394例）上升357.36%。</w:t>
      </w:r>
    </w:p>
    <w:p w14:paraId="69D922C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冠疫情得到进一步有效控制。报告新冠病毒感染确诊病例4764例。开展变异监测41期，采样140份，发现变异株15例，未发现致病力明显增强变异株。针对所有变异株均已及时开展流调。规范调查处置1起新冠聚集疫情。</w:t>
      </w:r>
    </w:p>
    <w:p w14:paraId="2580DE2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新发现并指导管理肺结核病人389例，其中学校散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发病例</w:t>
      </w:r>
      <w:r>
        <w:rPr>
          <w:rFonts w:hint="eastAsia" w:ascii="仿宋_GB2312" w:hAnsi="仿宋_GB2312" w:eastAsia="仿宋_GB2312" w:cs="仿宋_GB2312"/>
          <w:sz w:val="32"/>
          <w:szCs w:val="32"/>
        </w:rPr>
        <w:t>24例（学生16例，老师8例）。对全县15个乡镇251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个学校和幼儿园师生（含入学新生、学校教师员工、高三学生等）进行了肺结核筛查，症状筛查32038人次，PPD筛查21512人；在筛查中发现强阳人员 616人，均按要求进行胸部X光片（DR）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，其中发现新发活动性肺结核患者6例。</w:t>
      </w:r>
    </w:p>
    <w:p w14:paraId="2B34FE69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报告并处置艾滋病病例62例（累计报告艾滋病人和艾滋病病毒感染者655人，存活496人）。</w:t>
      </w:r>
    </w:p>
    <w:p w14:paraId="7832CD3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全年调查处置流感、布鲁氏病、手足口、感染性腹泻、水痘等传染病卫生应急事件37起。</w:t>
      </w:r>
    </w:p>
    <w:p w14:paraId="18928CF9">
      <w:pPr>
        <w:spacing w:line="59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（二）加强免疫规划管理。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完成冷链运</w:t>
      </w:r>
      <w:r>
        <w:rPr>
          <w:rFonts w:hint="eastAsia" w:ascii="仿宋_GB2312" w:hAnsi="仿宋_GB2312" w:eastAsia="仿宋_GB2312" w:cs="仿宋_GB2312"/>
          <w:sz w:val="32"/>
          <w:szCs w:val="32"/>
        </w:rPr>
        <w:t>转12次，冷链配送国家免疫规划疫苗83888剂次，报告接种76030剂次。处置新冠疫苗等疑似异常接种事件60起。</w:t>
      </w:r>
    </w:p>
    <w:p w14:paraId="062B23D5"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（三）办好民生实事项目。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免费预防性健康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体检30113人，发现疑似活动性结核47例，确诊5例须调离相关工作岗位；免费职业健康体检2838人，发现疑似职业病11人，职业禁忌2人。</w:t>
      </w:r>
    </w:p>
    <w:p w14:paraId="4386DEA1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全年2次对全县126家农饮水工程进行采样监测，检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测样品350个，合格率80.6%；每季度对城乡生活饮用水监测项目监测点进行监测采样，检测样品150个，合格率100%。</w:t>
      </w:r>
    </w:p>
    <w:p w14:paraId="3392AF7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对宾馆、美容美发店洗浴会所</w:t>
      </w:r>
      <w:r>
        <w:rPr>
          <w:rFonts w:hint="eastAsia" w:ascii="仿宋_GB2312" w:hAnsi="仿宋_GB2312" w:eastAsia="仿宋_GB2312" w:cs="仿宋_GB2312"/>
          <w:sz w:val="32"/>
          <w:szCs w:val="32"/>
        </w:rPr>
        <w:t>等750家公共场所进行了卫生学监测，共</w:t>
      </w:r>
      <w:r>
        <w:rPr>
          <w:rFonts w:ascii="仿宋_GB2312" w:hAnsi="仿宋_GB2312" w:eastAsia="仿宋_GB2312" w:cs="仿宋_GB2312"/>
          <w:sz w:val="32"/>
          <w:szCs w:val="32"/>
        </w:rPr>
        <w:t>监测了</w:t>
      </w:r>
      <w:r>
        <w:rPr>
          <w:rFonts w:hint="eastAsia" w:ascii="仿宋_GB2312" w:hAnsi="仿宋_GB2312" w:eastAsia="仿宋_GB2312" w:cs="仿宋_GB2312"/>
          <w:sz w:val="32"/>
          <w:szCs w:val="32"/>
        </w:rPr>
        <w:t>890</w:t>
      </w:r>
      <w:r>
        <w:rPr>
          <w:rFonts w:ascii="仿宋_GB2312" w:hAnsi="仿宋_GB2312" w:eastAsia="仿宋_GB2312" w:cs="仿宋_GB2312"/>
          <w:sz w:val="32"/>
          <w:szCs w:val="32"/>
        </w:rPr>
        <w:t>个物理因素监测点，采集了</w:t>
      </w:r>
      <w:r>
        <w:rPr>
          <w:rFonts w:hint="eastAsia" w:ascii="仿宋_GB2312" w:hAnsi="仿宋_GB2312" w:eastAsia="仿宋_GB2312" w:cs="仿宋_GB2312"/>
          <w:sz w:val="32"/>
          <w:szCs w:val="32"/>
        </w:rPr>
        <w:t>796</w:t>
      </w:r>
      <w:r>
        <w:rPr>
          <w:rFonts w:ascii="仿宋_GB2312" w:hAnsi="仿宋_GB2312" w:eastAsia="仿宋_GB2312" w:cs="仿宋_GB2312"/>
          <w:sz w:val="32"/>
          <w:szCs w:val="32"/>
        </w:rPr>
        <w:t>个顾客用具黏贴样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，合格率90%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69166650"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对医院消毒情况进行监测，检测样品901份样品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，合格率为98.0%；</w:t>
      </w:r>
    </w:p>
    <w:p w14:paraId="1763346D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食品安全风险监测工作，采集并送检样品60份；全年报告1195例食源性疾病病例、7起食源性疾病事件。</w:t>
      </w:r>
    </w:p>
    <w:p w14:paraId="2E7A13DD">
      <w:pPr>
        <w:numPr>
          <w:ilvl w:val="0"/>
          <w:numId w:val="1"/>
        </w:numPr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扎实做好基本公卫服务指导。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我中心承担的公卫服务指导占比达</w:t>
      </w:r>
      <w:r>
        <w:rPr>
          <w:rFonts w:hint="eastAsia" w:ascii="仿宋_GB2312" w:hAnsi="仿宋_GB2312" w:eastAsia="仿宋_GB2312" w:cs="仿宋_GB2312"/>
          <w:sz w:val="32"/>
          <w:szCs w:val="32"/>
        </w:rPr>
        <w:t>60%。6个科室平时下乡面对面开展专业指导；组织到中心专项培训12次；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公平公正开展季度、半年度和年度考核，全面梳理存在的问题；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充分发挥县疾控与省疾控专家的纽带作用，指导乡镇迎国检。</w:t>
      </w:r>
    </w:p>
    <w:p w14:paraId="73935D1B">
      <w:pPr>
        <w:numPr>
          <w:ilvl w:val="0"/>
          <w:numId w:val="1"/>
        </w:num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</w:t>
      </w:r>
      <w:r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规范财务管理。</w:t>
      </w:r>
      <w:r>
        <w:rPr>
          <w:rFonts w:hint="eastAsia" w:ascii="Times New Roman" w:hAnsi="Times New Roman" w:eastAsia="仿宋_GB2312"/>
          <w:sz w:val="32"/>
          <w:szCs w:val="32"/>
        </w:rPr>
        <w:t>实行全面预算管理；</w:t>
      </w:r>
      <w:r>
        <w:rPr>
          <w:rFonts w:ascii="Times New Roman" w:hAnsi="Times New Roman" w:eastAsia="仿宋_GB2312"/>
          <w:sz w:val="32"/>
          <w:szCs w:val="32"/>
        </w:rPr>
        <w:t>严格规范公务接待；严格实行财务会审联签制度；</w:t>
      </w:r>
      <w:r>
        <w:rPr>
          <w:rFonts w:hint="eastAsia" w:ascii="Times New Roman" w:hAnsi="Times New Roman" w:eastAsia="仿宋_GB2312"/>
          <w:sz w:val="32"/>
          <w:szCs w:val="32"/>
        </w:rPr>
        <w:t>力争上级项目和工作经费，保障单位正常运转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24D89AF0">
      <w:pPr>
        <w:numPr>
          <w:ilvl w:val="0"/>
          <w:numId w:val="1"/>
        </w:numPr>
        <w:ind w:firstLine="643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持续开展“清廉疾控”建设。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加强干职工清廉学习教育，强作风，守底线。进一步完善采购制度，持续推进医德医风问题和医药领域腐败问题集中整治工作。</w:t>
      </w:r>
    </w:p>
    <w:p w14:paraId="3E9D6646"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统筹做好党建、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党风廉政建设、</w:t>
      </w:r>
      <w:r>
        <w:rPr>
          <w:rFonts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意识形态、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乡村振兴</w:t>
      </w:r>
      <w:r>
        <w:rPr>
          <w:rFonts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、双创、综合治理、安全生产、扫黑除恶等其它工作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07FC2997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二、特色工作</w:t>
      </w:r>
    </w:p>
    <w:p w14:paraId="19951ED7"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1、自身能力得到加强。</w:t>
      </w:r>
      <w:r>
        <w:rPr>
          <w:rFonts w:hint="eastAsia" w:ascii="仿宋_GB2312" w:eastAsia="仿宋_GB2312"/>
          <w:sz w:val="32"/>
          <w:szCs w:val="32"/>
        </w:rPr>
        <w:t>完成检验检测能力建设；购置一批先进检测设备；通过CMA认证复核；加强传染病防控的实战和演练；加强了人才培训；引进本科生3名，努力向“一锤定音”的检测能力和应急处置能力奋斗</w:t>
      </w:r>
    </w:p>
    <w:p w14:paraId="035EE139">
      <w:pPr>
        <w:ind w:firstLine="643" w:firstLineChars="200"/>
        <w:rPr>
          <w:rFonts w:ascii="仿宋_GB2312" w:hAnsi="仿宋_GB2312" w:eastAsia="仿宋_GB2312" w:cs="仿宋_GB2312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2、推进疫苗冷链监测和预防接种门诊标准化建设。</w:t>
      </w:r>
      <w:r>
        <w:rPr>
          <w:rFonts w:hint="eastAsia" w:ascii="仿宋_GB2312" w:hAnsi="仿宋_GB2312" w:eastAsia="仿宋_GB2312" w:cs="仿宋_GB2312"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通过积极向省级主管部门争取资金和疾控中心自筹，连续3年为各乡镇疫苗接种点更换冷链冰箱，建立了全县冷链设备温度监测系统，完善了预防接种电子核签，实现了我县预防接种电子核签和冷链设备温度监测控制全覆盖，有效提升了疫苗使用管理和预防接种服务水平。</w:t>
      </w:r>
    </w:p>
    <w:p w14:paraId="74EFB099">
      <w:pPr>
        <w:spacing w:line="580" w:lineRule="exact"/>
        <w:ind w:firstLine="651" w:firstLineChars="200"/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3、厉行节约，积极争取各级经费支持。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一是制定并严格落实全面预算管理措施，厉行节约。二是争取了中央、省、县各级业务经费、项目经费的大力支持。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人员经费和业务专项工作经费基本得到保障。</w:t>
      </w:r>
    </w:p>
    <w:p w14:paraId="37D3E782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三、存在的问题</w:t>
      </w:r>
    </w:p>
    <w:p w14:paraId="22C53FB3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、目前有部分乡镇疫苗欠款己超出乡镇和疾控中心承受的范围，严重影响预防接种工作的正常运转。 </w:t>
      </w:r>
    </w:p>
    <w:p w14:paraId="282FEEC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、疾控中心与执法局高度融合需要长期的过程。主要原因是由于原两个单位的编制性质、财政经费拨付、履职要求等不同，办公场所难以整合，上级缺乏实质性的指导意见。</w:t>
      </w:r>
    </w:p>
    <w:p w14:paraId="03A3A353">
      <w:pPr>
        <w:spacing w:line="580" w:lineRule="atLeast"/>
        <w:ind w:firstLine="1120" w:firstLineChars="35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</w:t>
      </w:r>
    </w:p>
    <w:p w14:paraId="68440655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873102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1DC1DF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1F52AF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45F709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1C8FE7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1BDB6A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0FBA6D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F070B2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731B3A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0C627C">
      <w:pPr>
        <w:spacing w:line="600" w:lineRule="exact"/>
        <w:ind w:firstLine="800" w:firstLineChars="25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654622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4936"/>
      <w:docPartObj>
        <w:docPartGallery w:val="autotext"/>
      </w:docPartObj>
    </w:sdtPr>
    <w:sdtContent>
      <w:p w14:paraId="52500041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 w14:paraId="2164D2F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3F890"/>
    <w:multiLevelType w:val="singleLevel"/>
    <w:tmpl w:val="9C13F89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DIxZWE5YWYxYjdkODZmYTJjNGYxODhlYjhhMDEifQ=="/>
  </w:docVars>
  <w:rsids>
    <w:rsidRoot w:val="4E820A0C"/>
    <w:rsid w:val="00073C30"/>
    <w:rsid w:val="000741FB"/>
    <w:rsid w:val="00074E11"/>
    <w:rsid w:val="00096696"/>
    <w:rsid w:val="000B08F1"/>
    <w:rsid w:val="000B26E0"/>
    <w:rsid w:val="000B2DB2"/>
    <w:rsid w:val="000C1720"/>
    <w:rsid w:val="000C5F3F"/>
    <w:rsid w:val="000D0598"/>
    <w:rsid w:val="000F2321"/>
    <w:rsid w:val="00103415"/>
    <w:rsid w:val="001063E1"/>
    <w:rsid w:val="0010734A"/>
    <w:rsid w:val="0014775A"/>
    <w:rsid w:val="00172724"/>
    <w:rsid w:val="00185F7B"/>
    <w:rsid w:val="00193478"/>
    <w:rsid w:val="00195F17"/>
    <w:rsid w:val="001A65C1"/>
    <w:rsid w:val="001B68E8"/>
    <w:rsid w:val="00201F55"/>
    <w:rsid w:val="00202B66"/>
    <w:rsid w:val="0022599F"/>
    <w:rsid w:val="0022634B"/>
    <w:rsid w:val="00254FAC"/>
    <w:rsid w:val="00287E52"/>
    <w:rsid w:val="002963EB"/>
    <w:rsid w:val="002B43B5"/>
    <w:rsid w:val="002B56C1"/>
    <w:rsid w:val="002C4E53"/>
    <w:rsid w:val="00306D4E"/>
    <w:rsid w:val="0032277B"/>
    <w:rsid w:val="00325A88"/>
    <w:rsid w:val="00362298"/>
    <w:rsid w:val="00367FEA"/>
    <w:rsid w:val="003826EB"/>
    <w:rsid w:val="0039145F"/>
    <w:rsid w:val="003C6924"/>
    <w:rsid w:val="003E1C77"/>
    <w:rsid w:val="003E320B"/>
    <w:rsid w:val="003F090F"/>
    <w:rsid w:val="0040679B"/>
    <w:rsid w:val="00444C2B"/>
    <w:rsid w:val="00485A44"/>
    <w:rsid w:val="00486A9D"/>
    <w:rsid w:val="004870F1"/>
    <w:rsid w:val="004A6981"/>
    <w:rsid w:val="004C0496"/>
    <w:rsid w:val="004C581A"/>
    <w:rsid w:val="004E212B"/>
    <w:rsid w:val="004F22DE"/>
    <w:rsid w:val="004F6A1C"/>
    <w:rsid w:val="00502BFD"/>
    <w:rsid w:val="00503131"/>
    <w:rsid w:val="00526FFB"/>
    <w:rsid w:val="0053134C"/>
    <w:rsid w:val="00540101"/>
    <w:rsid w:val="00541B0D"/>
    <w:rsid w:val="0054518C"/>
    <w:rsid w:val="00552B50"/>
    <w:rsid w:val="005638F3"/>
    <w:rsid w:val="00576590"/>
    <w:rsid w:val="00577207"/>
    <w:rsid w:val="00583E98"/>
    <w:rsid w:val="005843F3"/>
    <w:rsid w:val="005C289C"/>
    <w:rsid w:val="005F001C"/>
    <w:rsid w:val="005F720B"/>
    <w:rsid w:val="00613031"/>
    <w:rsid w:val="006141B9"/>
    <w:rsid w:val="00621656"/>
    <w:rsid w:val="00627753"/>
    <w:rsid w:val="00665F3B"/>
    <w:rsid w:val="00680ABA"/>
    <w:rsid w:val="00681E4D"/>
    <w:rsid w:val="006965F1"/>
    <w:rsid w:val="006C2011"/>
    <w:rsid w:val="006C7A73"/>
    <w:rsid w:val="006F63BD"/>
    <w:rsid w:val="007016D4"/>
    <w:rsid w:val="00707F09"/>
    <w:rsid w:val="00756884"/>
    <w:rsid w:val="007862E6"/>
    <w:rsid w:val="00787E45"/>
    <w:rsid w:val="007951A0"/>
    <w:rsid w:val="007A2C04"/>
    <w:rsid w:val="007A40C0"/>
    <w:rsid w:val="007D2461"/>
    <w:rsid w:val="007D3243"/>
    <w:rsid w:val="007E207A"/>
    <w:rsid w:val="007F6122"/>
    <w:rsid w:val="00841704"/>
    <w:rsid w:val="00853636"/>
    <w:rsid w:val="008854BE"/>
    <w:rsid w:val="0089214C"/>
    <w:rsid w:val="008A421E"/>
    <w:rsid w:val="008B29B3"/>
    <w:rsid w:val="008B4378"/>
    <w:rsid w:val="008F72B9"/>
    <w:rsid w:val="0090738A"/>
    <w:rsid w:val="0094009C"/>
    <w:rsid w:val="00967698"/>
    <w:rsid w:val="00A131FB"/>
    <w:rsid w:val="00A2440B"/>
    <w:rsid w:val="00A27422"/>
    <w:rsid w:val="00A27C55"/>
    <w:rsid w:val="00A31802"/>
    <w:rsid w:val="00A31A17"/>
    <w:rsid w:val="00A850CE"/>
    <w:rsid w:val="00AA2CA6"/>
    <w:rsid w:val="00AB75F6"/>
    <w:rsid w:val="00AC46BD"/>
    <w:rsid w:val="00AD0A13"/>
    <w:rsid w:val="00AE5FF7"/>
    <w:rsid w:val="00AF2E7D"/>
    <w:rsid w:val="00AF7B75"/>
    <w:rsid w:val="00B12881"/>
    <w:rsid w:val="00B26B17"/>
    <w:rsid w:val="00B44C1B"/>
    <w:rsid w:val="00B537D2"/>
    <w:rsid w:val="00B71158"/>
    <w:rsid w:val="00B819A8"/>
    <w:rsid w:val="00B91F05"/>
    <w:rsid w:val="00B93357"/>
    <w:rsid w:val="00BF37BA"/>
    <w:rsid w:val="00C021C1"/>
    <w:rsid w:val="00C306CB"/>
    <w:rsid w:val="00C33767"/>
    <w:rsid w:val="00C70397"/>
    <w:rsid w:val="00CA2A0E"/>
    <w:rsid w:val="00CC33E4"/>
    <w:rsid w:val="00CD572F"/>
    <w:rsid w:val="00CE7473"/>
    <w:rsid w:val="00D1266E"/>
    <w:rsid w:val="00D25588"/>
    <w:rsid w:val="00D530A4"/>
    <w:rsid w:val="00D721B2"/>
    <w:rsid w:val="00D74822"/>
    <w:rsid w:val="00D77387"/>
    <w:rsid w:val="00D77AB0"/>
    <w:rsid w:val="00D87CB0"/>
    <w:rsid w:val="00DC78CE"/>
    <w:rsid w:val="00E11A61"/>
    <w:rsid w:val="00E44B9D"/>
    <w:rsid w:val="00E62A0C"/>
    <w:rsid w:val="00E714EE"/>
    <w:rsid w:val="00EE747A"/>
    <w:rsid w:val="00EE75E1"/>
    <w:rsid w:val="00F02562"/>
    <w:rsid w:val="00F277EF"/>
    <w:rsid w:val="00F37EFD"/>
    <w:rsid w:val="00F609F6"/>
    <w:rsid w:val="00F8702C"/>
    <w:rsid w:val="00F96F27"/>
    <w:rsid w:val="00FC46EB"/>
    <w:rsid w:val="00FD309B"/>
    <w:rsid w:val="00FF5B82"/>
    <w:rsid w:val="00FF7901"/>
    <w:rsid w:val="123F13C6"/>
    <w:rsid w:val="15ED0F15"/>
    <w:rsid w:val="179C7DA4"/>
    <w:rsid w:val="2D802F32"/>
    <w:rsid w:val="30A43B88"/>
    <w:rsid w:val="30FD5C17"/>
    <w:rsid w:val="32A57AD0"/>
    <w:rsid w:val="39AF6B2C"/>
    <w:rsid w:val="41AA57CC"/>
    <w:rsid w:val="4D9E02AD"/>
    <w:rsid w:val="4E820A0C"/>
    <w:rsid w:val="52C13385"/>
    <w:rsid w:val="52C70E75"/>
    <w:rsid w:val="55C8760A"/>
    <w:rsid w:val="63846011"/>
    <w:rsid w:val="676B3692"/>
    <w:rsid w:val="6C6F2780"/>
    <w:rsid w:val="799E0E0B"/>
    <w:rsid w:val="7ABA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jc w:val="center"/>
      <w:textAlignment w:val="baseline"/>
    </w:pPr>
    <w:rPr>
      <w:rFonts w:hint="eastAsia" w:ascii="宋体" w:hAnsi="Cambria"/>
      <w:b/>
      <w:sz w:val="32"/>
      <w:szCs w:val="24"/>
    </w:rPr>
  </w:style>
  <w:style w:type="paragraph" w:customStyle="1" w:styleId="7">
    <w:name w:val="Heading4"/>
    <w:basedOn w:val="1"/>
    <w:next w:val="1"/>
    <w:qFormat/>
    <w:uiPriority w:val="99"/>
    <w:pPr>
      <w:spacing w:line="360" w:lineRule="auto"/>
      <w:ind w:left="198"/>
    </w:pPr>
    <w:rPr>
      <w:rFonts w:ascii="Arial" w:hAnsi="Arial"/>
      <w:bCs/>
      <w:sz w:val="24"/>
      <w:szCs w:val="21"/>
    </w:rPr>
  </w:style>
  <w:style w:type="paragraph" w:customStyle="1" w:styleId="8">
    <w:name w:val="BodyText"/>
    <w:basedOn w:val="1"/>
    <w:next w:val="4"/>
    <w:qFormat/>
    <w:uiPriority w:val="0"/>
    <w:pPr>
      <w:spacing w:line="360" w:lineRule="auto"/>
      <w:ind w:firstLine="936" w:firstLineChars="200"/>
      <w:jc w:val="left"/>
      <w:textAlignment w:val="baseline"/>
    </w:pPr>
    <w:rPr>
      <w:rFonts w:eastAsia="仿宋_GB2312"/>
      <w:sz w:val="28"/>
      <w:szCs w:val="28"/>
    </w:rPr>
  </w:style>
  <w:style w:type="paragraph" w:customStyle="1" w:styleId="9">
    <w:name w:val="p17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黑体" w:cs="Verdana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1683</Words>
  <Characters>1852</Characters>
  <Lines>2</Lines>
  <Paragraphs>6</Paragraphs>
  <TotalTime>0</TotalTime>
  <ScaleCrop>false</ScaleCrop>
  <LinksUpToDate>false</LinksUpToDate>
  <CharactersWithSpaces>1856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2023-12-14T01:45:00Z</dcterms:created>
  <dc:creator>文小卓</dc:creator>
  <cp:lastModifiedBy>WPS_1647938413</cp:lastModifiedBy>
  <dcterms:modified xsi:type="dcterms:W3CDTF">2024-11-21T07:24:52Z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D072850F37504FA88950B65DDFFF89F3_13</vt:lpwstr>
  </property>
</Properties>
</file>