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bookmarkStart w:id="0" w:name="_Hlk170746155"/>
      <w:r>
        <w:rPr>
          <w:rFonts w:ascii="Times New Roman" w:hAnsi="Times New Roman" w:eastAsia="黑体"/>
          <w:snapToGrid w:val="0"/>
          <w:color w:val="auto"/>
          <w:sz w:val="52"/>
          <w:szCs w:val="52"/>
        </w:rPr>
        <w:t>桃江县先进装备制造产业规划（2024—2035年）</w:t>
      </w:r>
      <w:bookmarkEnd w:id="0"/>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before="63" w:after="63" w:line="360" w:lineRule="auto"/>
        <w:rPr>
          <w:rFonts w:ascii="Times New Roman" w:hAnsi="Times New Roman" w:eastAsia="黑体"/>
          <w:snapToGrid w:val="0"/>
          <w:color w:val="auto"/>
          <w:sz w:val="52"/>
          <w:szCs w:val="52"/>
        </w:rPr>
      </w:pPr>
    </w:p>
    <w:p>
      <w:pPr>
        <w:adjustRightInd w:val="0"/>
        <w:snapToGrid w:val="0"/>
        <w:spacing w:line="360" w:lineRule="auto"/>
        <w:rPr>
          <w:rFonts w:ascii="Times New Roman" w:hAnsi="Times New Roman" w:eastAsia="黑体"/>
          <w:snapToGrid w:val="0"/>
          <w:color w:val="auto"/>
          <w:sz w:val="36"/>
          <w:szCs w:val="36"/>
        </w:rPr>
      </w:pPr>
      <w:bookmarkStart w:id="91" w:name="_GoBack"/>
      <w:bookmarkEnd w:id="91"/>
      <w:r>
        <w:rPr>
          <w:rFonts w:ascii="Times New Roman" w:hAnsi="Times New Roman" w:eastAsia="黑体"/>
          <w:snapToGrid w:val="0"/>
          <w:color w:val="auto"/>
          <w:sz w:val="36"/>
          <w:szCs w:val="36"/>
        </w:rPr>
        <w:t>桃江县科学技术和工业信息化局</w:t>
      </w:r>
    </w:p>
    <w:p>
      <w:pPr>
        <w:adjustRightInd w:val="0"/>
        <w:snapToGrid w:val="0"/>
        <w:spacing w:line="360" w:lineRule="auto"/>
        <w:rPr>
          <w:rFonts w:ascii="Times New Roman" w:hAnsi="Times New Roman" w:eastAsia="黑体"/>
          <w:snapToGrid w:val="0"/>
          <w:color w:val="auto"/>
          <w:sz w:val="36"/>
          <w:szCs w:val="36"/>
        </w:rPr>
      </w:pPr>
      <w:r>
        <w:rPr>
          <w:rFonts w:ascii="Times New Roman" w:hAnsi="Times New Roman" w:eastAsia="黑体"/>
          <w:snapToGrid w:val="0"/>
          <w:color w:val="auto"/>
          <w:sz w:val="36"/>
          <w:szCs w:val="36"/>
        </w:rPr>
        <w:t>二〇二四年十一月</w:t>
      </w:r>
    </w:p>
    <w:p>
      <w:pPr>
        <w:adjustRightInd w:val="0"/>
        <w:snapToGrid w:val="0"/>
        <w:spacing w:line="360" w:lineRule="auto"/>
        <w:rPr>
          <w:rFonts w:ascii="Times New Roman" w:hAnsi="Times New Roman" w:eastAsia="黑体"/>
          <w:snapToGrid w:val="0"/>
          <w:color w:val="auto"/>
          <w:sz w:val="36"/>
          <w:szCs w:val="36"/>
        </w:rPr>
        <w:sectPr>
          <w:pgSz w:w="11906" w:h="16838"/>
          <w:pgMar w:top="1440" w:right="1800" w:bottom="1440" w:left="1800" w:header="851" w:footer="992" w:gutter="0"/>
          <w:cols w:space="425" w:num="1"/>
          <w:docGrid w:type="lines" w:linePitch="381" w:charSpace="0"/>
        </w:sectPr>
      </w:pPr>
    </w:p>
    <w:p>
      <w:pPr>
        <w:rPr>
          <w:rFonts w:ascii="Times New Roman" w:hAnsi="Times New Roman"/>
          <w:snapToGrid w:val="0"/>
        </w:rPr>
      </w:pPr>
    </w:p>
    <w:p>
      <w:pPr>
        <w:rPr>
          <w:rFonts w:ascii="Times New Roman" w:hAnsi="Times New Roman"/>
          <w:snapToGrid w:val="0"/>
        </w:rPr>
      </w:pPr>
    </w:p>
    <w:p>
      <w:pPr>
        <w:overflowPunct w:val="0"/>
        <w:snapToGrid w:val="0"/>
        <w:spacing w:line="360" w:lineRule="auto"/>
        <w:rPr>
          <w:rFonts w:ascii="Times New Roman" w:hAnsi="Times New Roman" w:eastAsia="黑体"/>
          <w:snapToGrid w:val="0"/>
          <w:color w:val="auto"/>
          <w:sz w:val="32"/>
          <w:szCs w:val="32"/>
        </w:rPr>
      </w:pPr>
    </w:p>
    <w:p>
      <w:pPr>
        <w:rPr>
          <w:rFonts w:ascii="Times New Roman" w:hAnsi="Times New Roman" w:eastAsia="黑体"/>
          <w:b/>
          <w:bCs/>
          <w:sz w:val="36"/>
          <w:szCs w:val="36"/>
        </w:rPr>
      </w:pPr>
      <w:r>
        <w:rPr>
          <w:rFonts w:ascii="Times New Roman" w:hAnsi="Times New Roman" w:eastAsia="黑体"/>
          <w:b/>
          <w:bCs/>
          <w:sz w:val="36"/>
          <w:szCs w:val="36"/>
        </w:rPr>
        <w:t>目 录</w:t>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TOC \o "1-2" \h \z \u </w:instrText>
      </w:r>
      <w:r>
        <w:fldChar w:fldCharType="separate"/>
      </w:r>
      <w:r>
        <w:fldChar w:fldCharType="begin"/>
      </w:r>
      <w:r>
        <w:instrText xml:space="preserve"> HYPERLINK \l "_Toc182907998" </w:instrText>
      </w:r>
      <w:r>
        <w:fldChar w:fldCharType="separate"/>
      </w:r>
      <w:r>
        <w:rPr>
          <w:rStyle w:val="25"/>
          <w:rFonts w:hint="eastAsia"/>
        </w:rPr>
        <w:t>第一章 发展基础和形势</w:t>
      </w:r>
      <w:r>
        <w:rPr>
          <w:rFonts w:hint="eastAsia"/>
        </w:rPr>
        <w:tab/>
      </w:r>
      <w:r>
        <w:rPr>
          <w:rFonts w:hint="eastAsia"/>
        </w:rPr>
        <w:fldChar w:fldCharType="begin"/>
      </w:r>
      <w:r>
        <w:rPr>
          <w:rFonts w:hint="eastAsia"/>
        </w:rPr>
        <w:instrText xml:space="preserve"> </w:instrText>
      </w:r>
      <w:r>
        <w:instrText xml:space="preserve">PAGEREF _Toc182907998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"_Toc182907999" </w:instrText>
      </w:r>
      <w:r>
        <w:fldChar w:fldCharType="separate"/>
      </w:r>
      <w:r>
        <w:rPr>
          <w:rStyle w:val="25"/>
          <w:rFonts w:hint="eastAsia"/>
          <w:bCs/>
        </w:rPr>
        <w:t>1.1</w:t>
      </w:r>
      <w:r>
        <w:rPr>
          <w:rStyle w:val="25"/>
          <w:rFonts w:hint="eastAsia"/>
        </w:rPr>
        <w:t xml:space="preserve"> 发展基础</w:t>
      </w:r>
      <w:r>
        <w:rPr>
          <w:rFonts w:hint="eastAsia"/>
        </w:rPr>
        <w:tab/>
      </w:r>
      <w:r>
        <w:rPr>
          <w:rFonts w:hint="eastAsia"/>
        </w:rPr>
        <w:fldChar w:fldCharType="begin"/>
      </w:r>
      <w:r>
        <w:rPr>
          <w:rFonts w:hint="eastAsia"/>
        </w:rPr>
        <w:instrText xml:space="preserve"> </w:instrText>
      </w:r>
      <w:r>
        <w:instrText xml:space="preserve">PAGEREF _Toc182907999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"_Toc182908000" </w:instrText>
      </w:r>
      <w:r>
        <w:fldChar w:fldCharType="separate"/>
      </w:r>
      <w:r>
        <w:rPr>
          <w:rStyle w:val="25"/>
          <w:rFonts w:hint="eastAsia"/>
          <w:bCs/>
        </w:rPr>
        <w:t>1.2</w:t>
      </w:r>
      <w:r>
        <w:rPr>
          <w:rStyle w:val="25"/>
          <w:rFonts w:hint="eastAsia"/>
        </w:rPr>
        <w:t xml:space="preserve"> 发展形势</w:t>
      </w:r>
      <w:r>
        <w:rPr>
          <w:rFonts w:hint="eastAsia"/>
        </w:rPr>
        <w:tab/>
      </w:r>
      <w:r>
        <w:rPr>
          <w:rFonts w:hint="eastAsia"/>
        </w:rPr>
        <w:fldChar w:fldCharType="begin"/>
      </w:r>
      <w:r>
        <w:rPr>
          <w:rFonts w:hint="eastAsia"/>
        </w:rPr>
        <w:instrText xml:space="preserve"> </w:instrText>
      </w:r>
      <w:r>
        <w:instrText xml:space="preserve">PAGEREF _Toc182908000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"_Toc182908001" </w:instrText>
      </w:r>
      <w:r>
        <w:fldChar w:fldCharType="separate"/>
      </w:r>
      <w:r>
        <w:rPr>
          <w:rStyle w:val="25"/>
          <w:rFonts w:hint="eastAsia"/>
          <w:bCs/>
        </w:rPr>
        <w:t>1.3</w:t>
      </w:r>
      <w:r>
        <w:rPr>
          <w:rStyle w:val="25"/>
          <w:rFonts w:hint="eastAsia"/>
        </w:rPr>
        <w:t xml:space="preserve"> 发展策略</w:t>
      </w:r>
      <w:r>
        <w:rPr>
          <w:rFonts w:hint="eastAsia"/>
        </w:rPr>
        <w:tab/>
      </w:r>
      <w:r>
        <w:rPr>
          <w:rFonts w:hint="eastAsia"/>
        </w:rPr>
        <w:fldChar w:fldCharType="begin"/>
      </w:r>
      <w:r>
        <w:rPr>
          <w:rFonts w:hint="eastAsia"/>
        </w:rPr>
        <w:instrText xml:space="preserve"> </w:instrText>
      </w:r>
      <w:r>
        <w:instrText xml:space="preserve">PAGEREF _Toc182908001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HYPERLINK \l "_Toc182908002" </w:instrText>
      </w:r>
      <w:r>
        <w:fldChar w:fldCharType="separate"/>
      </w:r>
      <w:r>
        <w:rPr>
          <w:rStyle w:val="25"/>
          <w:rFonts w:hint="eastAsia"/>
        </w:rPr>
        <w:t>第二章 总体要求</w:t>
      </w:r>
      <w:r>
        <w:rPr>
          <w:rFonts w:hint="eastAsia"/>
        </w:rPr>
        <w:tab/>
      </w:r>
      <w:r>
        <w:rPr>
          <w:rFonts w:hint="eastAsia"/>
        </w:rPr>
        <w:fldChar w:fldCharType="begin"/>
      </w:r>
      <w:r>
        <w:rPr>
          <w:rFonts w:hint="eastAsia"/>
        </w:rPr>
        <w:instrText xml:space="preserve"> </w:instrText>
      </w:r>
      <w:r>
        <w:instrText xml:space="preserve">PAGEREF _Toc182908002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"_Toc182908003" </w:instrText>
      </w:r>
      <w:r>
        <w:fldChar w:fldCharType="separate"/>
      </w:r>
      <w:r>
        <w:rPr>
          <w:rStyle w:val="25"/>
          <w:rFonts w:hint="eastAsia"/>
          <w:bCs/>
        </w:rPr>
        <w:t>2.1</w:t>
      </w:r>
      <w:r>
        <w:rPr>
          <w:rStyle w:val="25"/>
          <w:rFonts w:hint="eastAsia"/>
        </w:rPr>
        <w:t xml:space="preserve"> 总体思路</w:t>
      </w:r>
      <w:r>
        <w:rPr>
          <w:rFonts w:hint="eastAsia"/>
        </w:rPr>
        <w:tab/>
      </w:r>
      <w:r>
        <w:rPr>
          <w:rFonts w:hint="eastAsia"/>
        </w:rPr>
        <w:fldChar w:fldCharType="begin"/>
      </w:r>
      <w:r>
        <w:rPr>
          <w:rFonts w:hint="eastAsia"/>
        </w:rPr>
        <w:instrText xml:space="preserve"> </w:instrText>
      </w:r>
      <w:r>
        <w:instrText xml:space="preserve">PAGEREF _Toc182908003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"_Toc182908004" </w:instrText>
      </w:r>
      <w:r>
        <w:fldChar w:fldCharType="separate"/>
      </w:r>
      <w:r>
        <w:rPr>
          <w:rStyle w:val="25"/>
          <w:rFonts w:hint="eastAsia"/>
          <w:bCs/>
        </w:rPr>
        <w:t>2.2</w:t>
      </w:r>
      <w:r>
        <w:rPr>
          <w:rStyle w:val="25"/>
          <w:rFonts w:hint="eastAsia"/>
        </w:rPr>
        <w:t xml:space="preserve"> 基本原则</w:t>
      </w:r>
      <w:r>
        <w:rPr>
          <w:rFonts w:hint="eastAsia"/>
        </w:rPr>
        <w:tab/>
      </w:r>
      <w:r>
        <w:rPr>
          <w:rFonts w:hint="eastAsia"/>
        </w:rPr>
        <w:fldChar w:fldCharType="begin"/>
      </w:r>
      <w:r>
        <w:rPr>
          <w:rFonts w:hint="eastAsia"/>
        </w:rPr>
        <w:instrText xml:space="preserve"> </w:instrText>
      </w:r>
      <w:r>
        <w:instrText xml:space="preserve">PAGEREF _Toc182908004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"_Toc182908005" </w:instrText>
      </w:r>
      <w:r>
        <w:fldChar w:fldCharType="separate"/>
      </w:r>
      <w:r>
        <w:rPr>
          <w:rStyle w:val="25"/>
          <w:rFonts w:hint="eastAsia"/>
          <w:bCs/>
        </w:rPr>
        <w:t>2.3</w:t>
      </w:r>
      <w:r>
        <w:rPr>
          <w:rStyle w:val="25"/>
          <w:rFonts w:hint="eastAsia"/>
        </w:rPr>
        <w:t xml:space="preserve"> 发展目标</w:t>
      </w:r>
      <w:r>
        <w:rPr>
          <w:rFonts w:hint="eastAsia"/>
        </w:rPr>
        <w:tab/>
      </w:r>
      <w:r>
        <w:rPr>
          <w:rFonts w:hint="eastAsia"/>
        </w:rPr>
        <w:fldChar w:fldCharType="begin"/>
      </w:r>
      <w:r>
        <w:rPr>
          <w:rFonts w:hint="eastAsia"/>
        </w:rPr>
        <w:instrText xml:space="preserve"> </w:instrText>
      </w:r>
      <w:r>
        <w:instrText xml:space="preserve">PAGEREF _Toc182908005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HYPERLINK \l "_Toc182908006" </w:instrText>
      </w:r>
      <w:r>
        <w:fldChar w:fldCharType="separate"/>
      </w:r>
      <w:r>
        <w:rPr>
          <w:rStyle w:val="25"/>
          <w:rFonts w:hint="eastAsia"/>
        </w:rPr>
        <w:t>第三章 以新空间布局承载产业新格局</w:t>
      </w:r>
      <w:r>
        <w:rPr>
          <w:rFonts w:hint="eastAsia"/>
        </w:rPr>
        <w:tab/>
      </w:r>
      <w:r>
        <w:rPr>
          <w:rFonts w:hint="eastAsia"/>
        </w:rPr>
        <w:fldChar w:fldCharType="begin"/>
      </w:r>
      <w:r>
        <w:rPr>
          <w:rFonts w:hint="eastAsia"/>
        </w:rPr>
        <w:instrText xml:space="preserve"> </w:instrText>
      </w:r>
      <w:r>
        <w:instrText xml:space="preserve">PAGEREF _Toc182908006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"_Toc182908007" </w:instrText>
      </w:r>
      <w:r>
        <w:fldChar w:fldCharType="separate"/>
      </w:r>
      <w:r>
        <w:rPr>
          <w:rStyle w:val="25"/>
          <w:rFonts w:hint="eastAsia"/>
          <w:bCs/>
        </w:rPr>
        <w:t>3.1</w:t>
      </w:r>
      <w:r>
        <w:rPr>
          <w:rStyle w:val="25"/>
          <w:rFonts w:hint="eastAsia"/>
        </w:rPr>
        <w:t xml:space="preserve"> 推动“一轴”联通</w:t>
      </w:r>
      <w:r>
        <w:rPr>
          <w:rFonts w:hint="eastAsia"/>
        </w:rPr>
        <w:tab/>
      </w:r>
      <w:r>
        <w:rPr>
          <w:rFonts w:hint="eastAsia"/>
        </w:rPr>
        <w:fldChar w:fldCharType="begin"/>
      </w:r>
      <w:r>
        <w:rPr>
          <w:rFonts w:hint="eastAsia"/>
        </w:rPr>
        <w:instrText xml:space="preserve"> </w:instrText>
      </w:r>
      <w:r>
        <w:instrText xml:space="preserve">PAGEREF _Toc182908007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"_Toc182908008" </w:instrText>
      </w:r>
      <w:r>
        <w:fldChar w:fldCharType="separate"/>
      </w:r>
      <w:r>
        <w:rPr>
          <w:rStyle w:val="25"/>
          <w:rFonts w:hint="eastAsia"/>
          <w:bCs/>
        </w:rPr>
        <w:t>3.2</w:t>
      </w:r>
      <w:r>
        <w:rPr>
          <w:rStyle w:val="25"/>
          <w:rFonts w:hint="eastAsia"/>
        </w:rPr>
        <w:t xml:space="preserve"> 突出“两区”引领</w:t>
      </w:r>
      <w:r>
        <w:rPr>
          <w:rFonts w:hint="eastAsia"/>
        </w:rPr>
        <w:tab/>
      </w:r>
      <w:r>
        <w:rPr>
          <w:rFonts w:hint="eastAsia"/>
        </w:rPr>
        <w:fldChar w:fldCharType="begin"/>
      </w:r>
      <w:r>
        <w:rPr>
          <w:rFonts w:hint="eastAsia"/>
        </w:rPr>
        <w:instrText xml:space="preserve"> </w:instrText>
      </w:r>
      <w:r>
        <w:instrText xml:space="preserve">PAGEREF _Toc182908008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"_Toc182908009" </w:instrText>
      </w:r>
      <w:r>
        <w:fldChar w:fldCharType="separate"/>
      </w:r>
      <w:r>
        <w:rPr>
          <w:rStyle w:val="25"/>
          <w:rFonts w:hint="eastAsia"/>
          <w:bCs/>
        </w:rPr>
        <w:t>3.3</w:t>
      </w:r>
      <w:r>
        <w:rPr>
          <w:rStyle w:val="25"/>
          <w:rFonts w:hint="eastAsia"/>
        </w:rPr>
        <w:t xml:space="preserve"> 强化“三基地”支撑</w:t>
      </w:r>
      <w:r>
        <w:rPr>
          <w:rFonts w:hint="eastAsia"/>
        </w:rPr>
        <w:tab/>
      </w:r>
      <w:r>
        <w:rPr>
          <w:rFonts w:hint="eastAsia"/>
        </w:rPr>
        <w:fldChar w:fldCharType="begin"/>
      </w:r>
      <w:r>
        <w:rPr>
          <w:rFonts w:hint="eastAsia"/>
        </w:rPr>
        <w:instrText xml:space="preserve"> </w:instrText>
      </w:r>
      <w:r>
        <w:instrText xml:space="preserve">PAGEREF _Toc182908009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HYPERLINK \l "_Toc182908010" </w:instrText>
      </w:r>
      <w:r>
        <w:fldChar w:fldCharType="separate"/>
      </w:r>
      <w:r>
        <w:rPr>
          <w:rStyle w:val="25"/>
          <w:rFonts w:hint="eastAsia"/>
        </w:rPr>
        <w:t>第四章 以新发展方向赋能产业新体系</w:t>
      </w:r>
      <w:r>
        <w:rPr>
          <w:rFonts w:hint="eastAsia"/>
        </w:rPr>
        <w:tab/>
      </w:r>
      <w:r>
        <w:rPr>
          <w:rFonts w:hint="eastAsia"/>
        </w:rPr>
        <w:fldChar w:fldCharType="begin"/>
      </w:r>
      <w:r>
        <w:rPr>
          <w:rFonts w:hint="eastAsia"/>
        </w:rPr>
        <w:instrText xml:space="preserve"> </w:instrText>
      </w:r>
      <w:r>
        <w:instrText xml:space="preserve">PAGEREF _Toc182908010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"_Toc182908011" </w:instrText>
      </w:r>
      <w:r>
        <w:fldChar w:fldCharType="separate"/>
      </w:r>
      <w:r>
        <w:rPr>
          <w:rStyle w:val="25"/>
          <w:rFonts w:hint="eastAsia"/>
          <w:bCs/>
        </w:rPr>
        <w:t>4.1</w:t>
      </w:r>
      <w:r>
        <w:rPr>
          <w:rStyle w:val="25"/>
          <w:rFonts w:hint="eastAsia"/>
        </w:rPr>
        <w:t xml:space="preserve"> 多元赋能开拓创新产品“新体系”</w:t>
      </w:r>
      <w:r>
        <w:rPr>
          <w:rFonts w:hint="eastAsia"/>
        </w:rPr>
        <w:tab/>
      </w:r>
      <w:r>
        <w:rPr>
          <w:rFonts w:hint="eastAsia"/>
        </w:rPr>
        <w:fldChar w:fldCharType="begin"/>
      </w:r>
      <w:r>
        <w:rPr>
          <w:rFonts w:hint="eastAsia"/>
        </w:rPr>
        <w:instrText xml:space="preserve"> </w:instrText>
      </w:r>
      <w:r>
        <w:instrText xml:space="preserve">PAGEREF _Toc182908011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"_Toc182908012" </w:instrText>
      </w:r>
      <w:r>
        <w:fldChar w:fldCharType="separate"/>
      </w:r>
      <w:r>
        <w:rPr>
          <w:rStyle w:val="25"/>
          <w:rFonts w:hint="eastAsia"/>
          <w:bCs/>
        </w:rPr>
        <w:t>4.2</w:t>
      </w:r>
      <w:r>
        <w:rPr>
          <w:rStyle w:val="25"/>
          <w:rFonts w:hint="eastAsia"/>
        </w:rPr>
        <w:t xml:space="preserve"> 对外开放融入国内国际“双循环”</w:t>
      </w:r>
      <w:r>
        <w:rPr>
          <w:rFonts w:hint="eastAsia"/>
        </w:rPr>
        <w:tab/>
      </w:r>
      <w:r>
        <w:rPr>
          <w:rFonts w:hint="eastAsia"/>
        </w:rPr>
        <w:fldChar w:fldCharType="begin"/>
      </w:r>
      <w:r>
        <w:rPr>
          <w:rFonts w:hint="eastAsia"/>
        </w:rPr>
        <w:instrText xml:space="preserve"> </w:instrText>
      </w:r>
      <w:r>
        <w:instrText xml:space="preserve">PAGEREF _Toc182908012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"_Toc182908013" </w:instrText>
      </w:r>
      <w:r>
        <w:fldChar w:fldCharType="separate"/>
      </w:r>
      <w:r>
        <w:rPr>
          <w:rStyle w:val="25"/>
          <w:rFonts w:hint="eastAsia"/>
          <w:bCs/>
        </w:rPr>
        <w:t>4.3</w:t>
      </w:r>
      <w:r>
        <w:rPr>
          <w:rStyle w:val="25"/>
          <w:rFonts w:hint="eastAsia"/>
        </w:rPr>
        <w:t xml:space="preserve"> 多措并举打好招商引资“组合拳”</w:t>
      </w:r>
      <w:r>
        <w:rPr>
          <w:rFonts w:hint="eastAsia"/>
        </w:rPr>
        <w:tab/>
      </w:r>
      <w:r>
        <w:rPr>
          <w:rFonts w:hint="eastAsia"/>
        </w:rPr>
        <w:fldChar w:fldCharType="begin"/>
      </w:r>
      <w:r>
        <w:rPr>
          <w:rFonts w:hint="eastAsia"/>
        </w:rPr>
        <w:instrText xml:space="preserve"> </w:instrText>
      </w:r>
      <w:r>
        <w:instrText xml:space="preserve">PAGEREF _Toc182908013 \h</w:instrText>
      </w:r>
      <w:r>
        <w:rPr>
          <w:rFonts w:hint="eastAsia"/>
        </w:rPr>
        <w:instrText xml:space="preserve"> </w:instrText>
      </w:r>
      <w:r>
        <w:rPr>
          <w:rFonts w:hint="eastAsia"/>
        </w:rPr>
        <w:fldChar w:fldCharType="separate"/>
      </w:r>
      <w:r>
        <w:rPr>
          <w:rFonts w:hint="eastAsia"/>
        </w:rPr>
        <w:t>35</w:t>
      </w:r>
      <w:r>
        <w:rPr>
          <w:rFonts w:hint="eastAsia"/>
        </w:rPr>
        <w:fldChar w:fldCharType="end"/>
      </w:r>
      <w:r>
        <w:rPr>
          <w:rFonts w:hint="eastAsia"/>
        </w:rPr>
        <w:fldChar w:fldCharType="end"/>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HYPERLINK \l "_Toc182908014" </w:instrText>
      </w:r>
      <w:r>
        <w:fldChar w:fldCharType="separate"/>
      </w:r>
      <w:r>
        <w:rPr>
          <w:rStyle w:val="25"/>
          <w:rFonts w:hint="eastAsia"/>
        </w:rPr>
        <w:t>第五章 以新发展路径构建产业新生态</w:t>
      </w:r>
      <w:r>
        <w:rPr>
          <w:rFonts w:hint="eastAsia"/>
        </w:rPr>
        <w:tab/>
      </w:r>
      <w:r>
        <w:rPr>
          <w:rFonts w:hint="eastAsia"/>
        </w:rPr>
        <w:fldChar w:fldCharType="begin"/>
      </w:r>
      <w:r>
        <w:rPr>
          <w:rFonts w:hint="eastAsia"/>
        </w:rPr>
        <w:instrText xml:space="preserve"> </w:instrText>
      </w:r>
      <w:r>
        <w:instrText xml:space="preserve">PAGEREF _Toc182908014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"_Toc182908015" </w:instrText>
      </w:r>
      <w:r>
        <w:fldChar w:fldCharType="separate"/>
      </w:r>
      <w:r>
        <w:rPr>
          <w:rStyle w:val="25"/>
          <w:rFonts w:hint="eastAsia"/>
          <w:bCs/>
        </w:rPr>
        <w:t>5.1</w:t>
      </w:r>
      <w:r>
        <w:rPr>
          <w:rStyle w:val="25"/>
          <w:rFonts w:hint="eastAsia"/>
        </w:rPr>
        <w:t xml:space="preserve"> 优质企业培育行动</w:t>
      </w:r>
      <w:r>
        <w:rPr>
          <w:rFonts w:hint="eastAsia"/>
        </w:rPr>
        <w:tab/>
      </w:r>
      <w:r>
        <w:rPr>
          <w:rFonts w:hint="eastAsia"/>
        </w:rPr>
        <w:fldChar w:fldCharType="begin"/>
      </w:r>
      <w:r>
        <w:rPr>
          <w:rFonts w:hint="eastAsia"/>
        </w:rPr>
        <w:instrText xml:space="preserve"> </w:instrText>
      </w:r>
      <w:r>
        <w:instrText xml:space="preserve">PAGEREF _Toc182908015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"_Toc182908016" </w:instrText>
      </w:r>
      <w:r>
        <w:fldChar w:fldCharType="separate"/>
      </w:r>
      <w:r>
        <w:rPr>
          <w:rStyle w:val="25"/>
          <w:rFonts w:hint="eastAsia"/>
          <w:bCs/>
        </w:rPr>
        <w:t>5.2</w:t>
      </w:r>
      <w:r>
        <w:rPr>
          <w:rStyle w:val="25"/>
          <w:rFonts w:hint="eastAsia"/>
        </w:rPr>
        <w:t xml:space="preserve"> 承载平台建设行动</w:t>
      </w:r>
      <w:r>
        <w:rPr>
          <w:rFonts w:hint="eastAsia"/>
        </w:rPr>
        <w:tab/>
      </w:r>
      <w:r>
        <w:rPr>
          <w:rFonts w:hint="eastAsia"/>
        </w:rPr>
        <w:fldChar w:fldCharType="begin"/>
      </w:r>
      <w:r>
        <w:rPr>
          <w:rFonts w:hint="eastAsia"/>
        </w:rPr>
        <w:instrText xml:space="preserve"> </w:instrText>
      </w:r>
      <w:r>
        <w:instrText xml:space="preserve">PAGEREF _Toc182908016 \h</w:instrText>
      </w:r>
      <w:r>
        <w:rPr>
          <w:rFonts w:hint="eastAsia"/>
        </w:rPr>
        <w:instrText xml:space="preserve"> </w:instrText>
      </w:r>
      <w:r>
        <w:rPr>
          <w:rFonts w:hint="eastAsia"/>
        </w:rPr>
        <w:fldChar w:fldCharType="separate"/>
      </w:r>
      <w:r>
        <w:rPr>
          <w:rFonts w:hint="eastAsia"/>
        </w:rPr>
        <w:t>41</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"_Toc182908017" </w:instrText>
      </w:r>
      <w:r>
        <w:fldChar w:fldCharType="separate"/>
      </w:r>
      <w:r>
        <w:rPr>
          <w:rStyle w:val="25"/>
          <w:rFonts w:hint="eastAsia"/>
          <w:bCs/>
        </w:rPr>
        <w:t>5.3</w:t>
      </w:r>
      <w:r>
        <w:rPr>
          <w:rStyle w:val="25"/>
          <w:rFonts w:hint="eastAsia"/>
        </w:rPr>
        <w:t xml:space="preserve"> 品牌质量提升行动</w:t>
      </w:r>
      <w:r>
        <w:rPr>
          <w:rFonts w:hint="eastAsia"/>
        </w:rPr>
        <w:tab/>
      </w:r>
      <w:r>
        <w:rPr>
          <w:rFonts w:hint="eastAsia"/>
        </w:rPr>
        <w:fldChar w:fldCharType="begin"/>
      </w:r>
      <w:r>
        <w:rPr>
          <w:rFonts w:hint="eastAsia"/>
        </w:rPr>
        <w:instrText xml:space="preserve"> </w:instrText>
      </w:r>
      <w:r>
        <w:instrText xml:space="preserve">PAGEREF _Toc182908017 \h</w:instrText>
      </w:r>
      <w:r>
        <w:rPr>
          <w:rFonts w:hint="eastAsia"/>
        </w:rPr>
        <w:instrText xml:space="preserve"> </w:instrText>
      </w:r>
      <w:r>
        <w:rPr>
          <w:rFonts w:hint="eastAsia"/>
        </w:rPr>
        <w:fldChar w:fldCharType="separate"/>
      </w:r>
      <w:r>
        <w:rPr>
          <w:rFonts w:hint="eastAsia"/>
        </w:rPr>
        <w:t>46</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"_Toc182908018" </w:instrText>
      </w:r>
      <w:r>
        <w:fldChar w:fldCharType="separate"/>
      </w:r>
      <w:r>
        <w:rPr>
          <w:rStyle w:val="25"/>
          <w:rFonts w:hint="eastAsia"/>
          <w:bCs/>
        </w:rPr>
        <w:t>5.4</w:t>
      </w:r>
      <w:r>
        <w:rPr>
          <w:rStyle w:val="25"/>
          <w:rFonts w:hint="eastAsia"/>
        </w:rPr>
        <w:t xml:space="preserve"> 数实融合升级行动</w:t>
      </w:r>
      <w:r>
        <w:rPr>
          <w:rFonts w:hint="eastAsia"/>
        </w:rPr>
        <w:tab/>
      </w:r>
      <w:r>
        <w:rPr>
          <w:rFonts w:hint="eastAsia"/>
        </w:rPr>
        <w:fldChar w:fldCharType="begin"/>
      </w:r>
      <w:r>
        <w:rPr>
          <w:rFonts w:hint="eastAsia"/>
        </w:rPr>
        <w:instrText xml:space="preserve"> </w:instrText>
      </w:r>
      <w:r>
        <w:instrText xml:space="preserve">PAGEREF _Toc182908018 \h</w:instrText>
      </w:r>
      <w:r>
        <w:rPr>
          <w:rFonts w:hint="eastAsia"/>
        </w:rPr>
        <w:instrText xml:space="preserve"> </w:instrText>
      </w:r>
      <w:r>
        <w:rPr>
          <w:rFonts w:hint="eastAsia"/>
        </w:rPr>
        <w:fldChar w:fldCharType="separate"/>
      </w:r>
      <w:r>
        <w:rPr>
          <w:rFonts w:hint="eastAsia"/>
        </w:rPr>
        <w:t>47</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"_Toc182908019" </w:instrText>
      </w:r>
      <w:r>
        <w:fldChar w:fldCharType="separate"/>
      </w:r>
      <w:r>
        <w:rPr>
          <w:rStyle w:val="25"/>
          <w:rFonts w:hint="eastAsia"/>
          <w:bCs/>
        </w:rPr>
        <w:t>5.5</w:t>
      </w:r>
      <w:r>
        <w:rPr>
          <w:rStyle w:val="25"/>
          <w:rFonts w:hint="eastAsia"/>
        </w:rPr>
        <w:t xml:space="preserve"> 绿色安全发展行动</w:t>
      </w:r>
      <w:r>
        <w:rPr>
          <w:rFonts w:hint="eastAsia"/>
        </w:rPr>
        <w:tab/>
      </w:r>
      <w:r>
        <w:rPr>
          <w:rFonts w:hint="eastAsia"/>
        </w:rPr>
        <w:fldChar w:fldCharType="begin"/>
      </w:r>
      <w:r>
        <w:rPr>
          <w:rFonts w:hint="eastAsia"/>
        </w:rPr>
        <w:instrText xml:space="preserve"> </w:instrText>
      </w:r>
      <w:r>
        <w:instrText xml:space="preserve">PAGEREF _Toc182908019 \h</w:instrText>
      </w:r>
      <w:r>
        <w:rPr>
          <w:rFonts w:hint="eastAsia"/>
        </w:rPr>
        <w:instrText xml:space="preserve"> </w:instrText>
      </w:r>
      <w:r>
        <w:rPr>
          <w:rFonts w:hint="eastAsia"/>
        </w:rPr>
        <w:fldChar w:fldCharType="separate"/>
      </w:r>
      <w:r>
        <w:rPr>
          <w:rFonts w:hint="eastAsia"/>
        </w:rPr>
        <w:t>49</w:t>
      </w:r>
      <w:r>
        <w:rPr>
          <w:rFonts w:hint="eastAsia"/>
        </w:rPr>
        <w:fldChar w:fldCharType="end"/>
      </w:r>
      <w:r>
        <w:rPr>
          <w:rFonts w:hint="eastAsia"/>
        </w:rPr>
        <w:fldChar w:fldCharType="end"/>
      </w:r>
    </w:p>
    <w:p>
      <w:pPr>
        <w:pStyle w:val="16"/>
        <w:tabs>
          <w:tab w:val="right" w:leader="dot" w:pos="8296"/>
        </w:tabs>
        <w:rPr>
          <w:rFonts w:hint="eastAsia" w:asciiTheme="minorHAnsi" w:hAnsiTheme="minorHAnsi" w:eastAsiaTheme="minorEastAsia" w:cstheme="minorBidi"/>
          <w:b w:val="0"/>
          <w:sz w:val="22"/>
          <w14:ligatures w14:val="standardContextual"/>
        </w:rPr>
      </w:pPr>
      <w:r>
        <w:fldChar w:fldCharType="begin"/>
      </w:r>
      <w:r>
        <w:instrText xml:space="preserve"> HYPERLINK \l "_Toc182908020" </w:instrText>
      </w:r>
      <w:r>
        <w:fldChar w:fldCharType="separate"/>
      </w:r>
      <w:r>
        <w:rPr>
          <w:rStyle w:val="25"/>
          <w:rFonts w:hint="eastAsia"/>
        </w:rPr>
        <w:t>第六章 保障措施</w:t>
      </w:r>
      <w:r>
        <w:rPr>
          <w:rFonts w:hint="eastAsia"/>
        </w:rPr>
        <w:tab/>
      </w:r>
      <w:r>
        <w:rPr>
          <w:rFonts w:hint="eastAsia"/>
        </w:rPr>
        <w:fldChar w:fldCharType="begin"/>
      </w:r>
      <w:r>
        <w:rPr>
          <w:rFonts w:hint="eastAsia"/>
        </w:rPr>
        <w:instrText xml:space="preserve"> </w:instrText>
      </w:r>
      <w:r>
        <w:instrText xml:space="preserve">PAGEREF _Toc182908020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"_Toc182908021" </w:instrText>
      </w:r>
      <w:r>
        <w:fldChar w:fldCharType="separate"/>
      </w:r>
      <w:r>
        <w:rPr>
          <w:rStyle w:val="25"/>
          <w:rFonts w:hint="eastAsia"/>
          <w:bCs/>
        </w:rPr>
        <w:t>6.1</w:t>
      </w:r>
      <w:r>
        <w:rPr>
          <w:rStyle w:val="25"/>
          <w:rFonts w:hint="eastAsia"/>
        </w:rPr>
        <w:t xml:space="preserve"> 强化组织领导</w:t>
      </w:r>
      <w:r>
        <w:rPr>
          <w:rFonts w:hint="eastAsia"/>
        </w:rPr>
        <w:tab/>
      </w:r>
      <w:r>
        <w:rPr>
          <w:rFonts w:hint="eastAsia"/>
        </w:rPr>
        <w:fldChar w:fldCharType="begin"/>
      </w:r>
      <w:r>
        <w:rPr>
          <w:rFonts w:hint="eastAsia"/>
        </w:rPr>
        <w:instrText xml:space="preserve"> </w:instrText>
      </w:r>
      <w:r>
        <w:instrText xml:space="preserve">PAGEREF _Toc182908021 \h</w:instrText>
      </w:r>
      <w:r>
        <w:rPr>
          <w:rFonts w:hint="eastAsia"/>
        </w:rPr>
        <w:instrText xml:space="preserve"> </w:instrText>
      </w:r>
      <w:r>
        <w:rPr>
          <w:rFonts w:hint="eastAsia"/>
        </w:rPr>
        <w:fldChar w:fldCharType="separate"/>
      </w:r>
      <w:r>
        <w:rPr>
          <w:rFonts w:hint="eastAsia"/>
        </w:rPr>
        <w:t>52</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"_Toc182908022" </w:instrText>
      </w:r>
      <w:r>
        <w:fldChar w:fldCharType="separate"/>
      </w:r>
      <w:r>
        <w:rPr>
          <w:rStyle w:val="25"/>
          <w:rFonts w:hint="eastAsia"/>
          <w:bCs/>
        </w:rPr>
        <w:t>6.2</w:t>
      </w:r>
      <w:r>
        <w:rPr>
          <w:rStyle w:val="25"/>
          <w:rFonts w:hint="eastAsia"/>
        </w:rPr>
        <w:t xml:space="preserve"> 加强政策引导</w:t>
      </w:r>
      <w:r>
        <w:rPr>
          <w:rFonts w:hint="eastAsia"/>
        </w:rPr>
        <w:tab/>
      </w:r>
      <w:r>
        <w:rPr>
          <w:rFonts w:hint="eastAsia"/>
        </w:rPr>
        <w:fldChar w:fldCharType="begin"/>
      </w:r>
      <w:r>
        <w:rPr>
          <w:rFonts w:hint="eastAsia"/>
        </w:rPr>
        <w:instrText xml:space="preserve"> </w:instrText>
      </w:r>
      <w:r>
        <w:instrText xml:space="preserve">PAGEREF _Toc182908022 \h</w:instrText>
      </w:r>
      <w:r>
        <w:rPr>
          <w:rFonts w:hint="eastAsia"/>
        </w:rPr>
        <w:instrText xml:space="preserve"> </w:instrText>
      </w:r>
      <w:r>
        <w:rPr>
          <w:rFonts w:hint="eastAsia"/>
        </w:rPr>
        <w:fldChar w:fldCharType="separate"/>
      </w:r>
      <w:r>
        <w:rPr>
          <w:rFonts w:hint="eastAsia"/>
        </w:rPr>
        <w:t>52</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"_Toc182908023" </w:instrText>
      </w:r>
      <w:r>
        <w:fldChar w:fldCharType="separate"/>
      </w:r>
      <w:r>
        <w:rPr>
          <w:rStyle w:val="25"/>
          <w:rFonts w:hint="eastAsia"/>
          <w:bCs/>
        </w:rPr>
        <w:t>6.3</w:t>
      </w:r>
      <w:r>
        <w:rPr>
          <w:rStyle w:val="25"/>
          <w:rFonts w:hint="eastAsia"/>
        </w:rPr>
        <w:t xml:space="preserve"> 强化项目建设</w:t>
      </w:r>
      <w:r>
        <w:rPr>
          <w:rFonts w:hint="eastAsia"/>
        </w:rPr>
        <w:tab/>
      </w:r>
      <w:r>
        <w:rPr>
          <w:rFonts w:hint="eastAsia"/>
        </w:rPr>
        <w:fldChar w:fldCharType="begin"/>
      </w:r>
      <w:r>
        <w:rPr>
          <w:rFonts w:hint="eastAsia"/>
        </w:rPr>
        <w:instrText xml:space="preserve"> </w:instrText>
      </w:r>
      <w:r>
        <w:instrText xml:space="preserve">PAGEREF _Toc182908023 \h</w:instrText>
      </w:r>
      <w:r>
        <w:rPr>
          <w:rFonts w:hint="eastAsia"/>
        </w:rPr>
        <w:instrText xml:space="preserve"> </w:instrText>
      </w:r>
      <w:r>
        <w:rPr>
          <w:rFonts w:hint="eastAsia"/>
        </w:rPr>
        <w:fldChar w:fldCharType="separate"/>
      </w:r>
      <w:r>
        <w:rPr>
          <w:rFonts w:hint="eastAsia"/>
        </w:rPr>
        <w:t>53</w:t>
      </w:r>
      <w:r>
        <w:rPr>
          <w:rFonts w:hint="eastAsia"/>
        </w:rPr>
        <w:fldChar w:fldCharType="end"/>
      </w:r>
      <w:r>
        <w:rPr>
          <w:rFonts w:hint="eastAsia"/>
        </w:rPr>
        <w:fldChar w:fldCharType="end"/>
      </w:r>
    </w:p>
    <w:p>
      <w:pPr>
        <w:pStyle w:val="18"/>
        <w:tabs>
          <w:tab w:val="right" w:leader="dot" w:pos="8296"/>
        </w:tabs>
        <w:ind w:left="560"/>
        <w:rPr>
          <w:rFonts w:hint="eastAsia" w:asciiTheme="minorHAnsi" w:hAnsiTheme="minorHAnsi" w:eastAsiaTheme="minorEastAsia" w:cstheme="minorBidi"/>
          <w:color w:val="auto"/>
          <w:kern w:val="2"/>
          <w:sz w:val="22"/>
          <w:szCs w:val="24"/>
          <w14:ligatures w14:val="standardContextual"/>
        </w:rPr>
      </w:pPr>
      <w:r>
        <w:fldChar w:fldCharType="begin"/>
      </w:r>
      <w:r>
        <w:instrText xml:space="preserve"> HYPERLINK \l "_Toc182908024" </w:instrText>
      </w:r>
      <w:r>
        <w:fldChar w:fldCharType="separate"/>
      </w:r>
      <w:r>
        <w:rPr>
          <w:rStyle w:val="25"/>
          <w:rFonts w:hint="eastAsia"/>
          <w:bCs/>
        </w:rPr>
        <w:t>6.4</w:t>
      </w:r>
      <w:r>
        <w:rPr>
          <w:rStyle w:val="25"/>
          <w:rFonts w:hint="eastAsia"/>
        </w:rPr>
        <w:t xml:space="preserve"> 提升要素保障</w:t>
      </w:r>
      <w:r>
        <w:rPr>
          <w:rFonts w:hint="eastAsia"/>
        </w:rPr>
        <w:tab/>
      </w:r>
      <w:r>
        <w:rPr>
          <w:rFonts w:hint="eastAsia"/>
        </w:rPr>
        <w:fldChar w:fldCharType="begin"/>
      </w:r>
      <w:r>
        <w:rPr>
          <w:rFonts w:hint="eastAsia"/>
        </w:rPr>
        <w:instrText xml:space="preserve"> </w:instrText>
      </w:r>
      <w:r>
        <w:instrText xml:space="preserve">PAGEREF _Toc182908024 \h</w:instrText>
      </w:r>
      <w:r>
        <w:rPr>
          <w:rFonts w:hint="eastAsia"/>
        </w:rPr>
        <w:instrText xml:space="preserve"> </w:instrText>
      </w:r>
      <w:r>
        <w:rPr>
          <w:rFonts w:hint="eastAsia"/>
        </w:rPr>
        <w:fldChar w:fldCharType="separate"/>
      </w:r>
      <w:r>
        <w:rPr>
          <w:rFonts w:hint="eastAsia"/>
        </w:rPr>
        <w:t>53</w:t>
      </w:r>
      <w:r>
        <w:rPr>
          <w:rFonts w:hint="eastAsia"/>
        </w:rPr>
        <w:fldChar w:fldCharType="end"/>
      </w:r>
      <w:r>
        <w:rPr>
          <w:rFonts w:hint="eastAsia"/>
        </w:rPr>
        <w:fldChar w:fldCharType="end"/>
      </w:r>
    </w:p>
    <w:p>
      <w:pPr>
        <w:pStyle w:val="16"/>
        <w:tabs>
          <w:tab w:val="right" w:leader="dot" w:pos="8296"/>
        </w:tabs>
      </w:pPr>
      <w:r>
        <w:fldChar w:fldCharType="end"/>
      </w:r>
    </w:p>
    <w:p>
      <w:pPr>
        <w:rPr>
          <w:rFonts w:ascii="Times New Roman" w:hAnsi="Times New Roman"/>
          <w:snapToGrid w:val="0"/>
        </w:rPr>
        <w:sectPr>
          <w:footerReference r:id="rId5" w:type="default"/>
          <w:pgSz w:w="11906" w:h="16838"/>
          <w:pgMar w:top="1440" w:right="1800" w:bottom="1440" w:left="1800" w:header="851" w:footer="992" w:gutter="0"/>
          <w:pgNumType w:fmt="upperRoman" w:start="1"/>
          <w:cols w:space="425" w:num="1"/>
          <w:docGrid w:type="lines" w:linePitch="312" w:charSpace="0"/>
        </w:sectPr>
      </w:pPr>
    </w:p>
    <w:p>
      <w:pPr>
        <w:pStyle w:val="2"/>
        <w:rPr>
          <w:rFonts w:ascii="Times New Roman" w:hAnsi="Times New Roman"/>
        </w:rPr>
      </w:pPr>
      <w:bookmarkStart w:id="1" w:name="_Toc153899487"/>
      <w:bookmarkStart w:id="2" w:name="_Toc182907998"/>
      <w:bookmarkStart w:id="3" w:name="_Toc170996513"/>
      <w:r>
        <w:rPr>
          <w:rFonts w:ascii="Times New Roman" w:hAnsi="Times New Roman"/>
        </w:rPr>
        <w:t>发展基础和</w:t>
      </w:r>
      <w:bookmarkEnd w:id="1"/>
      <w:r>
        <w:rPr>
          <w:rFonts w:ascii="Times New Roman" w:hAnsi="Times New Roman"/>
        </w:rPr>
        <w:t>形势</w:t>
      </w:r>
      <w:bookmarkEnd w:id="2"/>
      <w:bookmarkEnd w:id="3"/>
    </w:p>
    <w:p>
      <w:pPr>
        <w:pStyle w:val="3"/>
      </w:pPr>
      <w:bookmarkStart w:id="4" w:name="_Toc182907999"/>
      <w:r>
        <w:t>发展基础</w:t>
      </w:r>
      <w:bookmarkEnd w:id="4"/>
    </w:p>
    <w:p>
      <w:pPr>
        <w:pStyle w:val="51"/>
        <w:ind w:firstLine="560"/>
      </w:pPr>
      <w:bookmarkStart w:id="5" w:name="_Toc8506"/>
      <w:bookmarkStart w:id="6" w:name="_Toc16403"/>
      <w:bookmarkStart w:id="7" w:name="_Toc10267"/>
      <w:bookmarkStart w:id="8" w:name="_Toc1097"/>
      <w:bookmarkStart w:id="9" w:name="_Toc108534071"/>
      <w:bookmarkStart w:id="10" w:name="_Toc11815"/>
      <w:r>
        <w:t>桃江县是湖南省重要的工业基地之一，拥有较为完善的工业体系和产业基础。目前，桃江县先进装备制造规模工业企业40家，其中国家</w:t>
      </w:r>
      <w:r>
        <w:rPr>
          <w:rFonts w:hint="eastAsia"/>
        </w:rPr>
        <w:t>级“专精特新”小</w:t>
      </w:r>
      <w:r>
        <w:t>巨人企业1家（福德电气）、省</w:t>
      </w:r>
      <w:r>
        <w:rPr>
          <w:rFonts w:hint="eastAsia"/>
        </w:rPr>
        <w:t>级“专精特新”</w:t>
      </w:r>
      <w:r>
        <w:t>中小企业</w:t>
      </w:r>
      <w:r>
        <w:rPr>
          <w:rFonts w:hint="eastAsia"/>
        </w:rPr>
        <w:t>7</w:t>
      </w:r>
      <w:r>
        <w:t>家（宙盾防化、科惠汽配、新兴管件、新兴机械、</w:t>
      </w:r>
      <w:r>
        <w:rPr>
          <w:rFonts w:hint="eastAsia"/>
        </w:rPr>
        <w:t>紫荆铸业</w:t>
      </w:r>
      <w:r>
        <w:t>、紫荆新材</w:t>
      </w:r>
      <w:r>
        <w:rPr>
          <w:rFonts w:hint="eastAsia"/>
        </w:rPr>
        <w:t>、红星机械</w:t>
      </w:r>
      <w:r>
        <w:t>）</w:t>
      </w:r>
      <w:r>
        <w:rPr>
          <w:rFonts w:hint="eastAsia"/>
        </w:rPr>
        <w:t>，</w:t>
      </w:r>
      <w:r>
        <w:t>国家高新技术企业16家。2023年，桃江县先进装备制造业完成规模工业产值76.3亿元，主要涉及机械铸件装备加工、轨道交通关键基础零部件制造、重大成套设备及其他智能制造3个行业。</w:t>
      </w:r>
    </w:p>
    <w:p>
      <w:pPr>
        <w:pStyle w:val="51"/>
        <w:ind w:firstLine="562"/>
        <w:rPr>
          <w:b/>
          <w:bCs/>
        </w:rPr>
      </w:pPr>
      <w:r>
        <w:rPr>
          <w:b/>
          <w:bCs/>
        </w:rPr>
        <w:t>机械铸件装备加工：</w:t>
      </w:r>
      <w:r>
        <w:t>初步形成了以新兴管件、金沙重工、紫荆铸业为骨干的机械铸件装备加工产业集群，主要产品为铸钢件、型材。</w:t>
      </w:r>
      <w:r>
        <w:rPr>
          <w:b/>
          <w:bCs/>
        </w:rPr>
        <w:t>新兴管件</w:t>
      </w:r>
      <w:r>
        <w:t>铸造工艺技术已达到国际先进水平，自行设计的生产线成套设备达到了国内领先水平，可生产多种接口型式、多种防腐处理的球墨铸铁管件，广泛应用于输水、输油、输气及相关液、气体有压输送；可生产检查井、井圈井盖、水表箱等铸造制品，其中球墨铸铁管件的生产规模、综合技术实力居世界领先水平，是国内DN50—2600mm品种规格最齐全的管件生产厂家。</w:t>
      </w:r>
      <w:r>
        <w:rPr>
          <w:b/>
          <w:bCs/>
        </w:rPr>
        <w:t>金沙重工</w:t>
      </w:r>
      <w:r>
        <w:t>主要生产普通碳钢、中低合金钢、高合金钢等铸钢件和各种模具钢、特种钢，产品广泛运用于机械、水电、冶金、建材、风电、船舶、轨道交通、矿山等行业。</w:t>
      </w:r>
      <w:r>
        <w:rPr>
          <w:b/>
          <w:bCs/>
        </w:rPr>
        <w:t>紫荆铸业</w:t>
      </w:r>
      <w:r>
        <w:t>产品涵盖合金钢铸件、高性能球墨铸铁件等，主要应用于轨道交通、大型发电装备、核电、海工、军工等领域。</w:t>
      </w:r>
    </w:p>
    <w:p>
      <w:pPr>
        <w:pStyle w:val="51"/>
        <w:ind w:firstLine="562"/>
      </w:pPr>
      <w:r>
        <w:rPr>
          <w:b/>
          <w:bCs/>
        </w:rPr>
        <w:t>轨道交通关键基础零部件制造</w:t>
      </w:r>
      <w:r>
        <w:t>：形成了以紫荆铸业、福德电气为骨干的轨道交通关键基础零部件制造产业集群。</w:t>
      </w:r>
      <w:r>
        <w:rPr>
          <w:b/>
          <w:bCs/>
        </w:rPr>
        <w:t>紫荆铸业</w:t>
      </w:r>
      <w:r>
        <w:t>主要产品包括齿轮轮芯、高铁刹车制动盘、车钩、高铁用电机机壳、抱轴箱、脱轨条、铁路货车铸件等轨道交通零部件，其中，大功率电力牵引机车齿轮轮芯产品市场占有率达25%以上，在同行业同类产品中排名第一。</w:t>
      </w:r>
      <w:r>
        <w:rPr>
          <w:b/>
          <w:bCs/>
        </w:rPr>
        <w:t>福德电气</w:t>
      </w:r>
      <w:r>
        <w:t>主营产品为舰船智能测试负载系统、舰船电力驱动系统、新能源动力电池充放电检测系统、机车能量回馈装置、轨道交通机车制动装置、特高压电阻器、特种电源等，产品广泛应用于军工负载、轨道交通、航天航空等领域。</w:t>
      </w:r>
    </w:p>
    <w:p>
      <w:pPr>
        <w:pStyle w:val="51"/>
        <w:ind w:firstLine="562"/>
      </w:pPr>
      <w:r>
        <w:rPr>
          <w:b/>
          <w:bCs/>
        </w:rPr>
        <w:t>重大成套设备及其他智能制造：</w:t>
      </w:r>
      <w:r>
        <w:t>该</w:t>
      </w:r>
      <w:r>
        <w:rPr>
          <w:rFonts w:hint="eastAsia"/>
        </w:rPr>
        <w:t>产业链发展较为零散，整体聚合程度不高，“各自为战”现象严重。炼油、化工生产专用设备制造产业有红星机械、新兴机械等骨干企业；防护防化设备产业有宙盾防化、鸿舜人防等骨干企业；汽车零部件及配件制造产业有科惠汽配、天腾汽车等骨干企业；其他</w:t>
      </w:r>
      <w:r>
        <w:t>专用设备制造有湘资泵业、金鼎赛斯等骨干企业。</w:t>
      </w:r>
    </w:p>
    <w:p>
      <w:pPr>
        <w:pStyle w:val="50"/>
      </w:pPr>
      <w:r>
        <w:t>桃江县先进装备制造业骨干企业名单</w:t>
      </w:r>
    </w:p>
    <w:tbl>
      <w:tblPr>
        <w:tblStyle w:val="21"/>
        <w:tblW w:w="82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662"/>
        <w:gridCol w:w="1134"/>
        <w:gridCol w:w="850"/>
        <w:gridCol w:w="3119"/>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0" w:type="dxa"/>
            <w:vMerge w:val="restart"/>
            <w:shd w:val="clear" w:color="auto" w:fill="auto"/>
            <w:noWrap/>
            <w:vAlign w:val="center"/>
          </w:tcPr>
          <w:p>
            <w:pPr>
              <w:pStyle w:val="54"/>
              <w:rPr>
                <w:rFonts w:cs="Times New Roman"/>
              </w:rPr>
            </w:pPr>
            <w:r>
              <w:rPr>
                <w:rFonts w:cs="Times New Roman"/>
              </w:rPr>
              <w:t>序号</w:t>
            </w:r>
          </w:p>
        </w:tc>
        <w:tc>
          <w:tcPr>
            <w:tcW w:w="1662" w:type="dxa"/>
            <w:vMerge w:val="restart"/>
            <w:shd w:val="clear" w:color="auto" w:fill="auto"/>
            <w:noWrap/>
            <w:vAlign w:val="center"/>
          </w:tcPr>
          <w:p>
            <w:pPr>
              <w:pStyle w:val="54"/>
              <w:rPr>
                <w:rFonts w:cs="Times New Roman"/>
              </w:rPr>
            </w:pPr>
            <w:r>
              <w:rPr>
                <w:rFonts w:cs="Times New Roman"/>
              </w:rPr>
              <w:t>单位名称</w:t>
            </w:r>
          </w:p>
        </w:tc>
        <w:tc>
          <w:tcPr>
            <w:tcW w:w="1134" w:type="dxa"/>
            <w:vMerge w:val="restart"/>
            <w:shd w:val="clear" w:color="auto" w:fill="auto"/>
            <w:vAlign w:val="center"/>
          </w:tcPr>
          <w:p>
            <w:pPr>
              <w:pStyle w:val="54"/>
              <w:rPr>
                <w:rFonts w:cs="Times New Roman"/>
              </w:rPr>
            </w:pPr>
            <w:r>
              <w:rPr>
                <w:rFonts w:cs="Times New Roman"/>
              </w:rPr>
              <w:t>所属行业类别</w:t>
            </w:r>
          </w:p>
        </w:tc>
        <w:tc>
          <w:tcPr>
            <w:tcW w:w="850" w:type="dxa"/>
            <w:vMerge w:val="restart"/>
            <w:shd w:val="clear" w:color="auto" w:fill="auto"/>
            <w:noWrap/>
            <w:vAlign w:val="center"/>
          </w:tcPr>
          <w:p>
            <w:pPr>
              <w:pStyle w:val="54"/>
              <w:rPr>
                <w:rFonts w:cs="Times New Roman"/>
              </w:rPr>
            </w:pPr>
            <w:r>
              <w:rPr>
                <w:rFonts w:cs="Times New Roman"/>
              </w:rPr>
              <w:t>所在地区</w:t>
            </w:r>
          </w:p>
        </w:tc>
        <w:tc>
          <w:tcPr>
            <w:tcW w:w="4111" w:type="dxa"/>
            <w:gridSpan w:val="2"/>
            <w:shd w:val="clear" w:color="auto" w:fill="auto"/>
            <w:noWrap/>
            <w:vAlign w:val="center"/>
          </w:tcPr>
          <w:p>
            <w:pPr>
              <w:pStyle w:val="54"/>
              <w:rPr>
                <w:rFonts w:cs="Times New Roman"/>
              </w:rPr>
            </w:pPr>
            <w:r>
              <w:rPr>
                <w:rFonts w:cs="Times New Roman"/>
              </w:rPr>
              <w:t>主要产品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0" w:type="dxa"/>
            <w:vMerge w:val="continue"/>
            <w:shd w:val="clear" w:color="auto" w:fill="auto"/>
            <w:vAlign w:val="center"/>
          </w:tcPr>
          <w:p>
            <w:pPr>
              <w:pStyle w:val="54"/>
              <w:rPr>
                <w:rFonts w:cs="Times New Roman"/>
              </w:rPr>
            </w:pPr>
          </w:p>
        </w:tc>
        <w:tc>
          <w:tcPr>
            <w:tcW w:w="1662" w:type="dxa"/>
            <w:vMerge w:val="continue"/>
            <w:shd w:val="clear" w:color="auto" w:fill="auto"/>
            <w:vAlign w:val="center"/>
          </w:tcPr>
          <w:p>
            <w:pPr>
              <w:pStyle w:val="54"/>
              <w:rPr>
                <w:rFonts w:cs="Times New Roman"/>
              </w:rPr>
            </w:pPr>
          </w:p>
        </w:tc>
        <w:tc>
          <w:tcPr>
            <w:tcW w:w="1134" w:type="dxa"/>
            <w:vMerge w:val="continue"/>
            <w:shd w:val="clear" w:color="auto" w:fill="auto"/>
            <w:vAlign w:val="center"/>
          </w:tcPr>
          <w:p>
            <w:pPr>
              <w:pStyle w:val="54"/>
              <w:rPr>
                <w:rFonts w:cs="Times New Roman"/>
              </w:rPr>
            </w:pPr>
          </w:p>
        </w:tc>
        <w:tc>
          <w:tcPr>
            <w:tcW w:w="850" w:type="dxa"/>
            <w:vMerge w:val="continue"/>
            <w:shd w:val="clear" w:color="auto" w:fill="auto"/>
            <w:vAlign w:val="center"/>
          </w:tcPr>
          <w:p>
            <w:pPr>
              <w:pStyle w:val="54"/>
              <w:rPr>
                <w:rFonts w:cs="Times New Roman"/>
              </w:rPr>
            </w:pPr>
          </w:p>
        </w:tc>
        <w:tc>
          <w:tcPr>
            <w:tcW w:w="3119" w:type="dxa"/>
            <w:shd w:val="clear" w:color="auto" w:fill="auto"/>
            <w:noWrap/>
            <w:vAlign w:val="center"/>
          </w:tcPr>
          <w:p>
            <w:pPr>
              <w:pStyle w:val="54"/>
              <w:rPr>
                <w:rFonts w:cs="Times New Roman"/>
              </w:rPr>
            </w:pPr>
            <w:r>
              <w:rPr>
                <w:rFonts w:cs="Times New Roman"/>
              </w:rPr>
              <w:t>产品名称</w:t>
            </w:r>
          </w:p>
        </w:tc>
        <w:tc>
          <w:tcPr>
            <w:tcW w:w="992" w:type="dxa"/>
            <w:shd w:val="clear" w:color="auto" w:fill="auto"/>
            <w:noWrap/>
            <w:vAlign w:val="center"/>
          </w:tcPr>
          <w:p>
            <w:pPr>
              <w:pStyle w:val="54"/>
              <w:rPr>
                <w:rFonts w:cs="Times New Roman"/>
              </w:rPr>
            </w:pPr>
            <w:r>
              <w:rPr>
                <w:rFonts w:cs="Times New Roman"/>
              </w:rPr>
              <w:t>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w:t>
            </w:r>
          </w:p>
        </w:tc>
        <w:tc>
          <w:tcPr>
            <w:tcW w:w="1662" w:type="dxa"/>
            <w:shd w:val="clear" w:color="auto" w:fill="auto"/>
            <w:noWrap/>
            <w:vAlign w:val="center"/>
          </w:tcPr>
          <w:p>
            <w:pPr>
              <w:pStyle w:val="54"/>
              <w:rPr>
                <w:rFonts w:cs="Times New Roman"/>
              </w:rPr>
            </w:pPr>
            <w:r>
              <w:rPr>
                <w:rFonts w:cs="Times New Roman"/>
              </w:rPr>
              <w:t>桃江新兴管件有限责任公司</w:t>
            </w:r>
          </w:p>
        </w:tc>
        <w:tc>
          <w:tcPr>
            <w:tcW w:w="1134" w:type="dxa"/>
            <w:shd w:val="clear" w:color="auto" w:fill="auto"/>
            <w:noWrap/>
            <w:vAlign w:val="center"/>
          </w:tcPr>
          <w:p>
            <w:pPr>
              <w:pStyle w:val="54"/>
              <w:rPr>
                <w:rFonts w:cs="Times New Roman"/>
              </w:rPr>
            </w:pPr>
            <w:r>
              <w:rPr>
                <w:rFonts w:cs="Times New Roman"/>
              </w:rPr>
              <w:t>机械铸件装备加工</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球墨铸铁管件、球墨铸铁检查井、球墨铸铁井圈、井盖</w:t>
            </w:r>
          </w:p>
        </w:tc>
        <w:tc>
          <w:tcPr>
            <w:tcW w:w="992" w:type="dxa"/>
            <w:shd w:val="clear" w:color="auto" w:fill="auto"/>
            <w:noWrap/>
            <w:vAlign w:val="center"/>
          </w:tcPr>
          <w:p>
            <w:pPr>
              <w:pStyle w:val="54"/>
              <w:rPr>
                <w:rFonts w:cs="Times New Roman"/>
              </w:rPr>
            </w:pPr>
            <w:r>
              <w:rPr>
                <w:rFonts w:cs="Times New Roman"/>
              </w:rPr>
              <w:t>2万吨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2</w:t>
            </w:r>
          </w:p>
        </w:tc>
        <w:tc>
          <w:tcPr>
            <w:tcW w:w="1662" w:type="dxa"/>
            <w:shd w:val="clear" w:color="auto" w:fill="auto"/>
            <w:vAlign w:val="center"/>
          </w:tcPr>
          <w:p>
            <w:pPr>
              <w:pStyle w:val="54"/>
              <w:rPr>
                <w:rFonts w:cs="Times New Roman"/>
              </w:rPr>
            </w:pPr>
            <w:r>
              <w:rPr>
                <w:rFonts w:cs="Times New Roman"/>
              </w:rPr>
              <w:t>益阳金沙重型机械制造有限公司</w:t>
            </w:r>
          </w:p>
        </w:tc>
        <w:tc>
          <w:tcPr>
            <w:tcW w:w="1134" w:type="dxa"/>
            <w:shd w:val="clear" w:color="auto" w:fill="auto"/>
            <w:noWrap/>
            <w:vAlign w:val="center"/>
          </w:tcPr>
          <w:p>
            <w:pPr>
              <w:pStyle w:val="54"/>
              <w:rPr>
                <w:rFonts w:cs="Times New Roman"/>
              </w:rPr>
            </w:pPr>
            <w:r>
              <w:rPr>
                <w:rFonts w:cs="Times New Roman"/>
              </w:rPr>
              <w:t>机械铸件装备加工</w:t>
            </w:r>
          </w:p>
        </w:tc>
        <w:tc>
          <w:tcPr>
            <w:tcW w:w="850" w:type="dxa"/>
            <w:shd w:val="clear" w:color="auto" w:fill="auto"/>
            <w:noWrap/>
            <w:vAlign w:val="center"/>
          </w:tcPr>
          <w:p>
            <w:pPr>
              <w:pStyle w:val="54"/>
              <w:rPr>
                <w:rFonts w:cs="Times New Roman"/>
              </w:rPr>
            </w:pPr>
            <w:r>
              <w:rPr>
                <w:rFonts w:cs="Times New Roman"/>
              </w:rPr>
              <w:t>灰山港片区</w:t>
            </w:r>
          </w:p>
        </w:tc>
        <w:tc>
          <w:tcPr>
            <w:tcW w:w="3119" w:type="dxa"/>
            <w:shd w:val="clear" w:color="auto" w:fill="auto"/>
            <w:vAlign w:val="center"/>
          </w:tcPr>
          <w:p>
            <w:pPr>
              <w:pStyle w:val="54"/>
              <w:rPr>
                <w:rFonts w:cs="Times New Roman"/>
              </w:rPr>
            </w:pPr>
            <w:r>
              <w:rPr>
                <w:rFonts w:cs="Times New Roman"/>
              </w:rPr>
              <w:t>铸钢件</w:t>
            </w:r>
          </w:p>
          <w:p>
            <w:pPr>
              <w:pStyle w:val="54"/>
              <w:rPr>
                <w:rFonts w:cs="Times New Roman"/>
              </w:rPr>
            </w:pPr>
            <w:r>
              <w:rPr>
                <w:rFonts w:cs="Times New Roman"/>
              </w:rPr>
              <w:t>型材</w:t>
            </w:r>
          </w:p>
        </w:tc>
        <w:tc>
          <w:tcPr>
            <w:tcW w:w="992" w:type="dxa"/>
            <w:shd w:val="clear" w:color="auto" w:fill="auto"/>
            <w:vAlign w:val="center"/>
          </w:tcPr>
          <w:p>
            <w:pPr>
              <w:pStyle w:val="54"/>
              <w:rPr>
                <w:rFonts w:cs="Times New Roman"/>
              </w:rPr>
            </w:pPr>
            <w:r>
              <w:rPr>
                <w:rFonts w:cs="Times New Roman"/>
              </w:rPr>
              <w:t>5000吨</w:t>
            </w:r>
          </w:p>
          <w:p>
            <w:pPr>
              <w:pStyle w:val="54"/>
              <w:rPr>
                <w:rFonts w:cs="Times New Roman"/>
              </w:rPr>
            </w:pPr>
            <w:r>
              <w:rPr>
                <w:rFonts w:cs="Times New Roman"/>
              </w:rPr>
              <w:t>10万吨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3</w:t>
            </w:r>
          </w:p>
        </w:tc>
        <w:tc>
          <w:tcPr>
            <w:tcW w:w="1662" w:type="dxa"/>
            <w:shd w:val="clear" w:color="auto" w:fill="auto"/>
            <w:noWrap/>
            <w:vAlign w:val="center"/>
          </w:tcPr>
          <w:p>
            <w:pPr>
              <w:pStyle w:val="54"/>
              <w:rPr>
                <w:rFonts w:cs="Times New Roman"/>
              </w:rPr>
            </w:pPr>
            <w:r>
              <w:rPr>
                <w:rFonts w:cs="Times New Roman"/>
              </w:rPr>
              <w:t>益阳紫荆福利铸业有限公司</w:t>
            </w:r>
          </w:p>
        </w:tc>
        <w:tc>
          <w:tcPr>
            <w:tcW w:w="1134" w:type="dxa"/>
            <w:shd w:val="clear" w:color="auto" w:fill="auto"/>
            <w:noWrap/>
            <w:vAlign w:val="center"/>
          </w:tcPr>
          <w:p>
            <w:pPr>
              <w:pStyle w:val="54"/>
              <w:rPr>
                <w:rFonts w:cs="Times New Roman"/>
              </w:rPr>
            </w:pPr>
            <w:r>
              <w:rPr>
                <w:rFonts w:cs="Times New Roman"/>
              </w:rPr>
              <w:t>机械铸件装备加工、</w:t>
            </w:r>
          </w:p>
          <w:p>
            <w:pPr>
              <w:pStyle w:val="54"/>
              <w:rPr>
                <w:rFonts w:cs="Times New Roman"/>
              </w:rPr>
            </w:pPr>
            <w:r>
              <w:rPr>
                <w:rFonts w:cs="Times New Roman"/>
              </w:rPr>
              <w:t>轨道交通关键基础零部件制造</w:t>
            </w:r>
          </w:p>
        </w:tc>
        <w:tc>
          <w:tcPr>
            <w:tcW w:w="850" w:type="dxa"/>
            <w:shd w:val="clear" w:color="auto" w:fill="auto"/>
            <w:noWrap/>
            <w:vAlign w:val="center"/>
          </w:tcPr>
          <w:p>
            <w:pPr>
              <w:pStyle w:val="54"/>
              <w:rPr>
                <w:rFonts w:cs="Times New Roman"/>
              </w:rPr>
            </w:pPr>
            <w:r>
              <w:rPr>
                <w:rFonts w:cs="Times New Roman"/>
              </w:rPr>
              <w:t>灰山港片区</w:t>
            </w:r>
          </w:p>
        </w:tc>
        <w:tc>
          <w:tcPr>
            <w:tcW w:w="3119" w:type="dxa"/>
            <w:shd w:val="clear" w:color="auto" w:fill="auto"/>
            <w:vAlign w:val="center"/>
          </w:tcPr>
          <w:p>
            <w:pPr>
              <w:pStyle w:val="54"/>
              <w:rPr>
                <w:rFonts w:cs="Times New Roman"/>
              </w:rPr>
            </w:pPr>
            <w:r>
              <w:rPr>
                <w:rFonts w:cs="Times New Roman"/>
              </w:rPr>
              <w:t>工程机械铸件、轨道交通铸件、军工产品铸件、核电产品铸件、出品产品铸件、水力发电铸件、船舶机械铸件、环保设备铸件、清洁能源铸件、航空航天铸件；</w:t>
            </w:r>
          </w:p>
          <w:p>
            <w:pPr>
              <w:pStyle w:val="54"/>
              <w:rPr>
                <w:rFonts w:cs="Times New Roman"/>
              </w:rPr>
            </w:pPr>
            <w:r>
              <w:rPr>
                <w:rFonts w:cs="Times New Roman"/>
              </w:rPr>
              <w:t>齿轮轮芯、高铁刹车制动盘、车钩、高铁用电机机壳、抱轴箱、脱轨条、铁路货车铸件等。</w:t>
            </w:r>
          </w:p>
        </w:tc>
        <w:tc>
          <w:tcPr>
            <w:tcW w:w="992" w:type="dxa"/>
            <w:shd w:val="clear" w:color="auto" w:fill="auto"/>
            <w:vAlign w:val="center"/>
          </w:tcPr>
          <w:p>
            <w:pPr>
              <w:pStyle w:val="54"/>
              <w:rPr>
                <w:rFonts w:cs="Times New Roman"/>
              </w:rPr>
            </w:pPr>
            <w:r>
              <w:rPr>
                <w:rFonts w:cs="Times New Roman"/>
              </w:rPr>
              <w:t>15000件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4</w:t>
            </w:r>
          </w:p>
        </w:tc>
        <w:tc>
          <w:tcPr>
            <w:tcW w:w="1662" w:type="dxa"/>
            <w:shd w:val="clear" w:color="auto" w:fill="auto"/>
            <w:noWrap/>
            <w:vAlign w:val="center"/>
          </w:tcPr>
          <w:p>
            <w:pPr>
              <w:pStyle w:val="54"/>
              <w:rPr>
                <w:rFonts w:cs="Times New Roman"/>
              </w:rPr>
            </w:pPr>
            <w:r>
              <w:rPr>
                <w:rFonts w:cs="Times New Roman"/>
              </w:rPr>
              <w:t>湖南福德电气有限公司</w:t>
            </w:r>
          </w:p>
        </w:tc>
        <w:tc>
          <w:tcPr>
            <w:tcW w:w="1134" w:type="dxa"/>
            <w:shd w:val="clear" w:color="auto" w:fill="auto"/>
            <w:noWrap/>
            <w:vAlign w:val="center"/>
          </w:tcPr>
          <w:p>
            <w:pPr>
              <w:pStyle w:val="54"/>
              <w:rPr>
                <w:rFonts w:cs="Times New Roman"/>
              </w:rPr>
            </w:pPr>
            <w:r>
              <w:rPr>
                <w:rFonts w:cs="Times New Roman"/>
              </w:rPr>
              <w:t>轨道交通关键基础零部件制造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舰船智能测试负载系统、舰船电力驱动系统、新能源动力电池充放电检测系统、机车能量回馈装置、轨道交通机车制动装置、特高压电阻器、特种电源等</w:t>
            </w:r>
          </w:p>
        </w:tc>
        <w:tc>
          <w:tcPr>
            <w:tcW w:w="992" w:type="dxa"/>
            <w:shd w:val="clear" w:color="auto" w:fill="auto"/>
            <w:vAlign w:val="center"/>
          </w:tcPr>
          <w:p>
            <w:pPr>
              <w:pStyle w:val="54"/>
              <w:rPr>
                <w:rFonts w:cs="Times New Roman"/>
              </w:rPr>
            </w:pPr>
            <w:r>
              <w:rPr>
                <w:rFonts w:cs="Times New Roman"/>
              </w:rPr>
              <w:t>1200台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5</w:t>
            </w:r>
          </w:p>
        </w:tc>
        <w:tc>
          <w:tcPr>
            <w:tcW w:w="1662" w:type="dxa"/>
            <w:shd w:val="clear" w:color="auto" w:fill="auto"/>
            <w:vAlign w:val="center"/>
          </w:tcPr>
          <w:p>
            <w:pPr>
              <w:pStyle w:val="54"/>
              <w:rPr>
                <w:rFonts w:cs="Times New Roman"/>
              </w:rPr>
            </w:pPr>
            <w:r>
              <w:rPr>
                <w:rFonts w:cs="Times New Roman"/>
              </w:rPr>
              <w:t>湖南宙盾防化设备科技开发有限公司</w:t>
            </w:r>
          </w:p>
        </w:tc>
        <w:tc>
          <w:tcPr>
            <w:tcW w:w="1134" w:type="dxa"/>
            <w:shd w:val="clear" w:color="auto" w:fill="auto"/>
            <w:noWrap/>
            <w:vAlign w:val="center"/>
          </w:tcPr>
          <w:p>
            <w:pPr>
              <w:pStyle w:val="54"/>
              <w:rPr>
                <w:rFonts w:cs="Times New Roman"/>
              </w:rPr>
            </w:pPr>
            <w:r>
              <w:rPr>
                <w:rFonts w:cs="Times New Roman"/>
              </w:rPr>
              <w:t>防护防化设备</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人防用过滤吸收器</w:t>
            </w:r>
          </w:p>
        </w:tc>
        <w:tc>
          <w:tcPr>
            <w:tcW w:w="992" w:type="dxa"/>
            <w:shd w:val="clear" w:color="auto" w:fill="auto"/>
            <w:vAlign w:val="center"/>
          </w:tcPr>
          <w:p>
            <w:pPr>
              <w:pStyle w:val="54"/>
              <w:rPr>
                <w:rFonts w:cs="Times New Roman"/>
              </w:rPr>
            </w:pPr>
            <w:r>
              <w:rPr>
                <w:rFonts w:cs="Times New Roman"/>
              </w:rPr>
              <w:t>2000台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6</w:t>
            </w:r>
          </w:p>
        </w:tc>
        <w:tc>
          <w:tcPr>
            <w:tcW w:w="1662" w:type="dxa"/>
            <w:shd w:val="clear" w:color="auto" w:fill="auto"/>
            <w:vAlign w:val="center"/>
          </w:tcPr>
          <w:p>
            <w:pPr>
              <w:pStyle w:val="54"/>
              <w:rPr>
                <w:rFonts w:cs="Times New Roman"/>
              </w:rPr>
            </w:pPr>
            <w:r>
              <w:rPr>
                <w:rFonts w:cs="Times New Roman"/>
              </w:rPr>
              <w:t>湖南鸿舜人防工程有限公司</w:t>
            </w:r>
          </w:p>
        </w:tc>
        <w:tc>
          <w:tcPr>
            <w:tcW w:w="1134" w:type="dxa"/>
            <w:shd w:val="clear" w:color="auto" w:fill="auto"/>
            <w:noWrap/>
            <w:vAlign w:val="center"/>
          </w:tcPr>
          <w:p>
            <w:pPr>
              <w:pStyle w:val="54"/>
              <w:rPr>
                <w:rFonts w:cs="Times New Roman"/>
              </w:rPr>
            </w:pPr>
            <w:r>
              <w:rPr>
                <w:rFonts w:cs="Times New Roman"/>
              </w:rPr>
              <w:t>防护防化设备</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人防用过滤吸收器</w:t>
            </w:r>
          </w:p>
        </w:tc>
        <w:tc>
          <w:tcPr>
            <w:tcW w:w="992" w:type="dxa"/>
            <w:shd w:val="clear" w:color="auto" w:fill="auto"/>
            <w:vAlign w:val="center"/>
          </w:tcPr>
          <w:p>
            <w:pPr>
              <w:pStyle w:val="54"/>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7</w:t>
            </w:r>
          </w:p>
        </w:tc>
        <w:tc>
          <w:tcPr>
            <w:tcW w:w="1662" w:type="dxa"/>
            <w:shd w:val="clear" w:color="auto" w:fill="auto"/>
            <w:noWrap/>
            <w:vAlign w:val="center"/>
          </w:tcPr>
          <w:p>
            <w:pPr>
              <w:pStyle w:val="54"/>
              <w:rPr>
                <w:rFonts w:cs="Times New Roman"/>
              </w:rPr>
            </w:pPr>
            <w:r>
              <w:rPr>
                <w:rFonts w:cs="Times New Roman"/>
              </w:rPr>
              <w:t>益阳市红星机械设备有限公司</w:t>
            </w:r>
          </w:p>
        </w:tc>
        <w:tc>
          <w:tcPr>
            <w:tcW w:w="1134" w:type="dxa"/>
            <w:shd w:val="clear" w:color="auto" w:fill="auto"/>
            <w:noWrap/>
          </w:tcPr>
          <w:p>
            <w:pPr>
              <w:pStyle w:val="54"/>
              <w:rPr>
                <w:rFonts w:cs="Times New Roman"/>
              </w:rPr>
            </w:pPr>
            <w:r>
              <w:rPr>
                <w:rFonts w:cs="Times New Roman"/>
              </w:rPr>
              <w:t>炼油、化工生产专用设备制造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noWrap/>
            <w:vAlign w:val="center"/>
          </w:tcPr>
          <w:p>
            <w:pPr>
              <w:pStyle w:val="54"/>
              <w:rPr>
                <w:rFonts w:cs="Times New Roman"/>
              </w:rPr>
            </w:pPr>
            <w:r>
              <w:rPr>
                <w:rFonts w:cs="Times New Roman"/>
              </w:rPr>
              <w:t>焦炉设备</w:t>
            </w:r>
          </w:p>
        </w:tc>
        <w:tc>
          <w:tcPr>
            <w:tcW w:w="992" w:type="dxa"/>
            <w:shd w:val="clear" w:color="auto" w:fill="auto"/>
            <w:noWrap/>
            <w:vAlign w:val="center"/>
          </w:tcPr>
          <w:p>
            <w:pPr>
              <w:pStyle w:val="54"/>
              <w:rPr>
                <w:rFonts w:cs="Times New Roman"/>
              </w:rPr>
            </w:pPr>
            <w:r>
              <w:rPr>
                <w:rFonts w:cs="Times New Roman"/>
              </w:rPr>
              <w:t>1.2万吨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8</w:t>
            </w:r>
          </w:p>
        </w:tc>
        <w:tc>
          <w:tcPr>
            <w:tcW w:w="1662" w:type="dxa"/>
            <w:shd w:val="clear" w:color="auto" w:fill="auto"/>
            <w:noWrap/>
            <w:vAlign w:val="center"/>
          </w:tcPr>
          <w:p>
            <w:pPr>
              <w:pStyle w:val="54"/>
              <w:rPr>
                <w:rFonts w:cs="Times New Roman"/>
              </w:rPr>
            </w:pPr>
            <w:r>
              <w:rPr>
                <w:rFonts w:cs="Times New Roman"/>
              </w:rPr>
              <w:t>湖南新兴机械制造有限公司</w:t>
            </w:r>
          </w:p>
        </w:tc>
        <w:tc>
          <w:tcPr>
            <w:tcW w:w="1134" w:type="dxa"/>
            <w:shd w:val="clear" w:color="auto" w:fill="auto"/>
            <w:noWrap/>
          </w:tcPr>
          <w:p>
            <w:pPr>
              <w:pStyle w:val="54"/>
              <w:rPr>
                <w:rFonts w:cs="Times New Roman"/>
              </w:rPr>
            </w:pPr>
            <w:r>
              <w:rPr>
                <w:rFonts w:cs="Times New Roman"/>
              </w:rPr>
              <w:t>炼油、化工生产专用设备制造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炼焦设备</w:t>
            </w:r>
          </w:p>
        </w:tc>
        <w:tc>
          <w:tcPr>
            <w:tcW w:w="992" w:type="dxa"/>
            <w:shd w:val="clear" w:color="auto" w:fill="auto"/>
            <w:vAlign w:val="center"/>
          </w:tcPr>
          <w:p>
            <w:pPr>
              <w:pStyle w:val="54"/>
              <w:rPr>
                <w:rFonts w:cs="Times New Roman"/>
              </w:rPr>
            </w:pPr>
            <w:r>
              <w:rPr>
                <w:rFonts w:cs="Times New Roman"/>
              </w:rPr>
              <w:t>8000吨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9</w:t>
            </w:r>
          </w:p>
        </w:tc>
        <w:tc>
          <w:tcPr>
            <w:tcW w:w="1662" w:type="dxa"/>
            <w:shd w:val="clear" w:color="auto" w:fill="auto"/>
            <w:noWrap/>
            <w:vAlign w:val="center"/>
          </w:tcPr>
          <w:p>
            <w:pPr>
              <w:pStyle w:val="54"/>
              <w:rPr>
                <w:rFonts w:cs="Times New Roman"/>
              </w:rPr>
            </w:pPr>
            <w:r>
              <w:rPr>
                <w:rFonts w:cs="Times New Roman"/>
              </w:rPr>
              <w:t>益阳市科惠汽配有限公司</w:t>
            </w:r>
          </w:p>
        </w:tc>
        <w:tc>
          <w:tcPr>
            <w:tcW w:w="1134" w:type="dxa"/>
            <w:shd w:val="clear" w:color="auto" w:fill="auto"/>
            <w:noWrap/>
          </w:tcPr>
          <w:p>
            <w:pPr>
              <w:pStyle w:val="54"/>
              <w:rPr>
                <w:rFonts w:cs="Times New Roman"/>
              </w:rPr>
            </w:pPr>
            <w:r>
              <w:rPr>
                <w:rFonts w:cs="Times New Roman"/>
              </w:rPr>
              <w:t>汽车零部件及配件制造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活塞总成</w:t>
            </w:r>
          </w:p>
        </w:tc>
        <w:tc>
          <w:tcPr>
            <w:tcW w:w="992" w:type="dxa"/>
            <w:shd w:val="clear" w:color="auto" w:fill="auto"/>
            <w:vAlign w:val="center"/>
          </w:tcPr>
          <w:p>
            <w:pPr>
              <w:pStyle w:val="54"/>
              <w:rPr>
                <w:rFonts w:cs="Times New Roman"/>
              </w:rPr>
            </w:pPr>
            <w:r>
              <w:rPr>
                <w:rFonts w:cs="Times New Roman"/>
              </w:rPr>
              <w:t>300万台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10</w:t>
            </w:r>
          </w:p>
        </w:tc>
        <w:tc>
          <w:tcPr>
            <w:tcW w:w="1662" w:type="dxa"/>
            <w:shd w:val="clear" w:color="auto" w:fill="auto"/>
            <w:noWrap/>
            <w:vAlign w:val="center"/>
          </w:tcPr>
          <w:p>
            <w:pPr>
              <w:pStyle w:val="54"/>
              <w:rPr>
                <w:rFonts w:cs="Times New Roman"/>
              </w:rPr>
            </w:pPr>
            <w:r>
              <w:rPr>
                <w:rFonts w:cs="Times New Roman"/>
              </w:rPr>
              <w:t>湖南天腾汽车零部件有限公司</w:t>
            </w:r>
          </w:p>
        </w:tc>
        <w:tc>
          <w:tcPr>
            <w:tcW w:w="1134" w:type="dxa"/>
            <w:shd w:val="clear" w:color="auto" w:fill="auto"/>
            <w:noWrap/>
          </w:tcPr>
          <w:p>
            <w:pPr>
              <w:pStyle w:val="54"/>
              <w:rPr>
                <w:rFonts w:cs="Times New Roman"/>
              </w:rPr>
            </w:pPr>
            <w:r>
              <w:rPr>
                <w:rFonts w:cs="Times New Roman"/>
              </w:rPr>
              <w:t>汽车零部件及配件制造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noWrap/>
            <w:vAlign w:val="center"/>
          </w:tcPr>
          <w:p>
            <w:pPr>
              <w:pStyle w:val="54"/>
              <w:rPr>
                <w:rFonts w:cs="Times New Roman"/>
              </w:rPr>
            </w:pPr>
            <w:r>
              <w:rPr>
                <w:rFonts w:cs="Times New Roman"/>
              </w:rPr>
              <w:t>汽车风管</w:t>
            </w:r>
          </w:p>
        </w:tc>
        <w:tc>
          <w:tcPr>
            <w:tcW w:w="992" w:type="dxa"/>
            <w:shd w:val="clear" w:color="auto" w:fill="auto"/>
            <w:noWrap/>
            <w:vAlign w:val="center"/>
          </w:tcPr>
          <w:p>
            <w:pPr>
              <w:pStyle w:val="54"/>
              <w:rPr>
                <w:rFonts w:cs="Times New Roman"/>
              </w:rPr>
            </w:pPr>
            <w:r>
              <w:rPr>
                <w:rFonts w:cs="Times New Roman"/>
              </w:rPr>
              <w:t>97.5万件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11</w:t>
            </w:r>
          </w:p>
        </w:tc>
        <w:tc>
          <w:tcPr>
            <w:tcW w:w="1662" w:type="dxa"/>
            <w:shd w:val="clear" w:color="auto" w:fill="auto"/>
            <w:noWrap/>
            <w:vAlign w:val="center"/>
          </w:tcPr>
          <w:p>
            <w:pPr>
              <w:pStyle w:val="54"/>
              <w:rPr>
                <w:rFonts w:cs="Times New Roman"/>
              </w:rPr>
            </w:pPr>
            <w:r>
              <w:rPr>
                <w:rFonts w:cs="Times New Roman"/>
              </w:rPr>
              <w:t>湖南达荣自动化设备有限公司</w:t>
            </w:r>
          </w:p>
        </w:tc>
        <w:tc>
          <w:tcPr>
            <w:tcW w:w="1134" w:type="dxa"/>
            <w:shd w:val="clear" w:color="auto" w:fill="auto"/>
            <w:noWrap/>
          </w:tcPr>
          <w:p>
            <w:pPr>
              <w:pStyle w:val="54"/>
              <w:rPr>
                <w:rFonts w:cs="Times New Roman"/>
              </w:rPr>
            </w:pPr>
            <w:r>
              <w:rPr>
                <w:rFonts w:cs="Times New Roman"/>
              </w:rPr>
              <w:t>汽车零部件及配件制造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法兰孔板，金属键盘，设备仪器面板</w:t>
            </w:r>
          </w:p>
        </w:tc>
        <w:tc>
          <w:tcPr>
            <w:tcW w:w="992" w:type="dxa"/>
            <w:shd w:val="clear" w:color="auto" w:fill="auto"/>
            <w:noWrap/>
            <w:vAlign w:val="center"/>
          </w:tcPr>
          <w:p>
            <w:pPr>
              <w:pStyle w:val="54"/>
              <w:rPr>
                <w:rFonts w:cs="Times New Roman"/>
              </w:rPr>
            </w:pPr>
            <w:r>
              <w:rPr>
                <w:rFonts w:cs="Times New Roman"/>
              </w:rPr>
              <w:t>1万套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12</w:t>
            </w:r>
          </w:p>
        </w:tc>
        <w:tc>
          <w:tcPr>
            <w:tcW w:w="1662" w:type="dxa"/>
            <w:shd w:val="clear" w:color="auto" w:fill="auto"/>
            <w:noWrap/>
            <w:vAlign w:val="center"/>
          </w:tcPr>
          <w:p>
            <w:pPr>
              <w:pStyle w:val="54"/>
              <w:rPr>
                <w:rFonts w:cs="Times New Roman"/>
              </w:rPr>
            </w:pPr>
            <w:r>
              <w:rPr>
                <w:rFonts w:cs="Times New Roman"/>
              </w:rPr>
              <w:t>湖南湘资泵业有限公司</w:t>
            </w:r>
          </w:p>
        </w:tc>
        <w:tc>
          <w:tcPr>
            <w:tcW w:w="1134" w:type="dxa"/>
            <w:shd w:val="clear" w:color="auto" w:fill="auto"/>
            <w:noWrap/>
            <w:vAlign w:val="center"/>
          </w:tcPr>
          <w:p>
            <w:pPr>
              <w:pStyle w:val="54"/>
              <w:rPr>
                <w:rFonts w:cs="Times New Roman"/>
              </w:rPr>
            </w:pPr>
            <w:r>
              <w:rPr>
                <w:rFonts w:cs="Times New Roman"/>
              </w:rPr>
              <w:t>其他专用设备制造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潜水泵组装加工、销售</w:t>
            </w:r>
          </w:p>
        </w:tc>
        <w:tc>
          <w:tcPr>
            <w:tcW w:w="992" w:type="dxa"/>
            <w:shd w:val="clear" w:color="auto" w:fill="auto"/>
            <w:noWrap/>
            <w:vAlign w:val="center"/>
          </w:tcPr>
          <w:p>
            <w:pPr>
              <w:pStyle w:val="54"/>
              <w:rPr>
                <w:rFonts w:cs="Times New Roman"/>
              </w:rPr>
            </w:pP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13</w:t>
            </w:r>
          </w:p>
        </w:tc>
        <w:tc>
          <w:tcPr>
            <w:tcW w:w="1662" w:type="dxa"/>
            <w:shd w:val="clear" w:color="auto" w:fill="auto"/>
            <w:noWrap/>
            <w:vAlign w:val="center"/>
          </w:tcPr>
          <w:p>
            <w:pPr>
              <w:pStyle w:val="54"/>
              <w:rPr>
                <w:rFonts w:cs="Times New Roman"/>
              </w:rPr>
            </w:pPr>
            <w:r>
              <w:rPr>
                <w:rFonts w:cs="Times New Roman"/>
              </w:rPr>
              <w:t>湖南金鼎赛斯电子仪器科技有限公司</w:t>
            </w:r>
          </w:p>
        </w:tc>
        <w:tc>
          <w:tcPr>
            <w:tcW w:w="1134" w:type="dxa"/>
            <w:shd w:val="clear" w:color="auto" w:fill="auto"/>
            <w:noWrap/>
            <w:vAlign w:val="center"/>
          </w:tcPr>
          <w:p>
            <w:pPr>
              <w:pStyle w:val="54"/>
              <w:rPr>
                <w:rFonts w:cs="Times New Roman"/>
              </w:rPr>
            </w:pPr>
            <w:r>
              <w:rPr>
                <w:rFonts w:cs="Times New Roman"/>
              </w:rPr>
              <w:t>其他专用设备制造</w:t>
            </w:r>
          </w:p>
        </w:tc>
        <w:tc>
          <w:tcPr>
            <w:tcW w:w="850" w:type="dxa"/>
            <w:shd w:val="clear" w:color="auto" w:fill="auto"/>
            <w:noWrap/>
            <w:vAlign w:val="center"/>
          </w:tcPr>
          <w:p>
            <w:pPr>
              <w:pStyle w:val="54"/>
              <w:rPr>
                <w:rFonts w:cs="Times New Roman"/>
              </w:rPr>
            </w:pPr>
            <w:r>
              <w:rPr>
                <w:rFonts w:cs="Times New Roman"/>
              </w:rPr>
              <w:t>高新区主区</w:t>
            </w:r>
          </w:p>
        </w:tc>
        <w:tc>
          <w:tcPr>
            <w:tcW w:w="3119" w:type="dxa"/>
            <w:shd w:val="clear" w:color="auto" w:fill="auto"/>
            <w:vAlign w:val="center"/>
          </w:tcPr>
          <w:p>
            <w:pPr>
              <w:pStyle w:val="54"/>
              <w:rPr>
                <w:rFonts w:cs="Times New Roman"/>
              </w:rPr>
            </w:pPr>
            <w:r>
              <w:rPr>
                <w:rFonts w:cs="Times New Roman"/>
              </w:rPr>
              <w:t>振动台、冲击台、消音室、隔音房、拉力机、恒温恒湿类等试验设备</w:t>
            </w:r>
          </w:p>
        </w:tc>
        <w:tc>
          <w:tcPr>
            <w:tcW w:w="992" w:type="dxa"/>
            <w:shd w:val="clear" w:color="auto" w:fill="auto"/>
            <w:noWrap/>
            <w:vAlign w:val="center"/>
          </w:tcPr>
          <w:p>
            <w:pPr>
              <w:pStyle w:val="54"/>
              <w:rPr>
                <w:rFonts w:cs="Times New Roman"/>
              </w:rPr>
            </w:pP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 w:type="dxa"/>
            <w:shd w:val="clear" w:color="auto" w:fill="auto"/>
            <w:noWrap/>
            <w:vAlign w:val="center"/>
          </w:tcPr>
          <w:p>
            <w:pPr>
              <w:pStyle w:val="54"/>
              <w:rPr>
                <w:rFonts w:cs="Times New Roman"/>
              </w:rPr>
            </w:pPr>
            <w:r>
              <w:rPr>
                <w:rFonts w:cs="Times New Roman"/>
              </w:rPr>
              <w:t>14</w:t>
            </w:r>
          </w:p>
        </w:tc>
        <w:tc>
          <w:tcPr>
            <w:tcW w:w="1662" w:type="dxa"/>
            <w:shd w:val="clear" w:color="auto" w:fill="auto"/>
            <w:noWrap/>
            <w:vAlign w:val="center"/>
          </w:tcPr>
          <w:p>
            <w:pPr>
              <w:pStyle w:val="54"/>
              <w:rPr>
                <w:rFonts w:cs="Times New Roman"/>
              </w:rPr>
            </w:pPr>
            <w:r>
              <w:rPr>
                <w:rFonts w:cs="Times New Roman"/>
              </w:rPr>
              <w:t>桃江县盛宇机械厂</w:t>
            </w:r>
          </w:p>
        </w:tc>
        <w:tc>
          <w:tcPr>
            <w:tcW w:w="1134" w:type="dxa"/>
            <w:shd w:val="clear" w:color="auto" w:fill="auto"/>
            <w:noWrap/>
          </w:tcPr>
          <w:p>
            <w:pPr>
              <w:pStyle w:val="54"/>
              <w:rPr>
                <w:rFonts w:cs="Times New Roman"/>
              </w:rPr>
            </w:pPr>
            <w:r>
              <w:rPr>
                <w:rFonts w:cs="Times New Roman"/>
              </w:rPr>
              <w:t>重大成套设备及其他智能制造</w:t>
            </w:r>
          </w:p>
        </w:tc>
        <w:tc>
          <w:tcPr>
            <w:tcW w:w="850" w:type="dxa"/>
            <w:shd w:val="clear" w:color="auto" w:fill="auto"/>
            <w:noWrap/>
            <w:vAlign w:val="center"/>
          </w:tcPr>
          <w:p>
            <w:pPr>
              <w:pStyle w:val="54"/>
              <w:rPr>
                <w:rFonts w:cs="Times New Roman"/>
              </w:rPr>
            </w:pPr>
            <w:r>
              <w:rPr>
                <w:rFonts w:cs="Times New Roman"/>
              </w:rPr>
              <w:t>灰山港片区</w:t>
            </w:r>
          </w:p>
        </w:tc>
        <w:tc>
          <w:tcPr>
            <w:tcW w:w="3119" w:type="dxa"/>
            <w:shd w:val="clear" w:color="auto" w:fill="auto"/>
            <w:vAlign w:val="center"/>
          </w:tcPr>
          <w:p>
            <w:pPr>
              <w:pStyle w:val="54"/>
              <w:rPr>
                <w:rFonts w:cs="Times New Roman"/>
              </w:rPr>
            </w:pPr>
            <w:r>
              <w:rPr>
                <w:rFonts w:cs="Times New Roman"/>
              </w:rPr>
              <w:t>机械零配件、金属溶器</w:t>
            </w:r>
          </w:p>
        </w:tc>
        <w:tc>
          <w:tcPr>
            <w:tcW w:w="992" w:type="dxa"/>
            <w:shd w:val="clear" w:color="auto" w:fill="auto"/>
            <w:noWrap/>
            <w:vAlign w:val="center"/>
          </w:tcPr>
          <w:p>
            <w:pPr>
              <w:pStyle w:val="54"/>
              <w:rPr>
                <w:rFonts w:cs="Times New Roman"/>
              </w:rPr>
            </w:pPr>
            <w:r>
              <w:rPr>
                <w:rFonts w:cs="Times New Roman"/>
              </w:rPr>
              <w:t>-</w:t>
            </w:r>
          </w:p>
        </w:tc>
      </w:tr>
      <w:bookmarkEnd w:id="5"/>
      <w:bookmarkEnd w:id="6"/>
      <w:bookmarkEnd w:id="7"/>
      <w:bookmarkEnd w:id="8"/>
      <w:bookmarkEnd w:id="9"/>
      <w:bookmarkEnd w:id="10"/>
    </w:tbl>
    <w:p>
      <w:pPr>
        <w:pStyle w:val="51"/>
        <w:ind w:firstLine="560"/>
        <w:rPr>
          <w:b/>
          <w:bCs/>
        </w:rPr>
      </w:pPr>
      <w:r>
        <w:t>桃江县在机械铸件装备、焦化生产专用设备、汽车零部件及配件制造、轨道交通关键基础零部件制造等先进装备制造领域已形成一定产业基础，培育了金沙重工、紫荆铸业、红星机械、福德电气等一批年产值超10亿元的骨干企业，这些企业为桃江县发展先进装备制造产业提供了良好的产业基础和技术支撑。</w:t>
      </w:r>
    </w:p>
    <w:p>
      <w:pPr>
        <w:pStyle w:val="51"/>
        <w:ind w:firstLine="560"/>
      </w:pPr>
      <w:r>
        <w:t>此外，2020年9月，习近平总书记在湖南考察时强调，湖南</w:t>
      </w:r>
      <w:r>
        <w:rPr>
          <w:rFonts w:hint="eastAsia"/>
        </w:rPr>
        <w:t>要打造“三个高地”、践行“四新”使命、落实五项重点任务。其中，将打造国家重要先进制造业高地摆在各项任务要求之首。2024年3月，习近平总书记来到湖南，勉励湖南聚焦优势产业，强化产业基础再造和重大技术装备攻关，继续做大做强先进制造业，加快产业高端化、智能化、绿色化发展，着力打造国家级产业集群。为支持先进制造业高质量发展，湖南省、桃江县相继出台一系列政策文件，为先进装备制造业提供了财政补助、金融支持、土地供给、公共服务、人才吸引等多方面的政策支持。这些政策措施共同构成了桃江县对先进装备制造</w:t>
      </w:r>
      <w:r>
        <w:t>业的全面支持，旨在发挥桃江高新区主区和灰山港片区70余万平方米标准化厂房和1.5万亩工业用地的优势，促进产业的高质量发展，增强产业的整体实力和核心竞争力。</w:t>
      </w:r>
    </w:p>
    <w:p>
      <w:pPr>
        <w:pStyle w:val="3"/>
      </w:pPr>
      <w:bookmarkStart w:id="11" w:name="_Toc182908000"/>
      <w:r>
        <w:t>发展形势</w:t>
      </w:r>
      <w:bookmarkEnd w:id="11"/>
    </w:p>
    <w:p>
      <w:pPr>
        <w:pStyle w:val="51"/>
        <w:ind w:firstLine="562"/>
        <w:rPr>
          <w:b/>
          <w:bCs/>
        </w:rPr>
      </w:pPr>
      <w:r>
        <w:rPr>
          <w:rFonts w:hint="eastAsia"/>
          <w:b/>
          <w:bCs/>
        </w:rPr>
        <w:t>从国际看，保护主义、单边主义加剧“逆全球化”进程，先进装备制造业中间品“进口代替”进程将进一步加速。</w:t>
      </w:r>
      <w:r>
        <w:rPr>
          <w:rFonts w:hint="eastAsia"/>
        </w:rPr>
        <w:t>从全球来看，受新冠肺炎疫情、能源危机和经济停滞衰退等事件影响，制造业供应关系的不稳定因素增多，先进制造业全球化进入重塑期，其配置逻辑由效益优先转向安全稳定优先。在我国制造业发展过程中，进口替代一直在发生，呈现出不同产业和商品处于不同发展阶段的动态、循环往复的过程，在以科技创新加速培育新质生产力的新形势下，</w:t>
      </w:r>
      <w:bookmarkStart w:id="12" w:name="_Hlk181281302"/>
      <w:r>
        <w:rPr>
          <w:rFonts w:hint="eastAsia"/>
        </w:rPr>
        <w:t>将进一步加速进口代替进程</w:t>
      </w:r>
      <w:bookmarkEnd w:id="12"/>
      <w:r>
        <w:rPr>
          <w:rFonts w:hint="eastAsia"/>
        </w:rPr>
        <w:t>。我国重整机、轻核心零部件、关键技术的环境氛围，核心关键技术、核心关键零部件进口依赖、受制于人等问题逐渐暴露，推动中间产品内向化发展，即实现高端原材料、零部件等中间品的进口替代，是我国摆脱“低附加值”出口陷阱，实现制造业转型升级的必由之路。</w:t>
      </w:r>
    </w:p>
    <w:p>
      <w:pPr>
        <w:pStyle w:val="51"/>
        <w:ind w:firstLine="562"/>
        <w:rPr>
          <w:b/>
          <w:bCs/>
        </w:rPr>
      </w:pPr>
      <w:r>
        <w:rPr>
          <w:rFonts w:hint="eastAsia"/>
          <w:b/>
          <w:bCs/>
        </w:rPr>
        <w:t>从国内看，“一带一路”倡议叠加“大规模设备更新”政策，内外需市场双轮驱动，先进装备制造业进入新景气周期。</w:t>
      </w:r>
      <w:r>
        <w:rPr>
          <w:rFonts w:hint="eastAsia"/>
        </w:rPr>
        <w:t>得益于雄厚的行业实力</w:t>
      </w:r>
      <w:r>
        <w:t>，中国已与近160个国家和国际组织签署了200余份共建</w:t>
      </w:r>
      <w:r>
        <w:rPr>
          <w:rFonts w:hint="eastAsia"/>
        </w:rPr>
        <w:t>“一带一路”的</w:t>
      </w:r>
      <w:r>
        <w:t>合作协议，</w:t>
      </w:r>
      <w:r>
        <w:rPr>
          <w:rFonts w:hint="eastAsia"/>
        </w:rPr>
        <w:t>“一带一路”为中国先进装备制造企业“走出去”搭建了重要平台，通过借船出海、海外并购、海外投资建厂等方式，让越来越多的先进装备制造企业走出国门，预计</w:t>
      </w:r>
      <w:r>
        <w:t>未来10年</w:t>
      </w:r>
      <w:r>
        <w:rPr>
          <w:rFonts w:hint="eastAsia"/>
        </w:rPr>
        <w:t>“一带一路”相关</w:t>
      </w:r>
      <w:r>
        <w:t>重点国家基础设施建设至少需要8000亿美元，国内</w:t>
      </w:r>
      <w:r>
        <w:rPr>
          <w:rFonts w:hint="eastAsia"/>
        </w:rPr>
        <w:t>先进</w:t>
      </w:r>
      <w:r>
        <w:t>装备远期出海存在高成长的可持续性。</w:t>
      </w:r>
      <w:r>
        <w:rPr>
          <w:rFonts w:hint="eastAsia"/>
        </w:rPr>
        <w:t>此外，</w:t>
      </w:r>
      <w:r>
        <w:t>国内制造业经过多年发展，已经步入高质量发展阶段</w:t>
      </w:r>
      <w:r>
        <w:rPr>
          <w:rFonts w:hint="eastAsia"/>
        </w:rPr>
        <w:t>，</w:t>
      </w:r>
      <w:r>
        <w:t>各类生产设备通常在5</w:t>
      </w:r>
      <w:r>
        <w:rPr>
          <w:rFonts w:hint="eastAsia"/>
        </w:rPr>
        <w:t>—</w:t>
      </w:r>
      <w:r>
        <w:t>15年的寿命区间</w:t>
      </w:r>
      <w:r>
        <w:rPr>
          <w:rFonts w:hint="eastAsia"/>
        </w:rPr>
        <w:t>，庞大的存量市场已进入了替代周期。2024年3月13日国务院印发《推动大规模设备更新和消费品以旧换新行动方案》</w:t>
      </w:r>
      <w:r>
        <w:rPr>
          <w:rFonts w:hint="eastAsia"/>
          <w:color w:val="1A1A1A"/>
        </w:rPr>
        <w:t>，要求推动大规模设备更新和消费品以旧换新。</w:t>
      </w:r>
      <w:r>
        <w:t>有测算显示，大规模设备更新将撬动超5万亿元大市场，为</w:t>
      </w:r>
      <w:r>
        <w:rPr>
          <w:rFonts w:hint="eastAsia"/>
        </w:rPr>
        <w:t>先进</w:t>
      </w:r>
      <w:r>
        <w:t>装备制造业提供新的市场需求和投资机会。</w:t>
      </w:r>
    </w:p>
    <w:p>
      <w:pPr>
        <w:pStyle w:val="51"/>
        <w:ind w:firstLine="562"/>
      </w:pPr>
      <w:r>
        <w:rPr>
          <w:rFonts w:hint="eastAsia"/>
          <w:b/>
          <w:bCs/>
        </w:rPr>
        <w:t>从省内看，“供应链配套”强化措施持续推出，基础及关键零部件配套将成为打造国家重要先进制造业高地重要支撑。</w:t>
      </w:r>
      <w:r>
        <w:rPr>
          <w:rFonts w:hint="eastAsia"/>
        </w:rPr>
        <w:t>制造业是湖南省的传统优势产业，经多年的发展，</w:t>
      </w:r>
      <w:r>
        <w:t>湖南</w:t>
      </w:r>
      <w:r>
        <w:rPr>
          <w:rFonts w:hint="eastAsia"/>
        </w:rPr>
        <w:t>省已经培育</w:t>
      </w:r>
      <w:bookmarkStart w:id="13" w:name="_Hlk182925528"/>
      <w:r>
        <w:t>株洲市轨道交通装备集群</w:t>
      </w:r>
      <w:r>
        <w:rPr>
          <w:rFonts w:hint="eastAsia"/>
        </w:rPr>
        <w:t>、</w:t>
      </w:r>
      <w:r>
        <w:t>长沙市工程机械集群</w:t>
      </w:r>
      <w:r>
        <w:rPr>
          <w:rFonts w:hint="eastAsia"/>
        </w:rPr>
        <w:t>、</w:t>
      </w:r>
      <w:r>
        <w:t>株洲市中小航空发动机集群</w:t>
      </w:r>
      <w:bookmarkEnd w:id="13"/>
      <w:r>
        <w:rPr>
          <w:rFonts w:hint="eastAsia"/>
        </w:rPr>
        <w:t>3个</w:t>
      </w:r>
      <w:r>
        <w:t>国家先进制造业集群</w:t>
      </w:r>
      <w:r>
        <w:rPr>
          <w:rFonts w:hint="eastAsia"/>
        </w:rPr>
        <w:t>。湖南先进装备制造业尽管有优势、有长项，但在产业分工细化、协作配套全球化的当今时代，零部件配套及后续服务、生产性服务业跟不上的问题逐渐暴露。</w:t>
      </w:r>
      <w:r>
        <w:t>近年来，湖南省陆续出台</w:t>
      </w:r>
      <w:r>
        <w:rPr>
          <w:rFonts w:hint="eastAsia"/>
        </w:rPr>
        <w:t>《支持先进制造业供应链配套发展的若干政策措施》《落实〈支持先进制造业供应链配套发展的若干政策措施〉实施细则》《先进制造业重点培育关键零部件配套生产企业清单》《先进制造业重点配套产品补链清单》《</w:t>
      </w:r>
      <w:bookmarkStart w:id="14" w:name="_Hlk182925790"/>
      <w:r>
        <w:rPr>
          <w:rFonts w:hint="eastAsia"/>
        </w:rPr>
        <w:t>先进制造业</w:t>
      </w:r>
      <w:bookmarkEnd w:id="14"/>
      <w:r>
        <w:rPr>
          <w:rFonts w:hint="eastAsia"/>
        </w:rPr>
        <w:t>关键配套产品工程化攻关清单》</w:t>
      </w:r>
      <w:r>
        <w:t>等文件，明确</w:t>
      </w:r>
      <w:r>
        <w:rPr>
          <w:rFonts w:hint="eastAsia"/>
        </w:rPr>
        <w:t>稳定重点先进制造业供应链产业链，发挥龙头企业的引领带动作用，促进先进制造业供应链配套发展。此外，2022年湖南省发展和改革委员会出台</w:t>
      </w:r>
      <w:r>
        <w:t>《重点先进制造业省级配套产业园区布局发展方案》</w:t>
      </w:r>
      <w:r>
        <w:rPr>
          <w:rFonts w:hint="eastAsia"/>
        </w:rPr>
        <w:t>，方案明确</w:t>
      </w:r>
      <w:r>
        <w:t>在</w:t>
      </w:r>
      <w:r>
        <w:rPr>
          <w:rFonts w:hint="eastAsia"/>
        </w:rPr>
        <w:t>6个</w:t>
      </w:r>
      <w:r>
        <w:t>首批重点布局配套园区之外，各市州</w:t>
      </w:r>
      <w:r>
        <w:rPr>
          <w:rFonts w:hint="eastAsia"/>
        </w:rPr>
        <w:t>可根据现有基础和特色优势，在相关细分领域积极培育和引进国内外龙头企业和“专精特新”企业，形成核心竞争力，助力重点产业发展。对形成一定规模影响的，省将适时统筹纳入布局范围。</w:t>
      </w:r>
      <w:r>
        <w:t>过去零部件企业面临的诸多挑战如垂直品类天花板偏低、缺乏试用上场机会等都在近几年得到很好改善，基于产品、行业与垂直一体化整合的三维延展，配合步步为营的全球化战略，</w:t>
      </w:r>
      <w:r>
        <w:rPr>
          <w:rFonts w:hint="eastAsia"/>
        </w:rPr>
        <w:t>为湖南省先进装备制造业</w:t>
      </w:r>
      <w:r>
        <w:t>零部件企业</w:t>
      </w:r>
      <w:r>
        <w:rPr>
          <w:rFonts w:hint="eastAsia"/>
        </w:rPr>
        <w:t>做大做强带来发展机遇</w:t>
      </w:r>
      <w:r>
        <w:t>。</w:t>
      </w:r>
    </w:p>
    <w:p>
      <w:pPr>
        <w:pStyle w:val="51"/>
        <w:ind w:firstLine="562"/>
        <w:rPr>
          <w:b/>
          <w:bCs/>
        </w:rPr>
      </w:pPr>
      <w:r>
        <w:rPr>
          <w:rFonts w:hint="eastAsia"/>
          <w:b/>
          <w:bCs/>
        </w:rPr>
        <w:t>综上分析，</w:t>
      </w:r>
      <w:r>
        <w:rPr>
          <w:b/>
          <w:bCs/>
        </w:rPr>
        <w:t>在全球制造业供应链不稳定因素增多的背景下，</w:t>
      </w:r>
      <w:r>
        <w:rPr>
          <w:rFonts w:hint="eastAsia"/>
          <w:b/>
          <w:bCs/>
        </w:rPr>
        <w:t>先进装备制造业进入重塑期，</w:t>
      </w:r>
      <w:r>
        <w:rPr>
          <w:b/>
          <w:bCs/>
        </w:rPr>
        <w:t>减少对外部进口的依赖</w:t>
      </w:r>
      <w:r>
        <w:rPr>
          <w:rFonts w:hint="eastAsia"/>
          <w:b/>
          <w:bCs/>
        </w:rPr>
        <w:t>、</w:t>
      </w:r>
      <w:r>
        <w:rPr>
          <w:b/>
          <w:bCs/>
        </w:rPr>
        <w:t>提升产业</w:t>
      </w:r>
      <w:r>
        <w:rPr>
          <w:rFonts w:hint="eastAsia"/>
          <w:b/>
          <w:bCs/>
        </w:rPr>
        <w:t>链</w:t>
      </w:r>
      <w:r>
        <w:rPr>
          <w:b/>
          <w:bCs/>
        </w:rPr>
        <w:t>自主可控能力</w:t>
      </w:r>
      <w:r>
        <w:rPr>
          <w:rFonts w:hint="eastAsia"/>
          <w:b/>
          <w:bCs/>
        </w:rPr>
        <w:t>是</w:t>
      </w:r>
      <w:r>
        <w:rPr>
          <w:b/>
          <w:bCs/>
        </w:rPr>
        <w:t>保障</w:t>
      </w:r>
      <w:r>
        <w:rPr>
          <w:rFonts w:hint="eastAsia"/>
          <w:b/>
          <w:bCs/>
        </w:rPr>
        <w:t>我国</w:t>
      </w:r>
      <w:r>
        <w:rPr>
          <w:b/>
          <w:bCs/>
        </w:rPr>
        <w:t>装备制造业产业链供应链安全稳定</w:t>
      </w:r>
      <w:r>
        <w:rPr>
          <w:rFonts w:hint="eastAsia"/>
          <w:b/>
          <w:bCs/>
        </w:rPr>
        <w:t>的</w:t>
      </w:r>
      <w:r>
        <w:rPr>
          <w:b/>
          <w:bCs/>
        </w:rPr>
        <w:t>根本。</w:t>
      </w:r>
      <w:r>
        <w:rPr>
          <w:rFonts w:hint="eastAsia"/>
          <w:b/>
          <w:bCs/>
        </w:rPr>
        <w:t>此外，</w:t>
      </w:r>
      <w:r>
        <w:rPr>
          <w:b/>
          <w:bCs/>
        </w:rPr>
        <w:t>湖南省在</w:t>
      </w:r>
      <w:r>
        <w:rPr>
          <w:rFonts w:hint="eastAsia"/>
          <w:b/>
          <w:bCs/>
        </w:rPr>
        <w:t>先进制造业</w:t>
      </w:r>
      <w:r>
        <w:rPr>
          <w:b/>
          <w:bCs/>
        </w:rPr>
        <w:t>供应链配套方面所推行的系列强化措施，</w:t>
      </w:r>
      <w:r>
        <w:rPr>
          <w:rFonts w:hint="eastAsia"/>
          <w:b/>
          <w:bCs/>
        </w:rPr>
        <w:t>也为桃江县先进装备制造业未来发展指明方向。因此，桃江县未来可基于产业发展基础，将先进装备制造业基础及关键零部件配套产业作为重点发展方向</w:t>
      </w:r>
      <w:r>
        <w:rPr>
          <w:b/>
          <w:bCs/>
        </w:rPr>
        <w:t>。</w:t>
      </w:r>
    </w:p>
    <w:p>
      <w:pPr>
        <w:pStyle w:val="3"/>
      </w:pPr>
      <w:bookmarkStart w:id="15" w:name="_Toc182908001"/>
      <w:r>
        <w:t>发展策略</w:t>
      </w:r>
      <w:bookmarkEnd w:id="15"/>
    </w:p>
    <w:p>
      <w:pPr>
        <w:pStyle w:val="50"/>
      </w:pPr>
      <w:r>
        <w:t>桃江县先进装备制造业SWOT分析</w:t>
      </w:r>
    </w:p>
    <w:tbl>
      <w:tblPr>
        <w:tblStyle w:val="62"/>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706"/>
        <w:gridCol w:w="2847"/>
        <w:gridCol w:w="27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vMerge w:val="restart"/>
            <w:tcBorders>
              <w:top w:val="single" w:color="auto" w:sz="12" w:space="0"/>
              <w:left w:val="single" w:color="auto" w:sz="12" w:space="0"/>
              <w:bottom w:val="single" w:color="auto" w:sz="8" w:space="0"/>
              <w:right w:val="single" w:color="auto" w:sz="8" w:space="0"/>
              <w:tl2br w:val="single" w:color="auto" w:sz="8" w:space="0"/>
              <w:tr2bl w:val="nil"/>
            </w:tcBorders>
            <w:shd w:val="clear" w:color="auto" w:fill="auto"/>
            <w:vAlign w:val="center"/>
          </w:tcPr>
          <w:p>
            <w:pPr>
              <w:pStyle w:val="54"/>
              <w:jc w:val="right"/>
              <w:rPr>
                <w:rFonts w:cs="Times New Roman"/>
                <w:b/>
                <w:bCs/>
                <w:lang w:bidi="ar"/>
              </w:rPr>
            </w:pPr>
            <w:r>
              <w:rPr>
                <w:rFonts w:cs="Times New Roman"/>
                <w:b/>
                <w:bCs/>
                <w:lang w:bidi="ar"/>
              </w:rPr>
              <w:t>内部能力</w:t>
            </w: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rPr>
                <w:rFonts w:cs="Times New Roman"/>
                <w:b/>
                <w:bCs/>
                <w:lang w:bidi="ar"/>
              </w:rPr>
            </w:pPr>
          </w:p>
          <w:p>
            <w:pPr>
              <w:pStyle w:val="54"/>
              <w:jc w:val="left"/>
              <w:rPr>
                <w:rFonts w:cs="Times New Roman"/>
                <w:lang w:bidi="ar"/>
              </w:rPr>
            </w:pPr>
            <w:r>
              <w:rPr>
                <w:rFonts w:cs="Times New Roman"/>
                <w:b/>
                <w:bCs/>
                <w:lang w:bidi="ar"/>
              </w:rPr>
              <w:t>外部因素</w:t>
            </w:r>
          </w:p>
        </w:tc>
        <w:tc>
          <w:tcPr>
            <w:tcW w:w="1708" w:type="pct"/>
            <w:tcBorders>
              <w:top w:val="single" w:color="auto" w:sz="12" w:space="0"/>
              <w:left w:val="single" w:color="auto" w:sz="8" w:space="0"/>
              <w:bottom w:val="single" w:color="auto" w:sz="8" w:space="0"/>
              <w:right w:val="single" w:color="auto" w:sz="8" w:space="0"/>
              <w:tl2br w:val="nil"/>
              <w:tr2bl w:val="nil"/>
            </w:tcBorders>
            <w:shd w:val="clear" w:color="auto" w:fill="auto"/>
            <w:vAlign w:val="center"/>
          </w:tcPr>
          <w:p>
            <w:pPr>
              <w:pStyle w:val="54"/>
              <w:rPr>
                <w:rFonts w:cs="Times New Roman"/>
                <w:b/>
                <w:bCs/>
                <w:lang w:bidi="ar"/>
              </w:rPr>
            </w:pPr>
            <w:r>
              <w:rPr>
                <w:rFonts w:cs="Times New Roman"/>
                <w:b/>
                <w:bCs/>
                <w:lang w:bidi="ar"/>
              </w:rPr>
              <w:t>优势（Strengths）</w:t>
            </w:r>
          </w:p>
        </w:tc>
        <w:tc>
          <w:tcPr>
            <w:tcW w:w="1668" w:type="pct"/>
            <w:tcBorders>
              <w:top w:val="single" w:color="auto" w:sz="12" w:space="0"/>
              <w:left w:val="single" w:color="auto" w:sz="8" w:space="0"/>
              <w:bottom w:val="single" w:color="auto" w:sz="8" w:space="0"/>
              <w:right w:val="single" w:color="auto" w:sz="12" w:space="0"/>
              <w:tl2br w:val="nil"/>
              <w:tr2bl w:val="nil"/>
            </w:tcBorders>
            <w:shd w:val="clear" w:color="auto" w:fill="auto"/>
            <w:vAlign w:val="center"/>
          </w:tcPr>
          <w:p>
            <w:pPr>
              <w:pStyle w:val="54"/>
              <w:rPr>
                <w:rFonts w:cs="Times New Roman"/>
                <w:b/>
                <w:bCs/>
                <w:lang w:bidi="ar"/>
              </w:rPr>
            </w:pPr>
            <w:r>
              <w:rPr>
                <w:rFonts w:cs="Times New Roman"/>
                <w:b/>
                <w:bCs/>
                <w:lang w:bidi="ar"/>
              </w:rPr>
              <w:t>劣势（Weaknesses）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vMerge w:val="continue"/>
            <w:tcBorders>
              <w:top w:val="single" w:color="auto" w:sz="8" w:space="0"/>
              <w:left w:val="single" w:color="auto" w:sz="12" w:space="0"/>
              <w:bottom w:val="single" w:color="auto" w:sz="8" w:space="0"/>
              <w:right w:val="single" w:color="auto" w:sz="8" w:space="0"/>
              <w:tl2br w:val="single" w:color="auto" w:sz="8" w:space="0"/>
              <w:tr2bl w:val="nil"/>
            </w:tcBorders>
            <w:shd w:val="clear" w:color="auto" w:fill="auto"/>
            <w:vAlign w:val="center"/>
          </w:tcPr>
          <w:p>
            <w:pPr>
              <w:pStyle w:val="54"/>
              <w:rPr>
                <w:rFonts w:cs="Times New Roman"/>
              </w:rPr>
            </w:pPr>
          </w:p>
        </w:tc>
        <w:tc>
          <w:tcPr>
            <w:tcW w:w="1708" w:type="pct"/>
            <w:tcBorders>
              <w:top w:val="single" w:color="auto" w:sz="8" w:space="0"/>
              <w:left w:val="single" w:color="auto" w:sz="8" w:space="0"/>
              <w:bottom w:val="single" w:color="auto" w:sz="8" w:space="0"/>
              <w:right w:val="single" w:color="auto" w:sz="8" w:space="0"/>
              <w:tl2br w:val="nil"/>
              <w:tr2bl w:val="nil"/>
            </w:tcBorders>
            <w:shd w:val="clear" w:color="auto" w:fill="auto"/>
            <w:vAlign w:val="center"/>
          </w:tcPr>
          <w:p>
            <w:pPr>
              <w:pStyle w:val="54"/>
              <w:numPr>
                <w:ilvl w:val="0"/>
                <w:numId w:val="2"/>
              </w:numPr>
              <w:jc w:val="left"/>
              <w:rPr>
                <w:rFonts w:cs="Times New Roman"/>
                <w:b/>
                <w:bCs/>
              </w:rPr>
            </w:pPr>
            <w:r>
              <w:rPr>
                <w:rFonts w:cs="Times New Roman"/>
                <w:b/>
                <w:bCs/>
              </w:rPr>
              <w:t>湖南省先进装备制造业拥有良好的产业基础、创新能力、品牌效应，全产业链提供结构稳定的上下游客户。</w:t>
            </w:r>
          </w:p>
          <w:p>
            <w:pPr>
              <w:pStyle w:val="54"/>
              <w:numPr>
                <w:ilvl w:val="0"/>
                <w:numId w:val="2"/>
              </w:numPr>
              <w:jc w:val="left"/>
              <w:rPr>
                <w:rFonts w:cs="Times New Roman"/>
                <w:b/>
                <w:bCs/>
              </w:rPr>
            </w:pPr>
            <w:r>
              <w:rPr>
                <w:rFonts w:cs="Times New Roman"/>
                <w:b/>
                <w:bCs/>
              </w:rPr>
              <w:t>交通区位为企业的原材料采购、产品运输和市场拓展提供了便利条件。</w:t>
            </w:r>
          </w:p>
          <w:p>
            <w:pPr>
              <w:pStyle w:val="54"/>
              <w:numPr>
                <w:ilvl w:val="0"/>
                <w:numId w:val="2"/>
              </w:numPr>
              <w:jc w:val="left"/>
              <w:rPr>
                <w:rFonts w:cs="Times New Roman"/>
                <w:b/>
                <w:bCs/>
              </w:rPr>
            </w:pPr>
            <w:r>
              <w:rPr>
                <w:rFonts w:cs="Times New Roman"/>
                <w:b/>
                <w:bCs/>
              </w:rPr>
              <w:t>湖南省、桃江县相继出台一系列政策文件，为先进装备制造业发展提供多方面的政策支持。</w:t>
            </w:r>
          </w:p>
          <w:p>
            <w:pPr>
              <w:pStyle w:val="54"/>
              <w:numPr>
                <w:ilvl w:val="0"/>
                <w:numId w:val="2"/>
              </w:numPr>
              <w:jc w:val="left"/>
              <w:rPr>
                <w:rFonts w:cs="Times New Roman"/>
                <w:b/>
                <w:bCs/>
              </w:rPr>
            </w:pPr>
            <w:r>
              <w:rPr>
                <w:rFonts w:cs="Times New Roman"/>
                <w:b/>
                <w:bCs/>
              </w:rPr>
              <w:t>桃江高新区规划建设“源网荷储一体化”的智能微电网系统，可显著减轻企业的运营负担。</w:t>
            </w:r>
          </w:p>
        </w:tc>
        <w:tc>
          <w:tcPr>
            <w:tcW w:w="1668" w:type="pct"/>
            <w:tcBorders>
              <w:top w:val="single" w:color="auto" w:sz="8" w:space="0"/>
              <w:left w:val="single" w:color="auto" w:sz="8" w:space="0"/>
              <w:bottom w:val="single" w:color="auto" w:sz="8" w:space="0"/>
              <w:right w:val="single" w:color="auto" w:sz="12" w:space="0"/>
              <w:tl2br w:val="nil"/>
              <w:tr2bl w:val="nil"/>
            </w:tcBorders>
            <w:shd w:val="clear" w:color="auto" w:fill="auto"/>
            <w:vAlign w:val="center"/>
          </w:tcPr>
          <w:p>
            <w:pPr>
              <w:pStyle w:val="54"/>
              <w:numPr>
                <w:ilvl w:val="0"/>
                <w:numId w:val="3"/>
              </w:numPr>
              <w:jc w:val="left"/>
              <w:rPr>
                <w:rFonts w:cs="Times New Roman"/>
                <w:b/>
                <w:bCs/>
              </w:rPr>
            </w:pPr>
            <w:bookmarkStart w:id="16" w:name="_Hlk175131249"/>
            <w:r>
              <w:rPr>
                <w:rFonts w:cs="Times New Roman"/>
                <w:b/>
                <w:bCs/>
              </w:rPr>
              <w:t>产业链条较短，集群横向耦合不足。</w:t>
            </w:r>
          </w:p>
          <w:bookmarkEnd w:id="16"/>
          <w:p>
            <w:pPr>
              <w:pStyle w:val="54"/>
              <w:numPr>
                <w:ilvl w:val="0"/>
                <w:numId w:val="3"/>
              </w:numPr>
              <w:jc w:val="left"/>
              <w:rPr>
                <w:rFonts w:cs="Times New Roman"/>
                <w:b/>
                <w:bCs/>
              </w:rPr>
            </w:pPr>
            <w:r>
              <w:rPr>
                <w:rFonts w:cs="Times New Roman"/>
                <w:b/>
                <w:bCs/>
              </w:rPr>
              <w:t>行业门槛较高，存在客户转换壁垒。</w:t>
            </w:r>
          </w:p>
          <w:p>
            <w:pPr>
              <w:pStyle w:val="54"/>
              <w:numPr>
                <w:ilvl w:val="0"/>
                <w:numId w:val="3"/>
              </w:numPr>
              <w:jc w:val="left"/>
              <w:rPr>
                <w:rFonts w:cs="Times New Roman"/>
                <w:b/>
                <w:bCs/>
              </w:rPr>
            </w:pPr>
            <w:r>
              <w:rPr>
                <w:rFonts w:cs="Times New Roman"/>
                <w:b/>
                <w:bCs/>
              </w:rPr>
              <w:t>人才短缺挑战，技术资金双重高槛。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tcBorders>
              <w:top w:val="single" w:color="auto" w:sz="8" w:space="0"/>
              <w:left w:val="single" w:color="auto" w:sz="12" w:space="0"/>
              <w:bottom w:val="single" w:color="auto" w:sz="8" w:space="0"/>
              <w:right w:val="single" w:color="auto" w:sz="8" w:space="0"/>
              <w:tl2br w:val="nil"/>
              <w:tr2bl w:val="nil"/>
            </w:tcBorders>
            <w:shd w:val="clear" w:color="auto" w:fill="auto"/>
            <w:vAlign w:val="center"/>
          </w:tcPr>
          <w:p>
            <w:pPr>
              <w:pStyle w:val="54"/>
              <w:rPr>
                <w:rFonts w:cs="Times New Roman"/>
                <w:b/>
                <w:bCs/>
                <w:lang w:bidi="ar"/>
              </w:rPr>
            </w:pPr>
            <w:r>
              <w:rPr>
                <w:rFonts w:cs="Times New Roman"/>
                <w:b/>
                <w:bCs/>
                <w:lang w:bidi="ar"/>
              </w:rPr>
              <w:t>机会（Opportunities）</w:t>
            </w:r>
          </w:p>
        </w:tc>
        <w:tc>
          <w:tcPr>
            <w:tcW w:w="1708" w:type="pct"/>
            <w:tcBorders>
              <w:top w:val="single" w:color="auto" w:sz="8" w:space="0"/>
              <w:left w:val="single" w:color="auto" w:sz="8" w:space="0"/>
              <w:bottom w:val="single" w:color="auto" w:sz="8" w:space="0"/>
              <w:right w:val="single" w:color="auto" w:sz="8" w:space="0"/>
              <w:tl2br w:val="nil"/>
              <w:tr2bl w:val="nil"/>
            </w:tcBorders>
            <w:shd w:val="clear" w:color="auto" w:fill="auto"/>
            <w:vAlign w:val="center"/>
          </w:tcPr>
          <w:p>
            <w:pPr>
              <w:pStyle w:val="54"/>
              <w:rPr>
                <w:rFonts w:cs="Times New Roman"/>
                <w:b/>
                <w:bCs/>
                <w:lang w:bidi="ar"/>
              </w:rPr>
            </w:pPr>
            <w:r>
              <w:rPr>
                <w:rFonts w:cs="Times New Roman"/>
                <w:b/>
                <w:bCs/>
                <w:lang w:bidi="ar"/>
              </w:rPr>
              <w:t>SO（发挥优势、利用机会）</w:t>
            </w:r>
          </w:p>
        </w:tc>
        <w:tc>
          <w:tcPr>
            <w:tcW w:w="1668" w:type="pct"/>
            <w:tcBorders>
              <w:top w:val="single" w:color="auto" w:sz="8" w:space="0"/>
              <w:left w:val="single" w:color="auto" w:sz="8" w:space="0"/>
              <w:bottom w:val="single" w:color="auto" w:sz="8" w:space="0"/>
              <w:right w:val="single" w:color="auto" w:sz="12" w:space="0"/>
              <w:tl2br w:val="nil"/>
              <w:tr2bl w:val="nil"/>
            </w:tcBorders>
            <w:shd w:val="clear" w:color="auto" w:fill="auto"/>
            <w:vAlign w:val="center"/>
          </w:tcPr>
          <w:p>
            <w:pPr>
              <w:pStyle w:val="54"/>
              <w:rPr>
                <w:rFonts w:cs="Times New Roman"/>
                <w:b/>
                <w:bCs/>
                <w:lang w:bidi="ar"/>
              </w:rPr>
            </w:pPr>
            <w:r>
              <w:rPr>
                <w:rFonts w:cs="Times New Roman"/>
                <w:b/>
                <w:bCs/>
                <w:lang w:bidi="ar"/>
              </w:rPr>
              <w:t>WO（利用外部机会、弥补内部弱点）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tcBorders>
              <w:top w:val="single" w:color="auto" w:sz="8" w:space="0"/>
              <w:left w:val="single" w:color="auto" w:sz="12" w:space="0"/>
              <w:bottom w:val="single" w:color="auto" w:sz="8" w:space="0"/>
              <w:right w:val="single" w:color="auto" w:sz="8" w:space="0"/>
              <w:tl2br w:val="nil"/>
              <w:tr2bl w:val="nil"/>
            </w:tcBorders>
            <w:shd w:val="clear" w:color="auto" w:fill="auto"/>
            <w:vAlign w:val="center"/>
          </w:tcPr>
          <w:p>
            <w:pPr>
              <w:pStyle w:val="54"/>
              <w:numPr>
                <w:ilvl w:val="0"/>
                <w:numId w:val="4"/>
              </w:numPr>
              <w:jc w:val="left"/>
              <w:rPr>
                <w:rFonts w:cs="Times New Roman"/>
                <w:b/>
                <w:bCs/>
              </w:rPr>
            </w:pPr>
            <w:r>
              <w:rPr>
                <w:rFonts w:cs="Times New Roman"/>
                <w:b/>
                <w:bCs/>
              </w:rPr>
              <w:t>培育新质生产力加速动能转换，促进传统制造业转型升级。</w:t>
            </w:r>
          </w:p>
          <w:p>
            <w:pPr>
              <w:pStyle w:val="54"/>
              <w:numPr>
                <w:ilvl w:val="0"/>
                <w:numId w:val="4"/>
              </w:numPr>
              <w:jc w:val="left"/>
              <w:rPr>
                <w:rFonts w:cs="Times New Roman"/>
                <w:b/>
                <w:bCs/>
              </w:rPr>
            </w:pPr>
            <w:r>
              <w:rPr>
                <w:rFonts w:cs="Times New Roman"/>
                <w:b/>
                <w:bCs/>
              </w:rPr>
              <w:t>行业实力</w:t>
            </w:r>
            <w:r>
              <w:rPr>
                <w:rFonts w:hint="eastAsia" w:cs="Times New Roman"/>
                <w:b/>
                <w:bCs/>
              </w:rPr>
              <w:t>叠加“一带一路”倡议，制造出海高成长、可持续</w:t>
            </w:r>
            <w:r>
              <w:rPr>
                <w:rFonts w:cs="Times New Roman"/>
                <w:b/>
                <w:bCs/>
              </w:rPr>
              <w:t>。</w:t>
            </w:r>
          </w:p>
          <w:p>
            <w:pPr>
              <w:pStyle w:val="54"/>
              <w:numPr>
                <w:ilvl w:val="0"/>
                <w:numId w:val="4"/>
              </w:numPr>
              <w:jc w:val="left"/>
              <w:rPr>
                <w:rFonts w:cs="Times New Roman"/>
                <w:b/>
                <w:bCs/>
              </w:rPr>
            </w:pPr>
            <w:r>
              <w:rPr>
                <w:rFonts w:cs="Times New Roman"/>
                <w:b/>
                <w:bCs/>
              </w:rPr>
              <w:t>需求驱动叠加“以旧换新”政策，装备制造进入新景气周期。</w:t>
            </w:r>
          </w:p>
          <w:p>
            <w:pPr>
              <w:pStyle w:val="54"/>
              <w:numPr>
                <w:ilvl w:val="0"/>
                <w:numId w:val="4"/>
              </w:numPr>
              <w:jc w:val="left"/>
              <w:rPr>
                <w:rFonts w:cs="Times New Roman"/>
              </w:rPr>
            </w:pPr>
            <w:r>
              <w:rPr>
                <w:rFonts w:cs="Times New Roman"/>
                <w:b/>
                <w:bCs/>
              </w:rPr>
              <w:t>科技创新</w:t>
            </w:r>
            <w:r>
              <w:rPr>
                <w:rFonts w:hint="eastAsia" w:cs="Times New Roman"/>
                <w:b/>
                <w:bCs/>
              </w:rPr>
              <w:t>叠加“进口代替”战略，催生核心配套零部件需求</w:t>
            </w:r>
            <w:r>
              <w:rPr>
                <w:rFonts w:cs="Times New Roman"/>
                <w:b/>
                <w:bCs/>
              </w:rPr>
              <w:t>。</w:t>
            </w:r>
          </w:p>
        </w:tc>
        <w:tc>
          <w:tcPr>
            <w:tcW w:w="1708" w:type="pct"/>
            <w:tcBorders>
              <w:top w:val="single" w:color="auto" w:sz="8" w:space="0"/>
              <w:left w:val="single" w:color="auto" w:sz="8" w:space="0"/>
              <w:bottom w:val="single" w:color="auto" w:sz="8" w:space="0"/>
              <w:right w:val="single" w:color="auto" w:sz="8" w:space="0"/>
              <w:tl2br w:val="nil"/>
              <w:tr2bl w:val="nil"/>
            </w:tcBorders>
            <w:shd w:val="clear" w:color="auto" w:fill="auto"/>
            <w:vAlign w:val="center"/>
          </w:tcPr>
          <w:p>
            <w:pPr>
              <w:pStyle w:val="54"/>
              <w:ind w:firstLine="420" w:firstLineChars="200"/>
              <w:jc w:val="left"/>
              <w:rPr>
                <w:rFonts w:cs="Times New Roman"/>
              </w:rPr>
            </w:pPr>
            <w:r>
              <w:rPr>
                <w:rFonts w:hint="eastAsia" w:cs="Times New Roman"/>
              </w:rPr>
              <w:t>强化产业优势，塑造区域品牌。基于桃江县产业发展基础，充分利用政策优势和周边要素资源，瞄准湖南省工程机械、轨道交通装备国家级先进制造业集群产业发展配套需求，要放弃“小而全”的发展思路，转向“大而精”，以配套零部件为先进装备制造业发展重点，引导产业向桃江高新区主区、灰山港片区集聚，打造先进装备制造业零部件配套产业园区，打造区域品牌。</w:t>
            </w:r>
          </w:p>
        </w:tc>
        <w:tc>
          <w:tcPr>
            <w:tcW w:w="1668" w:type="pct"/>
            <w:tcBorders>
              <w:top w:val="single" w:color="auto" w:sz="8" w:space="0"/>
              <w:left w:val="single" w:color="auto" w:sz="8" w:space="0"/>
              <w:bottom w:val="single" w:color="auto" w:sz="8" w:space="0"/>
              <w:right w:val="single" w:color="auto" w:sz="12" w:space="0"/>
              <w:tl2br w:val="nil"/>
              <w:tr2bl w:val="nil"/>
            </w:tcBorders>
            <w:shd w:val="clear" w:color="auto" w:fill="auto"/>
            <w:vAlign w:val="center"/>
          </w:tcPr>
          <w:p>
            <w:pPr>
              <w:pStyle w:val="54"/>
              <w:ind w:firstLine="420" w:firstLineChars="200"/>
              <w:jc w:val="left"/>
              <w:rPr>
                <w:rFonts w:cs="Times New Roman"/>
              </w:rPr>
            </w:pPr>
            <w:r>
              <w:rPr>
                <w:rFonts w:hint="eastAsia" w:cs="Times New Roman"/>
              </w:rPr>
              <w:t>加强招商引资。进一步加强产业链招商，围绕“以商招商”“产业链招商”，积极培育和引进国内外先进装备制造零部件龙头企业和“专精特新”企业。强化要素保障，围绕产业链，布局创新链、人才链、金融链、政策链，营造一流产业生态，全力打造“五链融合”的产业创新体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tcBorders>
              <w:top w:val="single" w:color="auto" w:sz="8" w:space="0"/>
              <w:left w:val="single" w:color="auto" w:sz="12" w:space="0"/>
              <w:bottom w:val="single" w:color="auto" w:sz="8" w:space="0"/>
              <w:right w:val="single" w:color="auto" w:sz="8" w:space="0"/>
              <w:tl2br w:val="nil"/>
              <w:tr2bl w:val="nil"/>
            </w:tcBorders>
            <w:shd w:val="clear" w:color="auto" w:fill="auto"/>
            <w:vAlign w:val="center"/>
          </w:tcPr>
          <w:p>
            <w:pPr>
              <w:pStyle w:val="54"/>
              <w:rPr>
                <w:rFonts w:cs="Times New Roman"/>
                <w:b/>
                <w:bCs/>
                <w:lang w:bidi="ar"/>
              </w:rPr>
            </w:pPr>
            <w:r>
              <w:rPr>
                <w:rFonts w:cs="Times New Roman"/>
                <w:b/>
                <w:bCs/>
                <w:lang w:bidi="ar"/>
              </w:rPr>
              <w:t>威胁（Treats）</w:t>
            </w:r>
          </w:p>
        </w:tc>
        <w:tc>
          <w:tcPr>
            <w:tcW w:w="1708" w:type="pct"/>
            <w:tcBorders>
              <w:top w:val="single" w:color="auto" w:sz="8" w:space="0"/>
              <w:left w:val="single" w:color="auto" w:sz="8" w:space="0"/>
              <w:bottom w:val="single" w:color="auto" w:sz="8" w:space="0"/>
              <w:right w:val="single" w:color="auto" w:sz="8" w:space="0"/>
              <w:tl2br w:val="nil"/>
              <w:tr2bl w:val="nil"/>
            </w:tcBorders>
            <w:shd w:val="clear" w:color="auto" w:fill="auto"/>
            <w:vAlign w:val="center"/>
          </w:tcPr>
          <w:p>
            <w:pPr>
              <w:pStyle w:val="54"/>
              <w:rPr>
                <w:rFonts w:cs="Times New Roman"/>
                <w:b/>
                <w:bCs/>
                <w:lang w:bidi="ar"/>
              </w:rPr>
            </w:pPr>
            <w:r>
              <w:rPr>
                <w:rFonts w:cs="Times New Roman"/>
                <w:b/>
                <w:bCs/>
                <w:lang w:bidi="ar"/>
              </w:rPr>
              <w:t>ST（利用优势、回避威胁）</w:t>
            </w:r>
          </w:p>
        </w:tc>
        <w:tc>
          <w:tcPr>
            <w:tcW w:w="1668" w:type="pct"/>
            <w:tcBorders>
              <w:top w:val="single" w:color="auto" w:sz="8" w:space="0"/>
              <w:left w:val="single" w:color="auto" w:sz="8" w:space="0"/>
              <w:bottom w:val="single" w:color="auto" w:sz="8" w:space="0"/>
              <w:right w:val="single" w:color="auto" w:sz="12" w:space="0"/>
              <w:tl2br w:val="nil"/>
              <w:tr2bl w:val="nil"/>
            </w:tcBorders>
            <w:shd w:val="clear" w:color="auto" w:fill="auto"/>
            <w:vAlign w:val="center"/>
          </w:tcPr>
          <w:p>
            <w:pPr>
              <w:pStyle w:val="54"/>
              <w:rPr>
                <w:rFonts w:cs="Times New Roman"/>
                <w:b/>
                <w:bCs/>
                <w:lang w:bidi="ar"/>
              </w:rPr>
            </w:pPr>
            <w:r>
              <w:rPr>
                <w:rFonts w:cs="Times New Roman"/>
                <w:b/>
                <w:bCs/>
                <w:lang w:bidi="ar"/>
              </w:rPr>
              <w:t>WT（减少弱势、回避威胁）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624" w:type="pct"/>
            <w:tcBorders>
              <w:top w:val="single" w:color="auto" w:sz="8" w:space="0"/>
              <w:left w:val="single" w:color="auto" w:sz="12" w:space="0"/>
              <w:bottom w:val="single" w:color="auto" w:sz="12" w:space="0"/>
              <w:right w:val="single" w:color="auto" w:sz="8" w:space="0"/>
              <w:tl2br w:val="nil"/>
              <w:tr2bl w:val="nil"/>
            </w:tcBorders>
            <w:shd w:val="clear" w:color="auto" w:fill="auto"/>
            <w:vAlign w:val="center"/>
          </w:tcPr>
          <w:p>
            <w:pPr>
              <w:pStyle w:val="54"/>
              <w:numPr>
                <w:ilvl w:val="0"/>
                <w:numId w:val="5"/>
              </w:numPr>
              <w:jc w:val="left"/>
              <w:rPr>
                <w:rFonts w:cs="Times New Roman"/>
                <w:b/>
                <w:bCs/>
              </w:rPr>
            </w:pPr>
            <w:r>
              <w:rPr>
                <w:rFonts w:cs="Times New Roman"/>
                <w:b/>
                <w:bCs/>
              </w:rPr>
              <w:t>外部环境严峻、内生动力不足，经济下行影响稳增长大局。</w:t>
            </w:r>
          </w:p>
          <w:p>
            <w:pPr>
              <w:pStyle w:val="54"/>
              <w:numPr>
                <w:ilvl w:val="0"/>
                <w:numId w:val="5"/>
              </w:numPr>
              <w:jc w:val="left"/>
              <w:rPr>
                <w:rFonts w:cs="Times New Roman"/>
                <w:b/>
                <w:bCs/>
              </w:rPr>
            </w:pPr>
            <w:r>
              <w:rPr>
                <w:rFonts w:cs="Times New Roman"/>
                <w:b/>
                <w:bCs/>
              </w:rPr>
              <w:t>高端回流、中低端分流双重挤压，出口或将面对承压态势。</w:t>
            </w:r>
          </w:p>
          <w:p>
            <w:pPr>
              <w:pStyle w:val="54"/>
              <w:numPr>
                <w:ilvl w:val="0"/>
                <w:numId w:val="5"/>
              </w:numPr>
              <w:jc w:val="left"/>
              <w:rPr>
                <w:rFonts w:cs="Times New Roman"/>
                <w:b/>
                <w:bCs/>
              </w:rPr>
            </w:pPr>
            <w:bookmarkStart w:id="17" w:name="_Hlk175126737"/>
            <w:r>
              <w:rPr>
                <w:rFonts w:cs="Times New Roman"/>
                <w:b/>
                <w:bCs/>
              </w:rPr>
              <w:t>碳达峰、碳中和目标下，先进装备制造业绿色化转型挑战</w:t>
            </w:r>
          </w:p>
          <w:p>
            <w:pPr>
              <w:pStyle w:val="54"/>
              <w:numPr>
                <w:ilvl w:val="0"/>
                <w:numId w:val="5"/>
              </w:numPr>
              <w:jc w:val="left"/>
              <w:rPr>
                <w:rFonts w:cs="Times New Roman"/>
              </w:rPr>
            </w:pPr>
            <w:r>
              <w:rPr>
                <w:rFonts w:cs="Times New Roman"/>
                <w:b/>
                <w:bCs/>
              </w:rPr>
              <w:t>品牌效应和周边园区竞争，需积极应对市场的变化和挑战。</w:t>
            </w:r>
            <w:bookmarkEnd w:id="17"/>
          </w:p>
        </w:tc>
        <w:tc>
          <w:tcPr>
            <w:tcW w:w="1708" w:type="pct"/>
            <w:tcBorders>
              <w:top w:val="single" w:color="auto" w:sz="8" w:space="0"/>
              <w:left w:val="single" w:color="auto" w:sz="8" w:space="0"/>
              <w:bottom w:val="single" w:color="auto" w:sz="12" w:space="0"/>
              <w:right w:val="single" w:color="auto" w:sz="8" w:space="0"/>
              <w:tl2br w:val="nil"/>
              <w:tr2bl w:val="nil"/>
            </w:tcBorders>
            <w:shd w:val="clear" w:color="auto" w:fill="auto"/>
            <w:vAlign w:val="center"/>
          </w:tcPr>
          <w:p>
            <w:pPr>
              <w:pStyle w:val="54"/>
              <w:ind w:firstLine="420" w:firstLineChars="200"/>
              <w:jc w:val="left"/>
              <w:rPr>
                <w:rFonts w:cs="Times New Roman"/>
                <w:b/>
                <w:bCs/>
              </w:rPr>
            </w:pPr>
            <w:r>
              <w:rPr>
                <w:rFonts w:hint="eastAsia" w:cs="Times New Roman"/>
              </w:rPr>
              <w:t>深度融入双循环</w:t>
            </w:r>
            <w:r>
              <w:rPr>
                <w:rFonts w:hint="eastAsia" w:cs="Times New Roman"/>
                <w:b/>
                <w:bCs/>
              </w:rPr>
              <w:t>。</w:t>
            </w:r>
            <w:r>
              <w:rPr>
                <w:rFonts w:hint="eastAsia" w:cs="Times New Roman"/>
              </w:rPr>
              <w:t>积极融入全国统一大市场，推动跨区域产业优势互补、差异化发展，建立与省内外各上下游企业联系线路，鼓励和支持有条件的企业“走出去”，开拓国际市场，建设更具韧性和安全性的产业链供应链。</w:t>
            </w:r>
          </w:p>
        </w:tc>
        <w:tc>
          <w:tcPr>
            <w:tcW w:w="1668" w:type="pct"/>
            <w:tcBorders>
              <w:top w:val="single" w:color="auto" w:sz="8" w:space="0"/>
              <w:left w:val="single" w:color="auto" w:sz="8" w:space="0"/>
              <w:bottom w:val="single" w:color="auto" w:sz="12" w:space="0"/>
              <w:right w:val="single" w:color="auto" w:sz="12" w:space="0"/>
              <w:tl2br w:val="nil"/>
              <w:tr2bl w:val="nil"/>
            </w:tcBorders>
            <w:shd w:val="clear" w:color="auto" w:fill="auto"/>
            <w:vAlign w:val="center"/>
          </w:tcPr>
          <w:p>
            <w:pPr>
              <w:pStyle w:val="54"/>
              <w:ind w:firstLine="420" w:firstLineChars="200"/>
              <w:jc w:val="left"/>
              <w:rPr>
                <w:rFonts w:cs="Times New Roman"/>
              </w:rPr>
            </w:pPr>
            <w:r>
              <w:rPr>
                <w:rFonts w:hint="eastAsia" w:cs="Times New Roman"/>
              </w:rPr>
              <w:t>提升创新能力，转换发展模式。推动企业进行技术改造和产品升级。加强与高校和研究机构的合作，建立人才培养和引进机制。推动产业数字化转型、绿色低碳转型，加强产业链的延伸和完善，通过政策引导和激励措施，促进企业间的协同合作，形成更加紧密的产业集群。</w:t>
            </w:r>
          </w:p>
        </w:tc>
      </w:tr>
    </w:tbl>
    <w:p>
      <w:pPr>
        <w:pStyle w:val="51"/>
        <w:spacing w:line="580" w:lineRule="atLeast"/>
        <w:ind w:firstLine="560"/>
      </w:pPr>
      <w:r>
        <w:rPr>
          <w:rFonts w:hint="eastAsia"/>
        </w:rPr>
        <w:t>从以上的分析可见，桃江县先进装备制造业已经具备一定的发展基础，依托湖南省先进装备制造结构稳定的上下游客户，可规避产业发展独自面临来自市场、供应商、生产商等各方的诸多不确定性风险，为产业发展提供保障。此外，良好交通区位条件、能源优势、政策优势，亦可为桃江县强化产业优势，塑造区域品牌提供支撑。但桃江县先进装备制造产业链条短、关键环节缺失、集群发展不足，呈现产业碎片化状态，尚未形成上下游联动发展的产业生态。加之先进装备制造产业较高市场准入机制以及人才、技术、资金要求，是未来桃江县先进装备制造业需要突破的关键点。</w:t>
      </w:r>
    </w:p>
    <w:p>
      <w:pPr>
        <w:pStyle w:val="51"/>
        <w:spacing w:line="580" w:lineRule="atLeast"/>
        <w:ind w:firstLine="560"/>
      </w:pPr>
      <w:r>
        <w:rPr>
          <w:rFonts w:hint="eastAsia"/>
        </w:rPr>
        <w:t>此外，培育新质生产力加速动能转换，促进传统制造业转型升级；</w:t>
      </w:r>
      <w:r>
        <w:tab/>
      </w:r>
      <w:r>
        <w:rPr>
          <w:rFonts w:hint="eastAsia"/>
        </w:rPr>
        <w:t>行业实力叠加“一带一路”倡议，制造出海高成长、可持续；需求驱动叠加“以旧换新”政策，装备制造进入新景气周期；</w:t>
      </w:r>
      <w:r>
        <w:tab/>
      </w:r>
      <w:r>
        <w:rPr>
          <w:rFonts w:hint="eastAsia"/>
        </w:rPr>
        <w:t>科技创新叠加“进口代替”战略，催生核心配套零部件需求等也为桃江县先进装备制造业带来发展机遇。值得注意的是，需注意规避全球经济恢复的不稳定、装备制造业发达国家“高端回流”和发展中国家“中低端分流”、双碳目标下对装备制造业绿色化要求、周边园区的竞合等形势带来的风险挑战。</w:t>
      </w:r>
    </w:p>
    <w:p>
      <w:pPr>
        <w:pStyle w:val="51"/>
        <w:spacing w:line="580" w:lineRule="atLeast"/>
        <w:ind w:firstLine="560"/>
        <w:rPr>
          <w:shd w:val="clear" w:color="auto" w:fill="FFFFFF"/>
        </w:rPr>
      </w:pPr>
      <w:r>
        <w:rPr>
          <w:rFonts w:hint="eastAsia"/>
        </w:rPr>
        <w:t>总的来看，桃江县发展装备制造业机遇要大于挑战，桃江县需发挥优势、利用机会、弥补弱点、规避风险，</w:t>
      </w:r>
      <w:r>
        <w:rPr>
          <w:rFonts w:hint="eastAsia"/>
          <w:b/>
          <w:bCs/>
        </w:rPr>
        <w:t>放弃“小而全”的发展思路，进而转向“大而精”的发展模式，依托已有产业基础、交通区位优势，发挥湖南省工程机械、轨道交通装备龙头企业的引领带动作用，积极招引发展关键零部件、原材料等产业链企业，做强、做大工程机械关键基础零部件制造和轨道交通关键基础零部件，</w:t>
      </w:r>
      <w:r>
        <w:rPr>
          <w:rFonts w:hint="eastAsia"/>
        </w:rPr>
        <w:t>做优重大成套设备制造、其他智能设备制造等产业，促进</w:t>
      </w:r>
      <w:r>
        <w:t>重点产业主配协同发展。</w:t>
      </w:r>
      <w:r>
        <w:br w:type="page"/>
      </w:r>
    </w:p>
    <w:p>
      <w:pPr>
        <w:pStyle w:val="2"/>
        <w:rPr>
          <w:rFonts w:ascii="Times New Roman" w:hAnsi="Times New Roman"/>
        </w:rPr>
        <w:sectPr>
          <w:headerReference r:id="rId6" w:type="default"/>
          <w:pgSz w:w="11906" w:h="16838"/>
          <w:pgMar w:top="1440" w:right="1800" w:bottom="1440" w:left="1800" w:header="851" w:footer="992" w:gutter="0"/>
          <w:pgNumType w:start="1"/>
          <w:cols w:space="425" w:num="1"/>
          <w:docGrid w:type="lines" w:linePitch="381" w:charSpace="0"/>
        </w:sectPr>
      </w:pPr>
    </w:p>
    <w:p>
      <w:pPr>
        <w:pStyle w:val="2"/>
        <w:rPr>
          <w:rFonts w:ascii="Times New Roman" w:hAnsi="Times New Roman"/>
        </w:rPr>
      </w:pPr>
      <w:bookmarkStart w:id="18" w:name="_Toc170996518"/>
      <w:bookmarkStart w:id="19" w:name="_Toc182908002"/>
      <w:r>
        <w:rPr>
          <w:rFonts w:ascii="Times New Roman" w:hAnsi="Times New Roman"/>
        </w:rPr>
        <w:t>总体要求</w:t>
      </w:r>
      <w:bookmarkEnd w:id="18"/>
      <w:bookmarkEnd w:id="19"/>
    </w:p>
    <w:p>
      <w:pPr>
        <w:pStyle w:val="3"/>
      </w:pPr>
      <w:bookmarkStart w:id="20" w:name="_Toc153899492"/>
      <w:bookmarkStart w:id="21" w:name="_Toc182908003"/>
      <w:bookmarkStart w:id="22" w:name="_Toc170996519"/>
      <w:r>
        <w:t>总体思路</w:t>
      </w:r>
      <w:bookmarkEnd w:id="20"/>
      <w:bookmarkEnd w:id="21"/>
      <w:bookmarkEnd w:id="22"/>
    </w:p>
    <w:p>
      <w:pPr>
        <w:pStyle w:val="51"/>
        <w:ind w:firstLine="560"/>
      </w:pPr>
      <w:r>
        <w:t>以习近平新时代中国特色社会主义思想为指导，深入贯彻党的二十大及二十届系列全会精神，贯彻以科技创新引领现代化产业体系建设</w:t>
      </w:r>
      <w:r>
        <w:rPr>
          <w:rFonts w:hint="eastAsia"/>
        </w:rPr>
        <w:t>理念，锚定“三高四新”美好</w:t>
      </w:r>
      <w:r>
        <w:t>蓝图，深入落实湖南省构</w:t>
      </w:r>
      <w:r>
        <w:rPr>
          <w:rFonts w:hint="eastAsia"/>
        </w:rPr>
        <w:t>建“</w:t>
      </w:r>
      <w:r>
        <w:t>4</w:t>
      </w:r>
      <w:r>
        <w:rPr>
          <w:rFonts w:hint="eastAsia"/>
        </w:rPr>
        <w:t>×</w:t>
      </w:r>
      <w:r>
        <w:t>4</w:t>
      </w:r>
      <w:r>
        <w:rPr>
          <w:rFonts w:hint="eastAsia"/>
        </w:rPr>
        <w:t>”</w:t>
      </w:r>
      <w:r>
        <w:t>现代化产业体系的总体部署，以培育新质生产力推动产业提质增效，以新型工业化助力经济转型升级，按照制造业高端化、智能化、绿色化发展总体要求，以科技创新为第一动力，立足新发展阶段，贯彻新发展理念，构建新发展格局，聚焦打造湖南省先进装备制造配套产业基地发展目标，加强产业链重点企业引育，加大创新驱动建设，加快推进产业集聚，实现全县先进装备制造产业稳步跨越发展。</w:t>
      </w:r>
    </w:p>
    <w:p>
      <w:pPr>
        <w:pStyle w:val="3"/>
      </w:pPr>
      <w:bookmarkStart w:id="23" w:name="_Toc153899493"/>
      <w:bookmarkStart w:id="24" w:name="_Toc182908004"/>
      <w:bookmarkStart w:id="25" w:name="_Toc170996520"/>
      <w:r>
        <w:t>基本原则</w:t>
      </w:r>
      <w:bookmarkEnd w:id="23"/>
      <w:bookmarkEnd w:id="24"/>
      <w:bookmarkEnd w:id="25"/>
    </w:p>
    <w:p>
      <w:pPr>
        <w:pStyle w:val="51"/>
        <w:ind w:firstLine="562"/>
      </w:pPr>
      <w:bookmarkStart w:id="26" w:name="_Toc153899494"/>
      <w:r>
        <w:rPr>
          <w:b/>
          <w:bCs/>
        </w:rPr>
        <w:t>市场导向，政府引导。</w:t>
      </w:r>
      <w:r>
        <w:t>充分发挥市场在资源配置中的决定性作用，强化企业在产业发展和技术创新中的主体地位，激发企业内生动能。充分发挥政府统筹协调和引导作用，建设有利于装备制造高质量发展的政策体系，营造激发创新活力、促进公平竞争的良好环境。</w:t>
      </w:r>
    </w:p>
    <w:p>
      <w:pPr>
        <w:pStyle w:val="51"/>
        <w:ind w:firstLine="562"/>
      </w:pPr>
      <w:r>
        <w:rPr>
          <w:b/>
          <w:bCs/>
        </w:rPr>
        <w:t>创新驱动，龙头带动。</w:t>
      </w:r>
      <w:r>
        <w:t>完善以企业为主导的产学研用协同创新体系，强化集成创新，二次创新，推进重大技术装备创新突破，加速创新成果转化和产业化，强化管理创新和商业模式创新。培育壮大一批龙头骨干企业，夯实产业基础，提升协作配套能力。</w:t>
      </w:r>
    </w:p>
    <w:p>
      <w:pPr>
        <w:pStyle w:val="51"/>
        <w:ind w:firstLine="562"/>
      </w:pPr>
      <w:r>
        <w:rPr>
          <w:b/>
          <w:bCs/>
        </w:rPr>
        <w:t>动能转换，数字赋能。</w:t>
      </w:r>
      <w:r>
        <w:t>统筹推进先进装备制造新旧动能转换接续，强化政策措施的延续性有效性，做强做大潜力产业，做精做优传统产业。发挥数字要素赋能作用，大力实施智能化改造，搭建工业互联网平台，运用人工智能、5G、物联网等新技术、新</w:t>
      </w:r>
      <w:r>
        <w:rPr>
          <w:rFonts w:hint="eastAsia"/>
        </w:rPr>
        <w:t>模式改造提升旧动能，促进“老树发新芽”。</w:t>
      </w:r>
    </w:p>
    <w:p>
      <w:pPr>
        <w:pStyle w:val="51"/>
        <w:ind w:firstLine="562"/>
      </w:pPr>
      <w:r>
        <w:rPr>
          <w:rFonts w:hint="eastAsia"/>
          <w:b/>
          <w:bCs/>
        </w:rPr>
        <w:t>开放协同，</w:t>
      </w:r>
      <w:bookmarkStart w:id="27" w:name="_Hlk182474676"/>
      <w:r>
        <w:rPr>
          <w:rFonts w:hint="eastAsia"/>
          <w:b/>
          <w:bCs/>
        </w:rPr>
        <w:t>集聚发展</w:t>
      </w:r>
      <w:bookmarkEnd w:id="27"/>
      <w:r>
        <w:rPr>
          <w:rFonts w:hint="eastAsia"/>
          <w:b/>
          <w:bCs/>
        </w:rPr>
        <w:t>。</w:t>
      </w:r>
      <w:r>
        <w:rPr>
          <w:rFonts w:hint="eastAsia"/>
        </w:rPr>
        <w:t>融入“双循环”、“一带一路”、长江经济带、长株潭都市圈等重大战略，健全对接机制，承接产业梯度转移，推动先进装备制造“补链、延链、强链”。引导企业和资源</w:t>
      </w:r>
      <w:r>
        <w:t>要素向桃江高新区主区和灰山港片区集聚，构建首位产业突出、特色鲜明、竞争力强的先进装备零部件制造生态圈。</w:t>
      </w:r>
    </w:p>
    <w:bookmarkEnd w:id="26"/>
    <w:p>
      <w:pPr>
        <w:pStyle w:val="3"/>
      </w:pPr>
      <w:bookmarkStart w:id="28" w:name="_Toc182908005"/>
      <w:bookmarkStart w:id="29" w:name="_Toc170996522"/>
      <w:bookmarkStart w:id="30" w:name="_Toc153899495"/>
      <w:r>
        <w:t>发展目标</w:t>
      </w:r>
      <w:bookmarkEnd w:id="28"/>
      <w:bookmarkEnd w:id="29"/>
      <w:bookmarkEnd w:id="30"/>
    </w:p>
    <w:p>
      <w:pPr>
        <w:pStyle w:val="51"/>
        <w:ind w:firstLine="560"/>
      </w:pPr>
      <w:r>
        <w:t>到2030年，全县先进装备制造产业初步形成以新技术、新产品、新业态、新模式主导发展的格局，产业结构更趋合理，产业布局与生产要素更加协同，引育一批优质企业，围绕</w:t>
      </w:r>
      <w:bookmarkStart w:id="31" w:name="_Hlk182471523"/>
      <w:r>
        <w:t>工程机械和轨道交通零部件</w:t>
      </w:r>
      <w:bookmarkEnd w:id="31"/>
      <w:r>
        <w:t>领域，打造具备良好的产业基础、网络化协作和技术创新能力，要素集聚、开放合作、组织保障水平较高的中小企业特色产业集群，</w:t>
      </w:r>
      <w:r>
        <w:rPr>
          <w:rFonts w:hint="eastAsia"/>
        </w:rPr>
        <w:t>打造桃江县轨道交通及工程机械关键零部件配套基地，</w:t>
      </w:r>
      <w:r>
        <w:t>争取纳入先进装备制造业省级配套产业园区布局。</w:t>
      </w:r>
    </w:p>
    <w:p>
      <w:pPr>
        <w:pStyle w:val="51"/>
        <w:ind w:firstLine="562"/>
        <w:rPr>
          <w:b/>
          <w:bCs/>
        </w:rPr>
      </w:pPr>
      <w:r>
        <w:rPr>
          <w:b/>
        </w:rPr>
        <w:t>发展质量实现新跃升。</w:t>
      </w:r>
      <w:r>
        <w:t>全县先进装备制造产业经济规模和综合效益居五大优势产业前列，产业链总产值超200亿元。其中，轨道交通关键基础零部件制造产业产值超80亿元，工程机械关键基础零部件制造产业产值超40亿元，重大成套设备及其他智能设备制造产业产值超80亿元。</w:t>
      </w:r>
    </w:p>
    <w:p>
      <w:pPr>
        <w:pStyle w:val="51"/>
        <w:ind w:firstLine="562"/>
      </w:pPr>
      <w:r>
        <w:rPr>
          <w:b/>
          <w:bCs/>
        </w:rPr>
        <w:t>企业实力</w:t>
      </w:r>
      <w:r>
        <w:rPr>
          <w:b/>
        </w:rPr>
        <w:t>得到新提升</w:t>
      </w:r>
      <w:r>
        <w:rPr>
          <w:b/>
          <w:bCs/>
        </w:rPr>
        <w:t>。</w:t>
      </w:r>
      <w:r>
        <w:t>培育</w:t>
      </w:r>
      <w:r>
        <w:rPr>
          <w:rFonts w:hint="eastAsia"/>
        </w:rPr>
        <w:t>2</w:t>
      </w:r>
      <w:r>
        <w:t>0亿元级企业</w:t>
      </w:r>
      <w:r>
        <w:rPr>
          <w:rFonts w:hint="eastAsia"/>
        </w:rPr>
        <w:t>3</w:t>
      </w:r>
      <w:r>
        <w:t>家以上、5亿元级企业15家以上、亿元级企业</w:t>
      </w:r>
      <w:r>
        <w:rPr>
          <w:rFonts w:hint="eastAsia"/>
        </w:rPr>
        <w:t>25</w:t>
      </w:r>
      <w:r>
        <w:t>家以上；梯度培</w:t>
      </w:r>
      <w:r>
        <w:rPr>
          <w:rFonts w:hint="eastAsia"/>
        </w:rPr>
        <w:t>育“专精特新”中小企业，</w:t>
      </w:r>
      <w:r>
        <w:t>培育省级以</w:t>
      </w:r>
      <w:r>
        <w:rPr>
          <w:rFonts w:hint="eastAsia"/>
        </w:rPr>
        <w:t>上“专精特新”中</w:t>
      </w:r>
      <w:r>
        <w:t>小企业</w:t>
      </w:r>
      <w:r>
        <w:rPr>
          <w:rFonts w:hint="eastAsia"/>
        </w:rPr>
        <w:t>10</w:t>
      </w:r>
      <w:r>
        <w:t>家以上、国家高新技术企业30家以上。</w:t>
      </w:r>
    </w:p>
    <w:p>
      <w:pPr>
        <w:pStyle w:val="51"/>
        <w:ind w:firstLine="562"/>
      </w:pPr>
      <w:r>
        <w:rPr>
          <w:b/>
        </w:rPr>
        <w:t>科技创新迈上新台阶。</w:t>
      </w:r>
      <w:r>
        <w:t>企业与高校和科研院所的产学研合作广泛深入，新产品新技术研发能力全面提升。全县先进装备制造业研发投入占主营业务收入的比重达到5%；力争</w:t>
      </w:r>
      <w:r>
        <w:rPr>
          <w:rFonts w:hint="eastAsia"/>
        </w:rPr>
        <w:t>创建</w:t>
      </w:r>
      <w:r>
        <w:t>省级及以上科技创新平台</w:t>
      </w:r>
      <w:r>
        <w:rPr>
          <w:rFonts w:hint="eastAsia"/>
        </w:rPr>
        <w:t>6</w:t>
      </w:r>
      <w:r>
        <w:t>家</w:t>
      </w:r>
      <w:r>
        <w:rPr>
          <w:rFonts w:hint="eastAsia"/>
        </w:rPr>
        <w:t>，</w:t>
      </w:r>
      <w:r>
        <w:t>完成不少于</w:t>
      </w:r>
      <w:r>
        <w:rPr>
          <w:rFonts w:hint="eastAsia"/>
        </w:rPr>
        <w:t>3</w:t>
      </w:r>
      <w:r>
        <w:t>个先进装备制造企业开展首台（套）重大技术装备攻关行动、关键配套产品工程化攻关行动和重大科技创新或重大项目攻关</w:t>
      </w:r>
      <w:r>
        <w:rPr>
          <w:rFonts w:hint="eastAsia"/>
        </w:rPr>
        <w:t>行动</w:t>
      </w:r>
      <w:r>
        <w:t>。</w:t>
      </w:r>
    </w:p>
    <w:p>
      <w:pPr>
        <w:pStyle w:val="51"/>
        <w:ind w:firstLine="562"/>
      </w:pPr>
      <w:r>
        <w:rPr>
          <w:b/>
        </w:rPr>
        <w:t>招商引资实现新突破。</w:t>
      </w:r>
      <w:r>
        <w:t>积极招引发展关键零部件、原材料等产业链企业，引进投资过5000万元以上项目10个以上，其中亿元以上项目4个以上。</w:t>
      </w:r>
    </w:p>
    <w:p>
      <w:pPr>
        <w:pStyle w:val="51"/>
        <w:ind w:firstLine="562"/>
      </w:pPr>
      <w:r>
        <w:rPr>
          <w:b/>
        </w:rPr>
        <w:t>数智水平取得新成效。</w:t>
      </w:r>
      <w:r>
        <w:t>加快推动先进装备制造产业数字化、网络化、智能化发展，</w:t>
      </w:r>
      <w:r>
        <w:rPr>
          <w:rFonts w:hint="eastAsia"/>
        </w:rPr>
        <w:t>组织企业积极申报省级数字化类项目5个以上，1家以上“数字新基建”标志性项目，新增上云企业800家，上平台企业100家，</w:t>
      </w:r>
      <w:r>
        <w:t>围绕推动工业设备联网和生产环节数字化连接，力争打造</w:t>
      </w:r>
      <w:r>
        <w:rPr>
          <w:rFonts w:hint="eastAsia"/>
        </w:rPr>
        <w:t>5家</w:t>
      </w:r>
      <w:r>
        <w:t>智能制造企业和</w:t>
      </w:r>
      <w:r>
        <w:rPr>
          <w:rFonts w:hint="eastAsia"/>
        </w:rPr>
        <w:t>6条</w:t>
      </w:r>
      <w:r>
        <w:t>智能制造生产线（车间）；围绕推动生产流程优化与工艺流程再造，推进单工位的智能化改造，力争每年打造智能工位20个以上。</w:t>
      </w:r>
    </w:p>
    <w:p>
      <w:pPr>
        <w:pStyle w:val="51"/>
        <w:ind w:firstLine="562"/>
      </w:pPr>
      <w:r>
        <w:rPr>
          <w:b/>
          <w:bCs/>
        </w:rPr>
        <w:t>到2035年，</w:t>
      </w:r>
      <w:r>
        <w:t>全县先进装备制造产业形成以新技术、新产品、新业态、新模式主导发展的格局，培育和引进集总体设计、系统集成、成套生产、配套服务等功能于一体的大型高端装备制造企业，掌握一批高端装备制造业的核心技术，开发一批技术水平省内领先、国内先进的重点产品；加大力度引进亿元以上先进装备制造产业项目，</w:t>
      </w:r>
      <w:r>
        <w:rPr>
          <w:b/>
          <w:bCs/>
        </w:rPr>
        <w:t>培育形成一个产业规模大、核心竞争力强、配套供给优、支撑体系全、有较强影响力的省级先进装备制造业集群，打造省内专业化协作水平高、智能制造应用广泛、市场影响力不断提升的先进装备制造配套产业基地。</w:t>
      </w:r>
    </w:p>
    <w:p>
      <w:pPr>
        <w:pStyle w:val="50"/>
      </w:pPr>
      <w:r>
        <w:t>桃江县先进装备制造产业发展主要指标</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73"/>
        <w:gridCol w:w="903"/>
        <w:gridCol w:w="1174"/>
        <w:gridCol w:w="1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94" w:type="pct"/>
            <w:vAlign w:val="center"/>
          </w:tcPr>
          <w:p>
            <w:pPr>
              <w:pStyle w:val="54"/>
              <w:rPr>
                <w:rFonts w:cs="Times New Roman"/>
              </w:rPr>
            </w:pPr>
            <w:r>
              <w:rPr>
                <w:rFonts w:cs="Times New Roman"/>
              </w:rPr>
              <w:t>指标</w:t>
            </w:r>
          </w:p>
        </w:tc>
        <w:tc>
          <w:tcPr>
            <w:tcW w:w="530" w:type="pct"/>
            <w:vAlign w:val="center"/>
          </w:tcPr>
          <w:p>
            <w:pPr>
              <w:pStyle w:val="54"/>
              <w:rPr>
                <w:rFonts w:cs="Times New Roman"/>
              </w:rPr>
            </w:pPr>
            <w:r>
              <w:rPr>
                <w:rFonts w:cs="Times New Roman"/>
              </w:rPr>
              <w:t>单位</w:t>
            </w:r>
          </w:p>
        </w:tc>
        <w:tc>
          <w:tcPr>
            <w:tcW w:w="689" w:type="pct"/>
            <w:vAlign w:val="center"/>
          </w:tcPr>
          <w:p>
            <w:pPr>
              <w:pStyle w:val="54"/>
              <w:rPr>
                <w:rFonts w:cs="Times New Roman"/>
              </w:rPr>
            </w:pPr>
            <w:r>
              <w:rPr>
                <w:rFonts w:cs="Times New Roman"/>
              </w:rPr>
              <w:t>2025年</w:t>
            </w:r>
          </w:p>
        </w:tc>
        <w:tc>
          <w:tcPr>
            <w:tcW w:w="687" w:type="pct"/>
            <w:vAlign w:val="center"/>
          </w:tcPr>
          <w:p>
            <w:pPr>
              <w:pStyle w:val="54"/>
              <w:rPr>
                <w:rFonts w:cs="Times New Roman"/>
              </w:rPr>
            </w:pPr>
            <w:r>
              <w:rPr>
                <w:rFonts w:cs="Times New Roman"/>
              </w:rPr>
              <w:t>2030年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1、先进装备制造产业总产值</w:t>
            </w:r>
          </w:p>
        </w:tc>
        <w:tc>
          <w:tcPr>
            <w:tcW w:w="530" w:type="pct"/>
            <w:vAlign w:val="center"/>
          </w:tcPr>
          <w:p>
            <w:pPr>
              <w:pStyle w:val="54"/>
              <w:rPr>
                <w:rFonts w:cs="Times New Roman"/>
              </w:rPr>
            </w:pPr>
            <w:r>
              <w:rPr>
                <w:rFonts w:cs="Times New Roman"/>
              </w:rPr>
              <w:t>亿元</w:t>
            </w:r>
          </w:p>
        </w:tc>
        <w:tc>
          <w:tcPr>
            <w:tcW w:w="689" w:type="pct"/>
            <w:vAlign w:val="center"/>
          </w:tcPr>
          <w:p>
            <w:pPr>
              <w:pStyle w:val="54"/>
              <w:rPr>
                <w:rFonts w:cs="Times New Roman"/>
              </w:rPr>
            </w:pPr>
            <w:r>
              <w:rPr>
                <w:rFonts w:cs="Times New Roman"/>
              </w:rPr>
              <w:t>100</w:t>
            </w:r>
          </w:p>
        </w:tc>
        <w:tc>
          <w:tcPr>
            <w:tcW w:w="687" w:type="pct"/>
            <w:vAlign w:val="center"/>
          </w:tcPr>
          <w:p>
            <w:pPr>
              <w:pStyle w:val="54"/>
              <w:rPr>
                <w:rFonts w:cs="Times New Roman"/>
              </w:rPr>
            </w:pPr>
            <w:r>
              <w:rPr>
                <w:rFonts w:cs="Times New Roma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ind w:firstLine="210" w:firstLineChars="100"/>
              <w:jc w:val="both"/>
              <w:rPr>
                <w:rFonts w:cs="Times New Roman"/>
              </w:rPr>
            </w:pPr>
            <w:r>
              <w:rPr>
                <w:rFonts w:cs="Times New Roman"/>
              </w:rPr>
              <w:t>轨道交通关键基础零部件制造产业</w:t>
            </w:r>
          </w:p>
        </w:tc>
        <w:tc>
          <w:tcPr>
            <w:tcW w:w="530" w:type="pct"/>
            <w:vAlign w:val="center"/>
          </w:tcPr>
          <w:p>
            <w:pPr>
              <w:pStyle w:val="54"/>
              <w:rPr>
                <w:rFonts w:cs="Times New Roman"/>
              </w:rPr>
            </w:pPr>
            <w:r>
              <w:rPr>
                <w:rFonts w:cs="Times New Roman"/>
              </w:rPr>
              <w:t>亿元</w:t>
            </w:r>
          </w:p>
        </w:tc>
        <w:tc>
          <w:tcPr>
            <w:tcW w:w="689" w:type="pct"/>
            <w:vAlign w:val="center"/>
          </w:tcPr>
          <w:p>
            <w:pPr>
              <w:pStyle w:val="54"/>
              <w:rPr>
                <w:rFonts w:cs="Times New Roman"/>
              </w:rPr>
            </w:pPr>
            <w:r>
              <w:rPr>
                <w:rFonts w:cs="Times New Roman"/>
              </w:rPr>
              <w:t>30</w:t>
            </w:r>
          </w:p>
        </w:tc>
        <w:tc>
          <w:tcPr>
            <w:tcW w:w="687" w:type="pct"/>
            <w:vAlign w:val="center"/>
          </w:tcPr>
          <w:p>
            <w:pPr>
              <w:pStyle w:val="54"/>
              <w:rPr>
                <w:rFonts w:cs="Times New Roman"/>
              </w:rPr>
            </w:pPr>
            <w:r>
              <w:rPr>
                <w:rFonts w:cs="Times New Roma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ind w:firstLine="210" w:firstLineChars="100"/>
              <w:jc w:val="both"/>
              <w:rPr>
                <w:rFonts w:cs="Times New Roman"/>
              </w:rPr>
            </w:pPr>
            <w:r>
              <w:rPr>
                <w:rFonts w:cs="Times New Roman"/>
              </w:rPr>
              <w:t>工程机械关键基础零部件制造</w:t>
            </w:r>
          </w:p>
        </w:tc>
        <w:tc>
          <w:tcPr>
            <w:tcW w:w="530" w:type="pct"/>
            <w:vAlign w:val="center"/>
          </w:tcPr>
          <w:p>
            <w:pPr>
              <w:pStyle w:val="54"/>
              <w:rPr>
                <w:rFonts w:cs="Times New Roman"/>
              </w:rPr>
            </w:pPr>
            <w:r>
              <w:rPr>
                <w:rFonts w:cs="Times New Roman"/>
              </w:rPr>
              <w:t>亿元</w:t>
            </w:r>
          </w:p>
        </w:tc>
        <w:tc>
          <w:tcPr>
            <w:tcW w:w="689" w:type="pct"/>
            <w:vAlign w:val="center"/>
          </w:tcPr>
          <w:p>
            <w:pPr>
              <w:pStyle w:val="54"/>
              <w:rPr>
                <w:rFonts w:cs="Times New Roman"/>
              </w:rPr>
            </w:pPr>
            <w:r>
              <w:rPr>
                <w:rFonts w:cs="Times New Roman"/>
              </w:rPr>
              <w:t>20</w:t>
            </w:r>
          </w:p>
        </w:tc>
        <w:tc>
          <w:tcPr>
            <w:tcW w:w="687" w:type="pct"/>
            <w:vAlign w:val="center"/>
          </w:tcPr>
          <w:p>
            <w:pPr>
              <w:pStyle w:val="54"/>
              <w:rPr>
                <w:rFonts w:cs="Times New Roman"/>
              </w:rPr>
            </w:pPr>
            <w:r>
              <w:rPr>
                <w:rFonts w:cs="Times New Roma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ind w:firstLine="210" w:firstLineChars="100"/>
              <w:jc w:val="both"/>
              <w:rPr>
                <w:rFonts w:cs="Times New Roman"/>
              </w:rPr>
            </w:pPr>
            <w:r>
              <w:rPr>
                <w:rFonts w:cs="Times New Roman"/>
              </w:rPr>
              <w:t>重大成套设备及其他智能设备制造</w:t>
            </w:r>
          </w:p>
        </w:tc>
        <w:tc>
          <w:tcPr>
            <w:tcW w:w="530" w:type="pct"/>
            <w:vAlign w:val="center"/>
          </w:tcPr>
          <w:p>
            <w:pPr>
              <w:pStyle w:val="54"/>
              <w:rPr>
                <w:rFonts w:cs="Times New Roman"/>
              </w:rPr>
            </w:pPr>
            <w:r>
              <w:rPr>
                <w:rFonts w:cs="Times New Roman"/>
              </w:rPr>
              <w:t>亿元</w:t>
            </w:r>
          </w:p>
        </w:tc>
        <w:tc>
          <w:tcPr>
            <w:tcW w:w="689" w:type="pct"/>
            <w:vAlign w:val="center"/>
          </w:tcPr>
          <w:p>
            <w:pPr>
              <w:pStyle w:val="54"/>
              <w:rPr>
                <w:rFonts w:cs="Times New Roman"/>
              </w:rPr>
            </w:pPr>
            <w:r>
              <w:rPr>
                <w:rFonts w:cs="Times New Roman"/>
              </w:rPr>
              <w:t>50</w:t>
            </w:r>
          </w:p>
        </w:tc>
        <w:tc>
          <w:tcPr>
            <w:tcW w:w="687" w:type="pct"/>
            <w:vAlign w:val="center"/>
          </w:tcPr>
          <w:p>
            <w:pPr>
              <w:pStyle w:val="54"/>
              <w:rPr>
                <w:rFonts w:cs="Times New Roman"/>
              </w:rPr>
            </w:pPr>
            <w:r>
              <w:rPr>
                <w:rFonts w:cs="Times New Roma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2、税金总额</w:t>
            </w:r>
          </w:p>
        </w:tc>
        <w:tc>
          <w:tcPr>
            <w:tcW w:w="530" w:type="pct"/>
            <w:vAlign w:val="center"/>
          </w:tcPr>
          <w:p>
            <w:pPr>
              <w:pStyle w:val="54"/>
              <w:rPr>
                <w:rFonts w:cs="Times New Roman"/>
              </w:rPr>
            </w:pPr>
            <w:r>
              <w:rPr>
                <w:rFonts w:cs="Times New Roman"/>
              </w:rPr>
              <w:t>万元</w:t>
            </w:r>
          </w:p>
        </w:tc>
        <w:tc>
          <w:tcPr>
            <w:tcW w:w="689" w:type="pct"/>
            <w:vAlign w:val="center"/>
          </w:tcPr>
          <w:p>
            <w:pPr>
              <w:pStyle w:val="54"/>
              <w:rPr>
                <w:rFonts w:cs="Times New Roman"/>
              </w:rPr>
            </w:pPr>
            <w:r>
              <w:rPr>
                <w:rFonts w:cs="Times New Roman"/>
              </w:rPr>
              <w:t>7000</w:t>
            </w:r>
          </w:p>
        </w:tc>
        <w:tc>
          <w:tcPr>
            <w:tcW w:w="687" w:type="pct"/>
            <w:vAlign w:val="center"/>
          </w:tcPr>
          <w:p>
            <w:pPr>
              <w:pStyle w:val="54"/>
              <w:rPr>
                <w:rFonts w:cs="Times New Roman"/>
              </w:rPr>
            </w:pPr>
            <w:r>
              <w:rPr>
                <w:rFonts w:cs="Times New Roman"/>
              </w:rPr>
              <w:t>14000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3、1亿元级企业</w:t>
            </w:r>
          </w:p>
        </w:tc>
        <w:tc>
          <w:tcPr>
            <w:tcW w:w="530" w:type="pct"/>
            <w:vAlign w:val="center"/>
          </w:tcPr>
          <w:p>
            <w:pPr>
              <w:pStyle w:val="54"/>
              <w:rPr>
                <w:rFonts w:cs="Times New Roman"/>
              </w:rPr>
            </w:pPr>
            <w:r>
              <w:rPr>
                <w:rFonts w:cs="Times New Roman"/>
              </w:rPr>
              <w:t>家</w:t>
            </w:r>
          </w:p>
        </w:tc>
        <w:tc>
          <w:tcPr>
            <w:tcW w:w="689" w:type="pct"/>
            <w:vAlign w:val="center"/>
          </w:tcPr>
          <w:p>
            <w:pPr>
              <w:pStyle w:val="54"/>
              <w:rPr>
                <w:rFonts w:cs="Times New Roman"/>
              </w:rPr>
            </w:pPr>
            <w:r>
              <w:rPr>
                <w:rFonts w:hint="eastAsia" w:cs="Times New Roman"/>
              </w:rPr>
              <w:t>12</w:t>
            </w:r>
          </w:p>
        </w:tc>
        <w:tc>
          <w:tcPr>
            <w:tcW w:w="687" w:type="pct"/>
            <w:vAlign w:val="center"/>
          </w:tcPr>
          <w:p>
            <w:pPr>
              <w:pStyle w:val="54"/>
              <w:rPr>
                <w:rFonts w:cs="Times New Roman"/>
              </w:rPr>
            </w:pPr>
            <w:r>
              <w:rPr>
                <w:rFonts w:cs="Times New Roma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4、5亿元级企业</w:t>
            </w:r>
          </w:p>
        </w:tc>
        <w:tc>
          <w:tcPr>
            <w:tcW w:w="530" w:type="pct"/>
            <w:vAlign w:val="center"/>
          </w:tcPr>
          <w:p>
            <w:pPr>
              <w:pStyle w:val="54"/>
              <w:rPr>
                <w:rFonts w:cs="Times New Roman"/>
              </w:rPr>
            </w:pPr>
            <w:r>
              <w:rPr>
                <w:rFonts w:cs="Times New Roman"/>
              </w:rPr>
              <w:t>家</w:t>
            </w:r>
          </w:p>
        </w:tc>
        <w:tc>
          <w:tcPr>
            <w:tcW w:w="689" w:type="pct"/>
            <w:vAlign w:val="center"/>
          </w:tcPr>
          <w:p>
            <w:pPr>
              <w:pStyle w:val="54"/>
              <w:rPr>
                <w:rFonts w:cs="Times New Roman"/>
              </w:rPr>
            </w:pPr>
            <w:r>
              <w:rPr>
                <w:rFonts w:cs="Times New Roman"/>
              </w:rPr>
              <w:t>7</w:t>
            </w:r>
          </w:p>
        </w:tc>
        <w:tc>
          <w:tcPr>
            <w:tcW w:w="687" w:type="pct"/>
            <w:vAlign w:val="center"/>
          </w:tcPr>
          <w:p>
            <w:pPr>
              <w:pStyle w:val="54"/>
              <w:rPr>
                <w:rFonts w:cs="Times New Roman"/>
              </w:rPr>
            </w:pPr>
            <w:r>
              <w:rPr>
                <w:rFonts w:cs="Times New Roma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5、20亿元级企业</w:t>
            </w:r>
          </w:p>
        </w:tc>
        <w:tc>
          <w:tcPr>
            <w:tcW w:w="530" w:type="pct"/>
            <w:vAlign w:val="center"/>
          </w:tcPr>
          <w:p>
            <w:pPr>
              <w:pStyle w:val="54"/>
              <w:rPr>
                <w:rFonts w:cs="Times New Roman"/>
              </w:rPr>
            </w:pPr>
            <w:r>
              <w:rPr>
                <w:rFonts w:cs="Times New Roman"/>
              </w:rPr>
              <w:t>家</w:t>
            </w:r>
          </w:p>
        </w:tc>
        <w:tc>
          <w:tcPr>
            <w:tcW w:w="689" w:type="pct"/>
            <w:vAlign w:val="center"/>
          </w:tcPr>
          <w:p>
            <w:pPr>
              <w:pStyle w:val="54"/>
              <w:rPr>
                <w:rFonts w:cs="Times New Roman"/>
              </w:rPr>
            </w:pPr>
            <w:r>
              <w:rPr>
                <w:rFonts w:cs="Times New Roman"/>
              </w:rPr>
              <w:t>1</w:t>
            </w:r>
          </w:p>
        </w:tc>
        <w:tc>
          <w:tcPr>
            <w:tcW w:w="687" w:type="pct"/>
            <w:vAlign w:val="center"/>
          </w:tcPr>
          <w:p>
            <w:pPr>
              <w:pStyle w:val="54"/>
              <w:rPr>
                <w:rFonts w:cs="Times New Roman"/>
              </w:rPr>
            </w:pPr>
            <w:r>
              <w:rPr>
                <w:rFonts w:cs="Times New Roma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6、省级专精特新企业</w:t>
            </w:r>
          </w:p>
        </w:tc>
        <w:tc>
          <w:tcPr>
            <w:tcW w:w="530" w:type="pct"/>
            <w:vAlign w:val="center"/>
          </w:tcPr>
          <w:p>
            <w:pPr>
              <w:pStyle w:val="54"/>
              <w:rPr>
                <w:rFonts w:cs="Times New Roman"/>
              </w:rPr>
            </w:pPr>
            <w:r>
              <w:rPr>
                <w:rFonts w:cs="Times New Roman"/>
              </w:rPr>
              <w:t>家</w:t>
            </w:r>
          </w:p>
        </w:tc>
        <w:tc>
          <w:tcPr>
            <w:tcW w:w="689" w:type="pct"/>
            <w:vAlign w:val="center"/>
          </w:tcPr>
          <w:p>
            <w:pPr>
              <w:pStyle w:val="54"/>
              <w:rPr>
                <w:rFonts w:cs="Times New Roman"/>
              </w:rPr>
            </w:pPr>
            <w:r>
              <w:rPr>
                <w:rFonts w:hint="eastAsia" w:cs="Times New Roman"/>
              </w:rPr>
              <w:t>7</w:t>
            </w:r>
          </w:p>
        </w:tc>
        <w:tc>
          <w:tcPr>
            <w:tcW w:w="687" w:type="pct"/>
            <w:vAlign w:val="center"/>
          </w:tcPr>
          <w:p>
            <w:pPr>
              <w:pStyle w:val="54"/>
              <w:rPr>
                <w:rFonts w:cs="Times New Roman"/>
              </w:rPr>
            </w:pPr>
            <w:r>
              <w:rPr>
                <w:rFonts w:hint="eastAsia" w:cs="Times New Roma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7、国家高新技术企业</w:t>
            </w:r>
          </w:p>
        </w:tc>
        <w:tc>
          <w:tcPr>
            <w:tcW w:w="530" w:type="pct"/>
            <w:vAlign w:val="center"/>
          </w:tcPr>
          <w:p>
            <w:pPr>
              <w:pStyle w:val="54"/>
              <w:rPr>
                <w:rFonts w:cs="Times New Roman"/>
              </w:rPr>
            </w:pPr>
            <w:r>
              <w:rPr>
                <w:rFonts w:cs="Times New Roman"/>
              </w:rPr>
              <w:t>家</w:t>
            </w:r>
          </w:p>
        </w:tc>
        <w:tc>
          <w:tcPr>
            <w:tcW w:w="689" w:type="pct"/>
            <w:vAlign w:val="center"/>
          </w:tcPr>
          <w:p>
            <w:pPr>
              <w:pStyle w:val="54"/>
              <w:rPr>
                <w:rFonts w:cs="Times New Roman"/>
              </w:rPr>
            </w:pPr>
            <w:r>
              <w:rPr>
                <w:rFonts w:cs="Times New Roman"/>
              </w:rPr>
              <w:t>20</w:t>
            </w:r>
          </w:p>
        </w:tc>
        <w:tc>
          <w:tcPr>
            <w:tcW w:w="687" w:type="pct"/>
            <w:vAlign w:val="center"/>
          </w:tcPr>
          <w:p>
            <w:pPr>
              <w:pStyle w:val="54"/>
              <w:rPr>
                <w:rFonts w:cs="Times New Roman"/>
              </w:rPr>
            </w:pPr>
            <w:r>
              <w:rPr>
                <w:rFonts w:cs="Times New Roma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8、研发投入占主营业务收入的比重</w:t>
            </w:r>
          </w:p>
        </w:tc>
        <w:tc>
          <w:tcPr>
            <w:tcW w:w="530" w:type="pct"/>
            <w:vAlign w:val="center"/>
          </w:tcPr>
          <w:p>
            <w:pPr>
              <w:pStyle w:val="54"/>
              <w:rPr>
                <w:rFonts w:cs="Times New Roman"/>
              </w:rPr>
            </w:pPr>
            <w:r>
              <w:rPr>
                <w:rFonts w:cs="Times New Roman"/>
              </w:rPr>
              <w:t>%</w:t>
            </w:r>
          </w:p>
        </w:tc>
        <w:tc>
          <w:tcPr>
            <w:tcW w:w="689" w:type="pct"/>
            <w:vAlign w:val="center"/>
          </w:tcPr>
          <w:p>
            <w:pPr>
              <w:pStyle w:val="54"/>
              <w:rPr>
                <w:rFonts w:cs="Times New Roman"/>
              </w:rPr>
            </w:pPr>
            <w:r>
              <w:rPr>
                <w:rFonts w:cs="Times New Roman"/>
              </w:rPr>
              <w:t>4.5</w:t>
            </w:r>
          </w:p>
        </w:tc>
        <w:tc>
          <w:tcPr>
            <w:tcW w:w="687" w:type="pct"/>
            <w:vAlign w:val="center"/>
          </w:tcPr>
          <w:p>
            <w:pPr>
              <w:pStyle w:val="54"/>
              <w:rPr>
                <w:rFonts w:cs="Times New Roman"/>
              </w:rPr>
            </w:pPr>
            <w:r>
              <w:rPr>
                <w:rFonts w:cs="Times New Roma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9、引进投资过5000万元以上项目</w:t>
            </w:r>
          </w:p>
        </w:tc>
        <w:tc>
          <w:tcPr>
            <w:tcW w:w="530" w:type="pct"/>
            <w:vAlign w:val="center"/>
          </w:tcPr>
          <w:p>
            <w:pPr>
              <w:pStyle w:val="54"/>
              <w:rPr>
                <w:rFonts w:cs="Times New Roman"/>
              </w:rPr>
            </w:pPr>
            <w:r>
              <w:rPr>
                <w:rFonts w:cs="Times New Roman"/>
              </w:rPr>
              <w:t>个</w:t>
            </w:r>
          </w:p>
        </w:tc>
        <w:tc>
          <w:tcPr>
            <w:tcW w:w="689" w:type="pct"/>
            <w:vAlign w:val="center"/>
          </w:tcPr>
          <w:p>
            <w:pPr>
              <w:pStyle w:val="54"/>
              <w:rPr>
                <w:rFonts w:cs="Times New Roman"/>
              </w:rPr>
            </w:pPr>
            <w:r>
              <w:rPr>
                <w:rFonts w:cs="Times New Roman"/>
              </w:rPr>
              <w:t>2</w:t>
            </w:r>
          </w:p>
        </w:tc>
        <w:tc>
          <w:tcPr>
            <w:tcW w:w="687" w:type="pct"/>
            <w:vAlign w:val="center"/>
          </w:tcPr>
          <w:p>
            <w:pPr>
              <w:pStyle w:val="54"/>
              <w:rPr>
                <w:rFonts w:cs="Times New Roman"/>
              </w:rPr>
            </w:pPr>
            <w:r>
              <w:rPr>
                <w:rFonts w:cs="Times New Roma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4" w:type="pct"/>
            <w:vAlign w:val="center"/>
          </w:tcPr>
          <w:p>
            <w:pPr>
              <w:pStyle w:val="54"/>
              <w:jc w:val="both"/>
              <w:rPr>
                <w:rFonts w:cs="Times New Roman"/>
              </w:rPr>
            </w:pPr>
            <w:r>
              <w:rPr>
                <w:rFonts w:cs="Times New Roman"/>
              </w:rPr>
              <w:t>10、引进投资过1亿元以上项目</w:t>
            </w:r>
          </w:p>
        </w:tc>
        <w:tc>
          <w:tcPr>
            <w:tcW w:w="530" w:type="pct"/>
            <w:vAlign w:val="center"/>
          </w:tcPr>
          <w:p>
            <w:pPr>
              <w:pStyle w:val="54"/>
              <w:rPr>
                <w:rFonts w:cs="Times New Roman"/>
              </w:rPr>
            </w:pPr>
            <w:r>
              <w:rPr>
                <w:rFonts w:cs="Times New Roman"/>
              </w:rPr>
              <w:t>个</w:t>
            </w:r>
          </w:p>
        </w:tc>
        <w:tc>
          <w:tcPr>
            <w:tcW w:w="689" w:type="pct"/>
            <w:vAlign w:val="center"/>
          </w:tcPr>
          <w:p>
            <w:pPr>
              <w:pStyle w:val="54"/>
              <w:rPr>
                <w:rFonts w:cs="Times New Roman"/>
              </w:rPr>
            </w:pPr>
            <w:r>
              <w:rPr>
                <w:rFonts w:cs="Times New Roman"/>
              </w:rPr>
              <w:t>1</w:t>
            </w:r>
          </w:p>
        </w:tc>
        <w:tc>
          <w:tcPr>
            <w:tcW w:w="687" w:type="pct"/>
            <w:vAlign w:val="center"/>
          </w:tcPr>
          <w:p>
            <w:pPr>
              <w:pStyle w:val="54"/>
              <w:rPr>
                <w:rFonts w:cs="Times New Roman"/>
              </w:rPr>
            </w:pPr>
            <w:r>
              <w:rPr>
                <w:rFonts w:cs="Times New Roman"/>
              </w:rPr>
              <w:t>4</w:t>
            </w:r>
          </w:p>
        </w:tc>
      </w:tr>
    </w:tbl>
    <w:p>
      <w:pPr>
        <w:rPr>
          <w:rFonts w:ascii="Times New Roman" w:hAnsi="Times New Roman"/>
          <w:kern w:val="2"/>
          <w:shd w:val="clear" w:color="auto" w:fill="FFFFFF"/>
        </w:rPr>
      </w:pPr>
      <w:r>
        <w:rPr>
          <w:rFonts w:ascii="Times New Roman" w:hAnsi="Times New Roman"/>
        </w:rPr>
        <w:br w:type="page"/>
      </w:r>
    </w:p>
    <w:p>
      <w:pPr>
        <w:pStyle w:val="2"/>
        <w:rPr>
          <w:rFonts w:ascii="Times New Roman" w:hAnsi="Times New Roman"/>
        </w:rPr>
      </w:pPr>
      <w:bookmarkStart w:id="32" w:name="_Toc182908006"/>
      <w:r>
        <w:rPr>
          <w:rFonts w:ascii="Times New Roman" w:hAnsi="Times New Roman"/>
        </w:rPr>
        <w:t>以新空间布局承载产业新格局</w:t>
      </w:r>
      <w:bookmarkEnd w:id="32"/>
    </w:p>
    <w:p>
      <w:pPr>
        <w:pStyle w:val="51"/>
        <w:ind w:firstLine="560"/>
      </w:pPr>
      <w:r>
        <w:t>依托桃江先进装备制造产业基础，引导企业和资源要素向桃</w:t>
      </w:r>
      <w:r>
        <w:rPr>
          <w:rFonts w:hint="eastAsia"/>
        </w:rPr>
        <w:t>江高新区主区和灰山港片区集聚，</w:t>
      </w:r>
      <w:r>
        <w:rPr>
          <w:rFonts w:hint="eastAsia"/>
          <w:b/>
          <w:bCs/>
          <w:lang w:val="en-GB"/>
        </w:rPr>
        <w:t>着力</w:t>
      </w:r>
      <w:r>
        <w:rPr>
          <w:rFonts w:hint="eastAsia"/>
          <w:b/>
          <w:bCs/>
        </w:rPr>
        <w:t>构建“一轴两区三基地”的特色鲜明、优势突出、协同联动的先进装备制造省级配套基地</w:t>
      </w:r>
      <w:r>
        <w:rPr>
          <w:rFonts w:hint="eastAsia"/>
        </w:rPr>
        <w:t>，</w:t>
      </w:r>
      <w:r>
        <w:t>加快推进先进装备制造零部件产业及配套辅助设备制造桃江化。</w:t>
      </w:r>
    </w:p>
    <w:p>
      <w:pPr>
        <w:pStyle w:val="54"/>
        <w:rPr>
          <w:rFonts w:cs="Times New Roman"/>
        </w:rPr>
      </w:pPr>
      <w:r>
        <w:rPr>
          <w:rFonts w:cs="Times New Roman"/>
        </w:rPr>
        <w:drawing>
          <wp:inline distT="0" distB="0" distL="0" distR="0">
            <wp:extent cx="5316855" cy="2992755"/>
            <wp:effectExtent l="0" t="0" r="0" b="0"/>
            <wp:docPr id="111925979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9798" name="图片 1" descr="地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84558" cy="3031328"/>
                    </a:xfrm>
                    <a:prstGeom prst="rect">
                      <a:avLst/>
                    </a:prstGeom>
                    <a:noFill/>
                    <a:ln>
                      <a:noFill/>
                    </a:ln>
                  </pic:spPr>
                </pic:pic>
              </a:graphicData>
            </a:graphic>
          </wp:inline>
        </w:drawing>
      </w:r>
    </w:p>
    <w:p>
      <w:pPr>
        <w:pStyle w:val="49"/>
      </w:pPr>
      <w:r>
        <w:t>桃江先进装备制造产业发展空间布局</w:t>
      </w:r>
    </w:p>
    <w:p>
      <w:pPr>
        <w:pStyle w:val="3"/>
        <w:numPr>
          <w:ilvl w:val="1"/>
          <w:numId w:val="6"/>
        </w:numPr>
      </w:pPr>
      <w:bookmarkStart w:id="33" w:name="_Toc182908007"/>
      <w:bookmarkStart w:id="34" w:name="_Toc170996521"/>
      <w:r>
        <w:rPr>
          <w:rFonts w:hint="eastAsia"/>
        </w:rPr>
        <w:t>推动“一轴”联通</w:t>
      </w:r>
      <w:bookmarkEnd w:id="33"/>
    </w:p>
    <w:p>
      <w:pPr>
        <w:pStyle w:val="51"/>
        <w:ind w:firstLine="562"/>
      </w:pPr>
      <w:r>
        <w:rPr>
          <w:b/>
          <w:bCs/>
        </w:rPr>
        <w:t>S223资源集成发展轴。</w:t>
      </w:r>
      <w:r>
        <w:t>以S223道路串联桃江高新区主区和灰山港片区，推动两大片区共建先进装备制造的供应链与价值链，实现从原材料供应、设计研发、生产制造到安装运维的全链条协同，提高资源利用效率，降低综合成本，形成发展合力，共同推动桃江县先进装备制造产业向高端化、智能化、绿色化目标稳步前进。</w:t>
      </w:r>
    </w:p>
    <w:p>
      <w:pPr>
        <w:pStyle w:val="3"/>
      </w:pPr>
      <w:bookmarkStart w:id="35" w:name="_Toc182908008"/>
      <w:r>
        <w:rPr>
          <w:rFonts w:hint="eastAsia"/>
        </w:rPr>
        <w:t>突出“两区”引领</w:t>
      </w:r>
      <w:bookmarkEnd w:id="35"/>
    </w:p>
    <w:p>
      <w:pPr>
        <w:pStyle w:val="51"/>
        <w:ind w:firstLine="562"/>
      </w:pPr>
      <w:r>
        <w:rPr>
          <w:b/>
          <w:bCs/>
        </w:rPr>
        <w:t>桃江高新区主区。</w:t>
      </w:r>
      <w:r>
        <w:t>重点布局轨道交通关键基础零部件制造产业、工程机械关键基础零部件制造产业（基础零部件）、重大成套设备及其他智能设备制造产业，包括1850亩先进装备制造产业发展用地以及500亩产业发展储备用地。</w:t>
      </w:r>
    </w:p>
    <w:p>
      <w:pPr>
        <w:pStyle w:val="54"/>
        <w:rPr>
          <w:rFonts w:cs="Times New Roman"/>
        </w:rPr>
      </w:pPr>
      <w:r>
        <w:rPr>
          <w:rFonts w:cs="Times New Roman"/>
        </w:rPr>
        <w:drawing>
          <wp:inline distT="0" distB="0" distL="0" distR="0">
            <wp:extent cx="5274310" cy="3618865"/>
            <wp:effectExtent l="0" t="0" r="2540" b="635"/>
            <wp:docPr id="1943022743"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2743" name="图片 1" descr="图示&#10;&#10;中度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618865"/>
                    </a:xfrm>
                    <a:prstGeom prst="rect">
                      <a:avLst/>
                    </a:prstGeom>
                    <a:noFill/>
                    <a:ln>
                      <a:noFill/>
                    </a:ln>
                  </pic:spPr>
                </pic:pic>
              </a:graphicData>
            </a:graphic>
          </wp:inline>
        </w:drawing>
      </w:r>
    </w:p>
    <w:p>
      <w:pPr>
        <w:pStyle w:val="50"/>
      </w:pPr>
      <w:r>
        <w:t>桃江高新区主区产业空间布局规划图</w:t>
      </w:r>
    </w:p>
    <w:p>
      <w:pPr>
        <w:pStyle w:val="51"/>
        <w:ind w:firstLine="562"/>
      </w:pPr>
      <w:r>
        <w:rPr>
          <w:b/>
          <w:bCs/>
        </w:rPr>
        <w:t>灰山港片区。</w:t>
      </w:r>
      <w:r>
        <w:t>基于现有的产业发展用地，重点布局工程机械关键基础零部件制造产业（铸造件加工）。</w:t>
      </w:r>
    </w:p>
    <w:p>
      <w:pPr>
        <w:pStyle w:val="54"/>
        <w:rPr>
          <w:rFonts w:cs="Times New Roman"/>
        </w:rPr>
      </w:pPr>
      <w:r>
        <w:rPr>
          <w:rFonts w:cs="Times New Roman"/>
        </w:rPr>
        <w:drawing>
          <wp:inline distT="0" distB="0" distL="0" distR="0">
            <wp:extent cx="5274310" cy="2477770"/>
            <wp:effectExtent l="0" t="0" r="2540" b="0"/>
            <wp:docPr id="755891335"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1335" name="图片 3" descr="地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477770"/>
                    </a:xfrm>
                    <a:prstGeom prst="rect">
                      <a:avLst/>
                    </a:prstGeom>
                    <a:noFill/>
                    <a:ln>
                      <a:noFill/>
                    </a:ln>
                  </pic:spPr>
                </pic:pic>
              </a:graphicData>
            </a:graphic>
          </wp:inline>
        </w:drawing>
      </w:r>
    </w:p>
    <w:p>
      <w:pPr>
        <w:pStyle w:val="50"/>
      </w:pPr>
      <w:r>
        <w:t>灰山港片区产业空间布局规划图</w:t>
      </w:r>
    </w:p>
    <w:p>
      <w:pPr>
        <w:pStyle w:val="3"/>
      </w:pPr>
      <w:bookmarkStart w:id="36" w:name="_Toc13934"/>
      <w:bookmarkStart w:id="37" w:name="_Toc9917"/>
      <w:bookmarkStart w:id="38" w:name="_Toc11762"/>
      <w:bookmarkStart w:id="39" w:name="_Toc10060"/>
      <w:bookmarkStart w:id="40" w:name="_Toc8064"/>
      <w:bookmarkStart w:id="41" w:name="_Toc24727"/>
      <w:bookmarkStart w:id="42" w:name="_Toc182908009"/>
      <w:r>
        <w:rPr>
          <w:rFonts w:hint="eastAsia"/>
        </w:rPr>
        <w:t>强化“三基地”</w:t>
      </w:r>
      <w:bookmarkEnd w:id="36"/>
      <w:bookmarkEnd w:id="37"/>
      <w:bookmarkEnd w:id="38"/>
      <w:bookmarkEnd w:id="39"/>
      <w:bookmarkEnd w:id="40"/>
      <w:bookmarkEnd w:id="41"/>
      <w:r>
        <w:rPr>
          <w:rFonts w:hint="eastAsia"/>
        </w:rPr>
        <w:t>支撑</w:t>
      </w:r>
      <w:bookmarkEnd w:id="42"/>
    </w:p>
    <w:bookmarkEnd w:id="34"/>
    <w:p>
      <w:pPr>
        <w:pStyle w:val="51"/>
        <w:ind w:firstLine="562"/>
        <w:rPr>
          <w:b/>
          <w:bCs/>
        </w:rPr>
      </w:pPr>
      <w:r>
        <w:rPr>
          <w:b/>
          <w:bCs/>
        </w:rPr>
        <w:t>先进轨道交通装备零部件及配套重要生产基地。</w:t>
      </w:r>
      <w:r>
        <w:t>发挥桃江高新区在轨道交通装备制造方面的产业基础，以现有骨干企业为引领，承接中国中车、中车株洲所、中国铁建等轨道交通装备制造企业的配套产品需求，围绕重点产品进行产业布局，形成稳定的供应链体系。</w:t>
      </w:r>
    </w:p>
    <w:p>
      <w:pPr>
        <w:pStyle w:val="51"/>
        <w:ind w:firstLine="562"/>
      </w:pPr>
      <w:r>
        <w:rPr>
          <w:b/>
          <w:bCs/>
        </w:rPr>
        <w:t>工程机械关键基础零部件及配套重要生产基地。</w:t>
      </w:r>
      <w:r>
        <w:rPr>
          <w:bCs/>
        </w:rPr>
        <w:t>发挥灰山港片区</w:t>
      </w:r>
      <w:r>
        <w:t>机械铸件装备加工产业</w:t>
      </w:r>
      <w:r>
        <w:rPr>
          <w:bCs/>
        </w:rPr>
        <w:t>基础优势，</w:t>
      </w:r>
      <w:r>
        <w:t>围绕重点优势产品，以龙头骨干企业为核心，打造面向南方地区，承接三一重工、中联重科、山河智能等工程机械制造企业配套产品的生产基地。</w:t>
      </w:r>
    </w:p>
    <w:p>
      <w:pPr>
        <w:pStyle w:val="51"/>
        <w:ind w:firstLine="562"/>
        <w:rPr>
          <w:b/>
          <w:bCs/>
        </w:rPr>
      </w:pPr>
      <w:r>
        <w:rPr>
          <w:b/>
          <w:bCs/>
        </w:rPr>
        <w:t>重大成套设备及其他智能设备重要产业基地。</w:t>
      </w:r>
      <w:r>
        <w:t>发挥桃江县现有企业在重大成套设备和智能设备制造方面的技术积累和生产经验，鼓励和支持现有企业加大研发投入，引进先进技术，提升产品竞争力，加强企业间的协同合作，形成产业集群效应，进一步强化桃江先进装备制造产业。</w:t>
      </w:r>
    </w:p>
    <w:p>
      <w:pPr>
        <w:pStyle w:val="54"/>
        <w:rPr>
          <w:rFonts w:cs="Times New Roman"/>
        </w:rPr>
      </w:pPr>
      <w:r>
        <w:rPr>
          <w:rFonts w:cs="Times New Roman"/>
        </w:rPr>
        <w:br w:type="page"/>
      </w:r>
    </w:p>
    <w:p>
      <w:pPr>
        <w:pStyle w:val="2"/>
        <w:rPr>
          <w:rFonts w:ascii="Times New Roman" w:hAnsi="Times New Roman"/>
        </w:rPr>
      </w:pPr>
      <w:bookmarkStart w:id="43" w:name="_Toc182908010"/>
      <w:r>
        <w:rPr>
          <w:rFonts w:ascii="Times New Roman" w:hAnsi="Times New Roman"/>
        </w:rPr>
        <w:t>以新发展方向赋能产业新体系</w:t>
      </w:r>
      <w:bookmarkEnd w:id="43"/>
    </w:p>
    <w:p>
      <w:pPr>
        <w:pStyle w:val="3"/>
      </w:pPr>
      <w:bookmarkStart w:id="44" w:name="_Toc182908011"/>
      <w:bookmarkStart w:id="45" w:name="_Toc170996525"/>
      <w:r>
        <w:t>多元赋能开拓创新产品“新体系”</w:t>
      </w:r>
      <w:bookmarkEnd w:id="44"/>
    </w:p>
    <w:p>
      <w:pPr>
        <w:pStyle w:val="4"/>
      </w:pPr>
      <w:r>
        <w:t>培育壮大轨道交通关键基础零部件制造产业</w:t>
      </w:r>
    </w:p>
    <w:p>
      <w:pPr>
        <w:pStyle w:val="5"/>
      </w:pPr>
      <w:r>
        <w:t>市场分析</w:t>
      </w:r>
    </w:p>
    <w:p>
      <w:pPr>
        <w:pStyle w:val="51"/>
        <w:ind w:firstLine="560"/>
      </w:pPr>
      <w:r>
        <w:t>1．后疫情时代投资回补，存量市场释放出庞大零部件需求</w:t>
      </w:r>
    </w:p>
    <w:p>
      <w:pPr>
        <w:pStyle w:val="51"/>
        <w:ind w:firstLine="560"/>
      </w:pPr>
      <w:r>
        <w:rPr>
          <w:rFonts w:hint="eastAsia"/>
        </w:rPr>
        <w:t>根据《“十四五”现代综合交通运输体系发展规划》和《“十四五”铁路发展创新规划》，政策</w:t>
      </w:r>
      <w:r>
        <w:t>持续强调了我国轨交的中长期建设目标，预计到2025年高铁建成5万公里营业里程，铁路轨道共计建成16.5万公里营业里程。此外，2022年3月，处于修编状态的《中长期铁路网规划》进度报告中同样提到2025年铁路建设目标不变，至2030年目标建成高铁6万公里营业里程，铁路轨道共18.5万公里营业里程。疫情短期影响需求和投资节奏，但政策的中长期目标规划不变—后疫情时代铁路投资建设需求中枢有望上移。</w:t>
      </w:r>
    </w:p>
    <w:p>
      <w:pPr>
        <w:pStyle w:val="51"/>
        <w:ind w:firstLine="560"/>
      </w:pPr>
      <w:r>
        <w:t>在2025年、2030年规划目标下：未来两年高铁新建里程中枢上移，2026—2030期间年均建设目标稳健。根据十四五及《中长期铁路网规划》（修编）的轨交建设目标，预计2024—2025年平均每年新增铁路营业里程3333公里，2026—2030年平均每年新增营业里程4000公里，整体建设需求相对稳定。其中高铁每年新增营业里程2667公里，较2022年实际新增里程增长43.3%。2026—2030年年均新增目标2000公里，较2022年实际新增里程增长7.4%。总体来看，中长期视角，铁路修建需求稳中向上，考虑到疫情中部分项目投资和开工进展缓慢，叠加铁路建设周期一般需要数年，因此后疫情时代新增投资动力相对充足。</w:t>
      </w:r>
    </w:p>
    <w:p>
      <w:pPr>
        <w:pStyle w:val="54"/>
        <w:rPr>
          <w:rFonts w:cs="Times New Roman"/>
        </w:rPr>
      </w:pPr>
      <w:r>
        <w:rPr>
          <w:rFonts w:cs="Times New Roman"/>
        </w:rPr>
        <w:drawing>
          <wp:inline distT="0" distB="0" distL="0" distR="0">
            <wp:extent cx="5332730" cy="2172335"/>
            <wp:effectExtent l="0" t="0" r="1270" b="0"/>
            <wp:docPr id="1902441778"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41778" name="图片 3" descr="图片"/>
                    <pic:cNvPicPr>
                      <a:picLocks noChangeAspect="1" noChangeArrowheads="1"/>
                    </pic:cNvPicPr>
                  </pic:nvPicPr>
                  <pic:blipFill>
                    <a:blip r:embed="rId12">
                      <a:extLst>
                        <a:ext uri="{28A0092B-C50C-407E-A947-70E740481C1C}">
                          <a14:useLocalDpi xmlns:a14="http://schemas.microsoft.com/office/drawing/2010/main" val="0"/>
                        </a:ext>
                      </a:extLst>
                    </a:blip>
                    <a:srcRect t="7162" r="2897"/>
                    <a:stretch>
                      <a:fillRect/>
                    </a:stretch>
                  </pic:blipFill>
                  <pic:spPr>
                    <a:xfrm>
                      <a:off x="0" y="0"/>
                      <a:ext cx="5341268" cy="2175851"/>
                    </a:xfrm>
                    <a:prstGeom prst="rect">
                      <a:avLst/>
                    </a:prstGeom>
                    <a:noFill/>
                    <a:ln>
                      <a:noFill/>
                    </a:ln>
                  </pic:spPr>
                </pic:pic>
              </a:graphicData>
            </a:graphic>
          </wp:inline>
        </w:drawing>
      </w:r>
    </w:p>
    <w:p>
      <w:pPr>
        <w:pStyle w:val="49"/>
      </w:pPr>
      <w:r>
        <w:t>“十四五”目标下我国轨道交通固定资产投资完成额与每年新建营业里程测算</w:t>
      </w:r>
    </w:p>
    <w:p>
      <w:pPr>
        <w:pStyle w:val="51"/>
        <w:ind w:firstLine="560"/>
      </w:pPr>
      <w:r>
        <w:rPr>
          <w:rFonts w:hint="eastAsia"/>
        </w:rPr>
        <w:t>结合“十二五”“十三五”新增铁路、高铁运营里程均具有前低后高的特征，铁路投资建设周期较长使得后三年的实际交付量高</w:t>
      </w:r>
      <w:r>
        <w:t>于前两年，并且都实现了超额完成。尽管新建里程总量增幅不大，但是由于存量里程庞大的维护升级需求，叠加新增里程主要在修筑成本较高的中西部地区，2014—2019年间实际固定资产投资始终稳定在8000亿附近。疫情影响投资节奏，2023—2025年固定资产投资大概率回补至此前中枢。2020—2022年疫情期间，受到客流货流量回落，叠加疫情施工等难度较大，国内铁路固定资产投资罕见回落至7000亿附近，创近10年以来新低水</w:t>
      </w:r>
      <w:r>
        <w:rPr>
          <w:rFonts w:hint="eastAsia"/>
        </w:rPr>
        <w:t>平。考虑到“十四五”总目标不变，叠加“十四五”进入最后两年收</w:t>
      </w:r>
      <w:r>
        <w:t>官阶段，预计2024—2025年固定资产投资水平大概率回补至此前中枢8000亿附近水平，驱动行业投资同比保持稳健增长。</w:t>
      </w:r>
    </w:p>
    <w:p>
      <w:pPr>
        <w:pStyle w:val="51"/>
        <w:ind w:firstLine="560"/>
      </w:pPr>
      <w:r>
        <w:t>铁路投资额复苏将拉升轨道交通关键基础零部件需求。根据国家铁路局数据，铁路固定投资中，关键基础零部件占比约35%。预计2024—2025年内，总规模8000亿左右的铁路固定资产投资将给轨道交通关键基础零部件产业带来2800亿的新增需求，市场空间广阔。</w:t>
      </w:r>
    </w:p>
    <w:p>
      <w:pPr>
        <w:pStyle w:val="54"/>
      </w:pPr>
      <w:r>
        <w:rPr>
          <w:rFonts w:hint="eastAsia"/>
        </w:rPr>
        <w:drawing>
          <wp:inline distT="0" distB="0" distL="0" distR="0">
            <wp:extent cx="4657725" cy="2687320"/>
            <wp:effectExtent l="0" t="0" r="9525" b="17780"/>
            <wp:docPr id="9200393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54"/>
        <w:rPr>
          <w:rFonts w:cs="Times New Roman"/>
        </w:rPr>
      </w:pPr>
    </w:p>
    <w:p>
      <w:pPr>
        <w:pStyle w:val="49"/>
      </w:pPr>
      <w:r>
        <w:t>轨道交通固定投资各组成项占比</w:t>
      </w:r>
    </w:p>
    <w:p>
      <w:pPr>
        <w:pStyle w:val="51"/>
        <w:ind w:firstLine="560"/>
      </w:pPr>
      <w:r>
        <w:t>2．整车替换及后市场空间巨大，零部件更新替换周期向上</w:t>
      </w:r>
    </w:p>
    <w:p>
      <w:pPr>
        <w:pStyle w:val="51"/>
        <w:ind w:firstLine="560"/>
      </w:pPr>
      <w:r>
        <w:t>中国作为轨道交通大国，无论是高速铁路、重载铁路、城际铁路，还是城市轨道交通，总体规模和建设速度都处于世界第一的位置。轨道交通为我国经济发展、节能减排及新型城镇化建设奠定了坚实基础。受益于轨道交通建设，我国铁路机车、客车、货车数量稳步上升。2015—2023年，铁路机车、客车、货车数量分别由2.1万辆/6.8万辆/76.9万辆攀升至2.24万辆/7.4万辆/100.5万辆。</w:t>
      </w:r>
    </w:p>
    <w:p>
      <w:pPr>
        <w:pStyle w:val="54"/>
      </w:pPr>
      <w:r>
        <w:rPr>
          <w:rFonts w:hint="eastAsia"/>
        </w:rPr>
        <w:drawing>
          <wp:inline distT="0" distB="0" distL="0" distR="0">
            <wp:extent cx="5274310" cy="2385060"/>
            <wp:effectExtent l="0" t="0" r="2540" b="15240"/>
            <wp:docPr id="11757990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49"/>
      </w:pPr>
      <w:r>
        <w:t>2015—2023年中国铁路移动装备数量情况统计</w:t>
      </w:r>
    </w:p>
    <w:p>
      <w:pPr>
        <w:pStyle w:val="51"/>
        <w:ind w:firstLine="560"/>
      </w:pPr>
      <w:r>
        <w:t>对轨道交通关键基础零部件而言，动车组及地铁定期维保长期支撑更新替换需求。轨交装备零部件的维修替换周期小于列车全生命周期，列车运营期通常需要对不同零部件进行多次维保。</w:t>
      </w:r>
    </w:p>
    <w:p>
      <w:pPr>
        <w:pStyle w:val="50"/>
      </w:pPr>
      <w:r>
        <w:t>不同铁路轨道零部件维修替换周期统计</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08" w:type="dxa"/>
          <w:bottom w:w="0" w:type="dxa"/>
          <w:right w:w="108" w:type="dxa"/>
        </w:tblCellMar>
      </w:tblPr>
      <w:tblGrid>
        <w:gridCol w:w="1738"/>
        <w:gridCol w:w="1896"/>
        <w:gridCol w:w="2479"/>
        <w:gridCol w:w="2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blHeader/>
        </w:trPr>
        <w:tc>
          <w:tcPr>
            <w:tcW w:w="1020" w:type="pct"/>
            <w:vAlign w:val="center"/>
          </w:tcPr>
          <w:p>
            <w:pPr>
              <w:pStyle w:val="54"/>
              <w:rPr>
                <w:rFonts w:cs="Times New Roman"/>
              </w:rPr>
            </w:pPr>
            <w:r>
              <w:rPr>
                <w:rFonts w:cs="Times New Roman"/>
              </w:rPr>
              <w:t>产品系统分类</w:t>
            </w:r>
          </w:p>
        </w:tc>
        <w:tc>
          <w:tcPr>
            <w:tcW w:w="1112" w:type="pct"/>
            <w:vAlign w:val="center"/>
          </w:tcPr>
          <w:p>
            <w:pPr>
              <w:pStyle w:val="54"/>
              <w:rPr>
                <w:rFonts w:cs="Times New Roman"/>
              </w:rPr>
            </w:pPr>
            <w:r>
              <w:rPr>
                <w:rFonts w:cs="Times New Roman"/>
              </w:rPr>
              <w:t>产品名称</w:t>
            </w:r>
          </w:p>
        </w:tc>
        <w:tc>
          <w:tcPr>
            <w:tcW w:w="1454" w:type="pct"/>
            <w:vAlign w:val="center"/>
          </w:tcPr>
          <w:p>
            <w:pPr>
              <w:pStyle w:val="54"/>
              <w:rPr>
                <w:rFonts w:cs="Times New Roman"/>
              </w:rPr>
            </w:pPr>
            <w:r>
              <w:rPr>
                <w:rFonts w:cs="Times New Roman"/>
              </w:rPr>
              <w:t>铁路动车维修替换周期</w:t>
            </w:r>
          </w:p>
        </w:tc>
        <w:tc>
          <w:tcPr>
            <w:tcW w:w="1413" w:type="pct"/>
            <w:vAlign w:val="center"/>
          </w:tcPr>
          <w:p>
            <w:pPr>
              <w:pStyle w:val="54"/>
              <w:rPr>
                <w:rFonts w:cs="Times New Roman"/>
              </w:rPr>
            </w:pPr>
            <w:r>
              <w:rPr>
                <w:rFonts w:cs="Times New Roman"/>
              </w:rPr>
              <w:t>地铁车辆维修替换周期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restart"/>
            <w:shd w:val="clear" w:color="auto" w:fill="auto"/>
            <w:vAlign w:val="center"/>
          </w:tcPr>
          <w:p>
            <w:pPr>
              <w:pStyle w:val="54"/>
              <w:rPr>
                <w:rFonts w:cs="Times New Roman"/>
              </w:rPr>
            </w:pPr>
            <w:r>
              <w:rPr>
                <w:rFonts w:cs="Times New Roman"/>
              </w:rPr>
              <w:t>车身系统</w:t>
            </w:r>
          </w:p>
        </w:tc>
        <w:tc>
          <w:tcPr>
            <w:tcW w:w="1112" w:type="pct"/>
            <w:shd w:val="clear" w:color="auto" w:fill="auto"/>
            <w:vAlign w:val="center"/>
          </w:tcPr>
          <w:p>
            <w:pPr>
              <w:pStyle w:val="54"/>
              <w:rPr>
                <w:rFonts w:cs="Times New Roman"/>
              </w:rPr>
            </w:pPr>
            <w:r>
              <w:rPr>
                <w:rFonts w:cs="Times New Roman"/>
              </w:rPr>
              <w:t>门系统</w:t>
            </w:r>
          </w:p>
        </w:tc>
        <w:tc>
          <w:tcPr>
            <w:tcW w:w="1454" w:type="pct"/>
            <w:shd w:val="clear" w:color="auto" w:fill="auto"/>
            <w:vAlign w:val="center"/>
          </w:tcPr>
          <w:p>
            <w:pPr>
              <w:pStyle w:val="54"/>
              <w:rPr>
                <w:rFonts w:cs="Times New Roman"/>
              </w:rPr>
            </w:pPr>
            <w:r>
              <w:rPr>
                <w:rFonts w:cs="Times New Roman"/>
              </w:rPr>
              <w:t>每6-8年更新30%-40%</w:t>
            </w:r>
          </w:p>
        </w:tc>
        <w:tc>
          <w:tcPr>
            <w:tcW w:w="1413" w:type="pct"/>
            <w:shd w:val="clear" w:color="auto" w:fill="auto"/>
            <w:vAlign w:val="center"/>
          </w:tcPr>
          <w:p>
            <w:pPr>
              <w:pStyle w:val="54"/>
              <w:rPr>
                <w:rFonts w:cs="Times New Roman"/>
              </w:rPr>
            </w:pPr>
            <w:r>
              <w:rPr>
                <w:rFonts w:cs="Times New Roman"/>
              </w:rPr>
              <w:t>每5-8年更新30%-40%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空调</w:t>
            </w:r>
          </w:p>
        </w:tc>
        <w:tc>
          <w:tcPr>
            <w:tcW w:w="1454" w:type="pct"/>
            <w:shd w:val="clear" w:color="auto" w:fill="auto"/>
            <w:vAlign w:val="center"/>
          </w:tcPr>
          <w:p>
            <w:pPr>
              <w:pStyle w:val="54"/>
              <w:rPr>
                <w:rFonts w:cs="Times New Roman"/>
              </w:rPr>
            </w:pPr>
            <w:r>
              <w:rPr>
                <w:rFonts w:cs="Times New Roman"/>
              </w:rPr>
              <w:t>每5年维修一次</w:t>
            </w:r>
          </w:p>
        </w:tc>
        <w:tc>
          <w:tcPr>
            <w:tcW w:w="1413" w:type="pct"/>
            <w:shd w:val="clear" w:color="auto" w:fill="auto"/>
            <w:vAlign w:val="center"/>
          </w:tcPr>
          <w:p>
            <w:pPr>
              <w:pStyle w:val="54"/>
              <w:rPr>
                <w:rFonts w:cs="Times New Roman"/>
              </w:rPr>
            </w:pPr>
            <w:r>
              <w:rPr>
                <w:rFonts w:cs="Times New Roman"/>
              </w:rPr>
              <w:t>每3-5年维修一次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座椅</w:t>
            </w:r>
          </w:p>
        </w:tc>
        <w:tc>
          <w:tcPr>
            <w:tcW w:w="1454" w:type="pct"/>
            <w:shd w:val="clear" w:color="auto" w:fill="auto"/>
            <w:vAlign w:val="center"/>
          </w:tcPr>
          <w:p>
            <w:pPr>
              <w:pStyle w:val="54"/>
              <w:rPr>
                <w:rFonts w:cs="Times New Roman"/>
              </w:rPr>
            </w:pPr>
            <w:r>
              <w:rPr>
                <w:rFonts w:cs="Times New Roman"/>
              </w:rPr>
              <w:t>每5-7年维修</w:t>
            </w:r>
          </w:p>
        </w:tc>
        <w:tc>
          <w:tcPr>
            <w:tcW w:w="1413" w:type="pct"/>
            <w:shd w:val="clear" w:color="auto" w:fill="auto"/>
            <w:vAlign w:val="center"/>
          </w:tcPr>
          <w:p>
            <w:pPr>
              <w:pStyle w:val="54"/>
              <w:rPr>
                <w:rFonts w:cs="Times New Roman"/>
              </w:rPr>
            </w:pPr>
            <w:r>
              <w:rPr>
                <w:rFonts w:cs="Times New Roman"/>
              </w:rPr>
              <w:t>每5-7年维修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给水卫生系统</w:t>
            </w:r>
          </w:p>
        </w:tc>
        <w:tc>
          <w:tcPr>
            <w:tcW w:w="1454" w:type="pct"/>
            <w:shd w:val="clear" w:color="auto" w:fill="auto"/>
            <w:vAlign w:val="center"/>
          </w:tcPr>
          <w:p>
            <w:pPr>
              <w:pStyle w:val="54"/>
              <w:rPr>
                <w:rFonts w:cs="Times New Roman"/>
              </w:rPr>
            </w:pPr>
            <w:r>
              <w:rPr>
                <w:rFonts w:cs="Times New Roman"/>
              </w:rPr>
              <w:t>每6年更新20%</w:t>
            </w:r>
          </w:p>
        </w:tc>
        <w:tc>
          <w:tcPr>
            <w:tcW w:w="1413" w:type="pct"/>
            <w:shd w:val="clear" w:color="auto" w:fill="auto"/>
            <w:vAlign w:val="center"/>
          </w:tcPr>
          <w:p>
            <w:pPr>
              <w:pStyle w:val="54"/>
              <w:rPr>
                <w:rFonts w:cs="Times New Roman"/>
              </w:rPr>
            </w:pP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restart"/>
            <w:shd w:val="clear" w:color="auto" w:fill="auto"/>
            <w:vAlign w:val="center"/>
          </w:tcPr>
          <w:p>
            <w:pPr>
              <w:pStyle w:val="54"/>
              <w:rPr>
                <w:rFonts w:cs="Times New Roman"/>
              </w:rPr>
            </w:pPr>
            <w:r>
              <w:rPr>
                <w:rFonts w:cs="Times New Roman"/>
              </w:rPr>
              <w:t>电气系统</w:t>
            </w:r>
          </w:p>
        </w:tc>
        <w:tc>
          <w:tcPr>
            <w:tcW w:w="1112" w:type="pct"/>
            <w:shd w:val="clear" w:color="auto" w:fill="auto"/>
            <w:vAlign w:val="center"/>
          </w:tcPr>
          <w:p>
            <w:pPr>
              <w:pStyle w:val="54"/>
              <w:rPr>
                <w:rFonts w:cs="Times New Roman"/>
              </w:rPr>
            </w:pPr>
            <w:r>
              <w:rPr>
                <w:rFonts w:cs="Times New Roman"/>
              </w:rPr>
              <w:t>辅助电源</w:t>
            </w:r>
          </w:p>
        </w:tc>
        <w:tc>
          <w:tcPr>
            <w:tcW w:w="1454" w:type="pct"/>
            <w:shd w:val="clear" w:color="auto" w:fill="auto"/>
            <w:vAlign w:val="center"/>
          </w:tcPr>
          <w:p>
            <w:pPr>
              <w:pStyle w:val="54"/>
              <w:rPr>
                <w:rFonts w:cs="Times New Roman"/>
              </w:rPr>
            </w:pPr>
            <w:r>
              <w:rPr>
                <w:rFonts w:cs="Times New Roman"/>
              </w:rPr>
              <w:t>6年更换一次</w:t>
            </w:r>
          </w:p>
        </w:tc>
        <w:tc>
          <w:tcPr>
            <w:tcW w:w="1413" w:type="pct"/>
            <w:shd w:val="clear" w:color="auto" w:fill="auto"/>
            <w:vAlign w:val="center"/>
          </w:tcPr>
          <w:p>
            <w:pPr>
              <w:pStyle w:val="54"/>
              <w:rPr>
                <w:rFonts w:cs="Times New Roman"/>
              </w:rPr>
            </w:pPr>
            <w:r>
              <w:rPr>
                <w:rFonts w:cs="Times New Roman"/>
              </w:rPr>
              <w:t>10年以上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电缆</w:t>
            </w:r>
          </w:p>
        </w:tc>
        <w:tc>
          <w:tcPr>
            <w:tcW w:w="1454" w:type="pct"/>
            <w:shd w:val="clear" w:color="auto" w:fill="auto"/>
            <w:vAlign w:val="center"/>
          </w:tcPr>
          <w:p>
            <w:pPr>
              <w:pStyle w:val="54"/>
              <w:rPr>
                <w:rFonts w:cs="Times New Roman"/>
              </w:rPr>
            </w:pPr>
            <w:r>
              <w:rPr>
                <w:rFonts w:cs="Times New Roman"/>
              </w:rPr>
              <w:t>20年以上</w:t>
            </w:r>
          </w:p>
        </w:tc>
        <w:tc>
          <w:tcPr>
            <w:tcW w:w="1413" w:type="pct"/>
            <w:shd w:val="clear" w:color="auto" w:fill="auto"/>
            <w:vAlign w:val="center"/>
          </w:tcPr>
          <w:p>
            <w:pPr>
              <w:pStyle w:val="54"/>
              <w:rPr>
                <w:rFonts w:cs="Times New Roman"/>
              </w:rPr>
            </w:pPr>
            <w:r>
              <w:rPr>
                <w:rFonts w:cs="Times New Roman"/>
              </w:rPr>
              <w:t>20年以上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连接器</w:t>
            </w:r>
          </w:p>
        </w:tc>
        <w:tc>
          <w:tcPr>
            <w:tcW w:w="1454" w:type="pct"/>
            <w:shd w:val="clear" w:color="auto" w:fill="auto"/>
            <w:vAlign w:val="center"/>
          </w:tcPr>
          <w:p>
            <w:pPr>
              <w:pStyle w:val="54"/>
              <w:rPr>
                <w:rFonts w:cs="Times New Roman"/>
              </w:rPr>
            </w:pPr>
            <w:r>
              <w:rPr>
                <w:rFonts w:cs="Times New Roman"/>
              </w:rPr>
              <w:t>每6-8年更换一次</w:t>
            </w:r>
          </w:p>
        </w:tc>
        <w:tc>
          <w:tcPr>
            <w:tcW w:w="1413" w:type="pct"/>
            <w:shd w:val="clear" w:color="auto" w:fill="auto"/>
            <w:vAlign w:val="center"/>
          </w:tcPr>
          <w:p>
            <w:pPr>
              <w:pStyle w:val="54"/>
              <w:rPr>
                <w:rFonts w:cs="Times New Roman"/>
              </w:rPr>
            </w:pPr>
            <w:r>
              <w:rPr>
                <w:rFonts w:cs="Times New Roman"/>
              </w:rPr>
              <w:t>每8-10年更换一次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受电弓滑板</w:t>
            </w:r>
          </w:p>
        </w:tc>
        <w:tc>
          <w:tcPr>
            <w:tcW w:w="1454" w:type="pct"/>
            <w:shd w:val="clear" w:color="auto" w:fill="auto"/>
            <w:vAlign w:val="center"/>
          </w:tcPr>
          <w:p>
            <w:pPr>
              <w:pStyle w:val="54"/>
              <w:rPr>
                <w:rFonts w:cs="Times New Roman"/>
              </w:rPr>
            </w:pPr>
            <w:r>
              <w:rPr>
                <w:rFonts w:cs="Times New Roman"/>
              </w:rPr>
              <w:t>每1年换六次</w:t>
            </w:r>
          </w:p>
        </w:tc>
        <w:tc>
          <w:tcPr>
            <w:tcW w:w="1413" w:type="pct"/>
            <w:shd w:val="clear" w:color="auto" w:fill="auto"/>
            <w:vAlign w:val="center"/>
          </w:tcPr>
          <w:p>
            <w:pPr>
              <w:pStyle w:val="54"/>
              <w:rPr>
                <w:rFonts w:cs="Times New Roman"/>
              </w:rPr>
            </w:pPr>
            <w:r>
              <w:rPr>
                <w:rFonts w:cs="Times New Roman"/>
              </w:rPr>
              <w:t>每1年换四次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shd w:val="clear" w:color="auto" w:fill="auto"/>
            <w:vAlign w:val="center"/>
          </w:tcPr>
          <w:p>
            <w:pPr>
              <w:pStyle w:val="54"/>
              <w:rPr>
                <w:rFonts w:cs="Times New Roman"/>
              </w:rPr>
            </w:pPr>
            <w:r>
              <w:rPr>
                <w:rFonts w:cs="Times New Roman"/>
              </w:rPr>
              <w:t>牵引系统</w:t>
            </w:r>
          </w:p>
        </w:tc>
        <w:tc>
          <w:tcPr>
            <w:tcW w:w="1112" w:type="pct"/>
            <w:shd w:val="clear" w:color="auto" w:fill="auto"/>
            <w:vAlign w:val="center"/>
          </w:tcPr>
          <w:p>
            <w:pPr>
              <w:pStyle w:val="54"/>
              <w:rPr>
                <w:rFonts w:cs="Times New Roman"/>
              </w:rPr>
            </w:pPr>
            <w:r>
              <w:rPr>
                <w:rFonts w:cs="Times New Roman"/>
              </w:rPr>
              <w:t>牵引系统</w:t>
            </w:r>
          </w:p>
        </w:tc>
        <w:tc>
          <w:tcPr>
            <w:tcW w:w="1454" w:type="pct"/>
            <w:shd w:val="clear" w:color="auto" w:fill="auto"/>
            <w:vAlign w:val="center"/>
          </w:tcPr>
          <w:p>
            <w:pPr>
              <w:pStyle w:val="54"/>
              <w:rPr>
                <w:rFonts w:cs="Times New Roman"/>
              </w:rPr>
            </w:pPr>
            <w:r>
              <w:rPr>
                <w:rFonts w:cs="Times New Roman"/>
              </w:rPr>
              <w:t>每6年更换40%</w:t>
            </w:r>
          </w:p>
        </w:tc>
        <w:tc>
          <w:tcPr>
            <w:tcW w:w="1413" w:type="pct"/>
            <w:shd w:val="clear" w:color="auto" w:fill="auto"/>
            <w:vAlign w:val="center"/>
          </w:tcPr>
          <w:p>
            <w:pPr>
              <w:pStyle w:val="54"/>
              <w:rPr>
                <w:rFonts w:cs="Times New Roman"/>
              </w:rPr>
            </w:pPr>
            <w:r>
              <w:rPr>
                <w:rFonts w:cs="Times New Roman"/>
              </w:rPr>
              <w:t>每6年更换40%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shd w:val="clear" w:color="auto" w:fill="auto"/>
            <w:vAlign w:val="center"/>
          </w:tcPr>
          <w:p>
            <w:pPr>
              <w:pStyle w:val="54"/>
              <w:rPr>
                <w:rFonts w:cs="Times New Roman"/>
              </w:rPr>
            </w:pPr>
            <w:r>
              <w:rPr>
                <w:rFonts w:cs="Times New Roman"/>
              </w:rPr>
              <w:t>控制系统</w:t>
            </w:r>
          </w:p>
        </w:tc>
        <w:tc>
          <w:tcPr>
            <w:tcW w:w="1112" w:type="pct"/>
            <w:shd w:val="clear" w:color="auto" w:fill="auto"/>
            <w:vAlign w:val="center"/>
          </w:tcPr>
          <w:p>
            <w:pPr>
              <w:pStyle w:val="54"/>
              <w:rPr>
                <w:rFonts w:cs="Times New Roman"/>
              </w:rPr>
            </w:pPr>
            <w:r>
              <w:rPr>
                <w:rFonts w:cs="Times New Roman"/>
              </w:rPr>
              <w:t>列车控制系统</w:t>
            </w:r>
          </w:p>
        </w:tc>
        <w:tc>
          <w:tcPr>
            <w:tcW w:w="1454" w:type="pct"/>
            <w:shd w:val="clear" w:color="auto" w:fill="auto"/>
            <w:vAlign w:val="center"/>
          </w:tcPr>
          <w:p>
            <w:pPr>
              <w:pStyle w:val="54"/>
              <w:rPr>
                <w:rFonts w:cs="Times New Roman"/>
              </w:rPr>
            </w:pPr>
            <w:r>
              <w:rPr>
                <w:rFonts w:cs="Times New Roman"/>
              </w:rPr>
              <w:t>每8-10年更新升级</w:t>
            </w:r>
          </w:p>
        </w:tc>
        <w:tc>
          <w:tcPr>
            <w:tcW w:w="1413" w:type="pct"/>
            <w:shd w:val="clear" w:color="auto" w:fill="auto"/>
            <w:vAlign w:val="center"/>
          </w:tcPr>
          <w:p>
            <w:pPr>
              <w:pStyle w:val="54"/>
              <w:rPr>
                <w:rFonts w:cs="Times New Roman"/>
              </w:rPr>
            </w:pPr>
            <w:r>
              <w:rPr>
                <w:rFonts w:cs="Times New Roman"/>
              </w:rPr>
              <w:t>每8-10年更换升级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restart"/>
            <w:shd w:val="clear" w:color="auto" w:fill="auto"/>
            <w:vAlign w:val="center"/>
          </w:tcPr>
          <w:p>
            <w:pPr>
              <w:pStyle w:val="54"/>
              <w:rPr>
                <w:rFonts w:cs="Times New Roman"/>
              </w:rPr>
            </w:pPr>
            <w:r>
              <w:rPr>
                <w:rFonts w:cs="Times New Roman"/>
              </w:rPr>
              <w:t>转向系统</w:t>
            </w:r>
          </w:p>
        </w:tc>
        <w:tc>
          <w:tcPr>
            <w:tcW w:w="1112" w:type="pct"/>
            <w:shd w:val="clear" w:color="auto" w:fill="auto"/>
            <w:vAlign w:val="center"/>
          </w:tcPr>
          <w:p>
            <w:pPr>
              <w:pStyle w:val="54"/>
              <w:rPr>
                <w:rFonts w:cs="Times New Roman"/>
              </w:rPr>
            </w:pPr>
            <w:r>
              <w:rPr>
                <w:rFonts w:cs="Times New Roman"/>
              </w:rPr>
              <w:t>刹车片</w:t>
            </w:r>
          </w:p>
        </w:tc>
        <w:tc>
          <w:tcPr>
            <w:tcW w:w="1454" w:type="pct"/>
            <w:shd w:val="clear" w:color="auto" w:fill="auto"/>
            <w:vAlign w:val="center"/>
          </w:tcPr>
          <w:p>
            <w:pPr>
              <w:pStyle w:val="54"/>
              <w:rPr>
                <w:rFonts w:cs="Times New Roman"/>
              </w:rPr>
            </w:pPr>
            <w:r>
              <w:rPr>
                <w:rFonts w:cs="Times New Roman"/>
              </w:rPr>
              <w:t>每1年换2.5次</w:t>
            </w:r>
          </w:p>
        </w:tc>
        <w:tc>
          <w:tcPr>
            <w:tcW w:w="1413" w:type="pct"/>
            <w:shd w:val="clear" w:color="auto" w:fill="auto"/>
            <w:vAlign w:val="center"/>
          </w:tcPr>
          <w:p>
            <w:pPr>
              <w:pStyle w:val="54"/>
              <w:rPr>
                <w:rFonts w:cs="Times New Roman"/>
              </w:rPr>
            </w:pPr>
            <w:r>
              <w:rPr>
                <w:rFonts w:cs="Times New Roman"/>
              </w:rPr>
              <w:t>每1年换1.2次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车轴</w:t>
            </w:r>
          </w:p>
        </w:tc>
        <w:tc>
          <w:tcPr>
            <w:tcW w:w="1454" w:type="pct"/>
            <w:shd w:val="clear" w:color="auto" w:fill="auto"/>
            <w:vAlign w:val="center"/>
          </w:tcPr>
          <w:p>
            <w:pPr>
              <w:pStyle w:val="54"/>
              <w:rPr>
                <w:rFonts w:cs="Times New Roman"/>
              </w:rPr>
            </w:pPr>
            <w:r>
              <w:rPr>
                <w:rFonts w:cs="Times New Roman"/>
              </w:rPr>
              <w:t>8年更换一次</w:t>
            </w:r>
          </w:p>
        </w:tc>
        <w:tc>
          <w:tcPr>
            <w:tcW w:w="1413" w:type="pct"/>
            <w:shd w:val="clear" w:color="auto" w:fill="auto"/>
            <w:vAlign w:val="center"/>
          </w:tcPr>
          <w:p>
            <w:pPr>
              <w:pStyle w:val="54"/>
              <w:rPr>
                <w:rFonts w:cs="Times New Roman"/>
              </w:rPr>
            </w:pPr>
            <w:r>
              <w:rPr>
                <w:rFonts w:cs="Times New Roman"/>
              </w:rPr>
              <w:t>8更换一次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车轮</w:t>
            </w:r>
          </w:p>
        </w:tc>
        <w:tc>
          <w:tcPr>
            <w:tcW w:w="1454" w:type="pct"/>
            <w:shd w:val="clear" w:color="auto" w:fill="auto"/>
            <w:vAlign w:val="center"/>
          </w:tcPr>
          <w:p>
            <w:pPr>
              <w:pStyle w:val="54"/>
              <w:rPr>
                <w:rFonts w:cs="Times New Roman"/>
              </w:rPr>
            </w:pPr>
            <w:r>
              <w:rPr>
                <w:rFonts w:cs="Times New Roman"/>
              </w:rPr>
              <w:t>每2-3年更换一次</w:t>
            </w:r>
          </w:p>
        </w:tc>
        <w:tc>
          <w:tcPr>
            <w:tcW w:w="1413" w:type="pct"/>
            <w:shd w:val="clear" w:color="auto" w:fill="auto"/>
            <w:vAlign w:val="center"/>
          </w:tcPr>
          <w:p>
            <w:pPr>
              <w:pStyle w:val="54"/>
              <w:rPr>
                <w:rFonts w:cs="Times New Roman"/>
              </w:rPr>
            </w:pPr>
            <w:r>
              <w:rPr>
                <w:rFonts w:cs="Times New Roman"/>
              </w:rPr>
              <w:t>每4年更换一次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08" w:type="dxa"/>
            <w:bottom w:w="0" w:type="dxa"/>
            <w:right w:w="108" w:type="dxa"/>
          </w:tblCellMar>
        </w:tblPrEx>
        <w:trPr>
          <w:trHeight w:val="397" w:hRule="atLeast"/>
        </w:trPr>
        <w:tc>
          <w:tcPr>
            <w:tcW w:w="1020" w:type="pct"/>
            <w:vMerge w:val="continue"/>
            <w:vAlign w:val="center"/>
          </w:tcPr>
          <w:p>
            <w:pPr>
              <w:pStyle w:val="54"/>
              <w:rPr>
                <w:rFonts w:cs="Times New Roman"/>
              </w:rPr>
            </w:pPr>
          </w:p>
        </w:tc>
        <w:tc>
          <w:tcPr>
            <w:tcW w:w="1112" w:type="pct"/>
            <w:shd w:val="clear" w:color="auto" w:fill="auto"/>
            <w:vAlign w:val="center"/>
          </w:tcPr>
          <w:p>
            <w:pPr>
              <w:pStyle w:val="54"/>
              <w:rPr>
                <w:rFonts w:cs="Times New Roman"/>
              </w:rPr>
            </w:pPr>
            <w:r>
              <w:rPr>
                <w:rFonts w:cs="Times New Roman"/>
              </w:rPr>
              <w:t>齿轮箱</w:t>
            </w:r>
          </w:p>
        </w:tc>
        <w:tc>
          <w:tcPr>
            <w:tcW w:w="1454" w:type="pct"/>
            <w:shd w:val="clear" w:color="auto" w:fill="auto"/>
            <w:vAlign w:val="center"/>
          </w:tcPr>
          <w:p>
            <w:pPr>
              <w:pStyle w:val="54"/>
              <w:rPr>
                <w:rFonts w:cs="Times New Roman"/>
              </w:rPr>
            </w:pPr>
            <w:r>
              <w:rPr>
                <w:rFonts w:cs="Times New Roman"/>
              </w:rPr>
              <w:t>每5-7年维修一次</w:t>
            </w:r>
          </w:p>
        </w:tc>
        <w:tc>
          <w:tcPr>
            <w:tcW w:w="1413" w:type="pct"/>
            <w:shd w:val="clear" w:color="auto" w:fill="auto"/>
            <w:vAlign w:val="center"/>
          </w:tcPr>
          <w:p>
            <w:pPr>
              <w:pStyle w:val="54"/>
              <w:rPr>
                <w:rFonts w:cs="Times New Roman"/>
              </w:rPr>
            </w:pPr>
            <w:r>
              <w:rPr>
                <w:rFonts w:cs="Times New Roman"/>
              </w:rPr>
              <w:t>每5-7年维修一次</w:t>
            </w:r>
          </w:p>
        </w:tc>
      </w:tr>
    </w:tbl>
    <w:p>
      <w:pPr>
        <w:pStyle w:val="51"/>
        <w:ind w:firstLine="560"/>
      </w:pPr>
      <w:r>
        <w:t>受益于设备更新换代顶层政策扶持，轨道交通关键基础零部件进入新一轮集中替换期。我国动车组从2007年大规模交付，部分车辆从2019年开始已经进入高级修阶段，四、五级修密集维修阶段在2023—2030年，2022—2025年动车高级修市场规模每年平均达到200亿元以上，相较2018—2021年同比+118%。城轨交通也将步入后周期阶段，预计2025年维修市场规模超过700亿元，2025—2030年CAGR为3.68%。</w:t>
      </w:r>
    </w:p>
    <w:p>
      <w:pPr>
        <w:pStyle w:val="51"/>
        <w:ind w:firstLine="560"/>
      </w:pPr>
      <w:r>
        <w:t>湖南作为全国最大的轨道交通装备研发制造基地，集聚了中车株机、中车株洲所、中车电机、时代新材、联诚集团、九方装备等420余家骨干企业及配套企业，形成了上游设计、中游生产、</w:t>
      </w:r>
      <w:r>
        <w:rPr>
          <w:rFonts w:hint="eastAsia"/>
        </w:rPr>
        <w:t>下游服务的集“产品研发—生产制造—售后服务—物流配送”于一体的完整成熟产业链供应链，本地综合配套率超过85％。</w:t>
      </w:r>
      <w:r>
        <w:rPr>
          <w:rFonts w:hint="eastAsia"/>
          <w:b/>
          <w:bCs/>
        </w:rPr>
        <w:t>湖南</w:t>
      </w:r>
      <w:r>
        <w:rPr>
          <w:b/>
          <w:bCs/>
        </w:rPr>
        <w:t>省轨道交通产业的核心企业绝大多数</w:t>
      </w:r>
      <w:r>
        <w:rPr>
          <w:rFonts w:hint="eastAsia"/>
          <w:b/>
          <w:bCs/>
        </w:rPr>
        <w:t>是“中车系”国有</w:t>
      </w:r>
      <w:r>
        <w:rPr>
          <w:b/>
          <w:bCs/>
        </w:rPr>
        <w:t>龙头企业及其下属企业，中车株机、中车株所、中车株洲电机三大主机企业在牵引动力系统以及列车网络控制系统等核心零部件国内外市场占有率均居前列，但在铁路运输装备方面，通信系统、铁路信号系统方面短板明显；在城市轨道交通装备方面，株洲本地通信系统配套、综合监控系统配套竞争力较弱，自动售检票系统配套缺失。</w:t>
      </w:r>
      <w:r>
        <w:t>湖南省将充分发挥中车株机、中车株</w:t>
      </w:r>
      <w:r>
        <w:rPr>
          <w:rFonts w:hint="eastAsia"/>
        </w:rPr>
        <w:t>所链主企业牵引带动作用，持续强化国家先进制造业集群的磁吸效应，</w:t>
      </w:r>
      <w:r>
        <w:rPr>
          <w:rFonts w:hint="eastAsia"/>
          <w:b/>
          <w:bCs/>
        </w:rPr>
        <w:t>加速形成“整机带动部件”的发展格局。</w:t>
      </w:r>
    </w:p>
    <w:p>
      <w:pPr>
        <w:pStyle w:val="5"/>
      </w:pPr>
      <w:r>
        <w:rPr>
          <w:lang w:eastAsia="zh-CN"/>
        </w:rPr>
        <w:t>产业发展重点</w:t>
      </w:r>
    </w:p>
    <w:p>
      <w:pPr>
        <w:pStyle w:val="51"/>
        <w:ind w:firstLine="560"/>
      </w:pPr>
      <w:r>
        <w:t>面向中车株机、中车株洲所、中车株洲电机、中车株洲投资控股、时代新材、时代电动等省内轨道交通龙头企业需求，加大核心部件、关键系统的配套。</w:t>
      </w:r>
    </w:p>
    <w:p>
      <w:pPr>
        <w:pStyle w:val="51"/>
        <w:ind w:firstLine="562"/>
      </w:pPr>
      <w:r>
        <w:rPr>
          <w:b/>
          <w:bCs/>
          <w:lang w:bidi="zh-CN"/>
        </w:rPr>
        <w:t>核心部件。</w:t>
      </w:r>
      <w:r>
        <w:rPr>
          <w:lang w:bidi="zh-CN"/>
        </w:rPr>
        <w:t>依托紫荆铸业，进一步做大做强齿轮轮芯、高铁刹车制动盘、车钩、高铁用电机机壳、抱轴箱、脱轨条、铁路货车铸件等轨道交通零部件。</w:t>
      </w:r>
      <w:r>
        <w:t>加</w:t>
      </w:r>
      <w:r>
        <w:rPr>
          <w:lang w:bidi="zh-CN"/>
        </w:rPr>
        <w:t>大城轨、动车、高铁用轴承、轨道交通装备用联轴节、走行类的关键部件（弹性车轮、齿轮箱、抗侧滚装置、抗折弯系统等）、油压减振器、智能可偏转机车前照灯、弹性胶泥缓冲器、转向架、制动片、刹车片、自复位液磁断路器、直流高速断路器、磁浮列车悬浮控制器、磁浮列车导向控制器、轨道交通车辆用先进传感器等产品的企业引进力度。加强与桃江县电子信息产业链的联动发展，引入</w:t>
      </w:r>
      <w:r>
        <w:t>铁路运输装备CPU、DSP、FPGA、FLASH等关键芯片制造企业。</w:t>
      </w:r>
    </w:p>
    <w:p>
      <w:pPr>
        <w:pStyle w:val="51"/>
        <w:ind w:firstLine="562"/>
      </w:pPr>
      <w:r>
        <w:rPr>
          <w:b/>
          <w:bCs/>
          <w:lang w:bidi="zh-CN"/>
        </w:rPr>
        <w:t>关键系统。</w:t>
      </w:r>
      <w:r>
        <w:t>依托福德电气，进一步做强做大新能源动力电池充放电检测系统、机车能量回馈装置、轨道交通机车制动装置、特高压电阻器、特种电源等。</w:t>
      </w:r>
      <w:bookmarkStart w:id="46" w:name="_Hlk177983426"/>
      <w:r>
        <w:t>加大</w:t>
      </w:r>
      <w:r>
        <w:rPr>
          <w:lang w:bidi="zh-CN"/>
        </w:rPr>
        <w:t>再生制动能量吸收装置、</w:t>
      </w:r>
      <w:r>
        <w:t>城轨和动车组制动系统</w:t>
      </w:r>
      <w:bookmarkEnd w:id="46"/>
      <w:r>
        <w:t>、铁路运输装备控制系统用嵌入式操作系统、城市轨道交通空调系统、城市轨道交通列车广播及乘客信息显示系统</w:t>
      </w:r>
      <w:r>
        <w:rPr>
          <w:lang w:bidi="zh-CN"/>
        </w:rPr>
        <w:t>等</w:t>
      </w:r>
      <w:r>
        <w:t>产品的企业引进力度。</w:t>
      </w:r>
    </w:p>
    <w:p>
      <w:pPr>
        <w:pStyle w:val="4"/>
      </w:pPr>
      <w:r>
        <w:t>巩固发展工程机械关键基础零部件制造产业</w:t>
      </w:r>
    </w:p>
    <w:p>
      <w:pPr>
        <w:pStyle w:val="5"/>
      </w:pPr>
      <w:r>
        <w:t>市场分析</w:t>
      </w:r>
    </w:p>
    <w:p>
      <w:pPr>
        <w:pStyle w:val="51"/>
        <w:ind w:firstLine="560"/>
      </w:pPr>
      <w:r>
        <w:t>我国工程机械行业已经形成了完整的制造业体系，包括20大类、109组、450种机型、1090个系列、上万个型号的产品设备。我国已成为工程机械产品类别、产品品种最齐全的国家之一。受益于巨大的保有量以及日趋严格的环保政策下的设备更新需</w:t>
      </w:r>
      <w:r>
        <w:rPr>
          <w:rFonts w:hint="eastAsia"/>
        </w:rPr>
        <w:t>求、基础设施投资、重大工程建设以及劳动力替代的设备增量需求、海外基础设施建设以及“一带一路”计划推进的设备出口需求和行业自身多年来已经形成的成熟发展趋势，工程机械行业实现稳步发展。</w:t>
      </w:r>
    </w:p>
    <w:p>
      <w:pPr>
        <w:pStyle w:val="51"/>
        <w:ind w:firstLine="560"/>
      </w:pPr>
      <w:r>
        <w:t>根据《2022—2027年中国工程机械市场需求预测及发展趋势前瞻报告》（中商产业研究院），2022年国内工程机械行业处于下行调整期，叠加宏观经济增速放缓、工程有效开工率不足等因素影响，国内工程机械市场需求大幅减少，2022年工程机械营业收入降至8500亿元。在科技创新引领下，全行业改变了外延式增长的发展模式。2023年部分主要工程机械产品国内市场销量虽然降幅较大，但企业总体经营质量和经济效益保持稳定增长。</w:t>
      </w:r>
    </w:p>
    <w:p>
      <w:pPr>
        <w:pStyle w:val="51"/>
        <w:ind w:firstLine="560"/>
      </w:pPr>
      <w:r>
        <w:t>存量设备更新换代是工程机械行业的消费主力之一。2023年以来，各项宏观政策相互叠加将对经济增长持续提供支撑，国家增发一万亿元国债、降准降息、减税降费，以及发行超长期特别</w:t>
      </w:r>
      <w:r>
        <w:rPr>
          <w:rFonts w:hint="eastAsia"/>
        </w:rPr>
        <w:t>国债等政策效应将持续释放，新近出台的“推动大规模设备更新和消费品以旧换新”等增量政策和存量政策形成叠加等，将有力</w:t>
      </w:r>
      <w:r>
        <w:t>推动工程机械行业复苏。据相关测算，2019年中国工程机械主要品种保有量已达886万台，有大概两百多万台老旧设备需要淘汰，这为新机销售提供了广阔的市场空间，可大大拉动行业需求。</w:t>
      </w:r>
    </w:p>
    <w:p>
      <w:pPr>
        <w:pStyle w:val="51"/>
        <w:ind w:firstLine="560"/>
        <w:rPr>
          <w:b/>
          <w:bCs/>
        </w:rPr>
      </w:pPr>
      <w:r>
        <w:rPr>
          <w:rFonts w:hint="eastAsia"/>
        </w:rPr>
        <w:t>此外，自“一带一路”倡议提出以来，部分工程机械企业海外</w:t>
      </w:r>
      <w:r>
        <w:t>出口的70%以上</w:t>
      </w:r>
      <w:r>
        <w:rPr>
          <w:rFonts w:hint="eastAsia"/>
        </w:rPr>
        <w:t>来自“一带一路”沿线市场，为企业顺利实现转型升级，更好地参与国际竞争提供了舞台。以徐工集团、三一重工、中联重科等为代表的先进装备制造业龙头企业，已在“一带一路”沿线国家和地区建立了较为完善的</w:t>
      </w:r>
      <w:r>
        <w:t>营销网络。</w:t>
      </w:r>
      <w:r>
        <w:rPr>
          <w:b/>
          <w:bCs/>
        </w:rPr>
        <w:t>预计未来10年</w:t>
      </w:r>
      <w:r>
        <w:rPr>
          <w:rFonts w:hint="eastAsia"/>
          <w:b/>
          <w:bCs/>
        </w:rPr>
        <w:t>“一带一路”相关</w:t>
      </w:r>
      <w:r>
        <w:rPr>
          <w:b/>
          <w:bCs/>
        </w:rPr>
        <w:t>重点国家基础设施建设至少需要8000亿美元，为我国工程机械企业全面开拓海外市场创造了新机遇。</w:t>
      </w:r>
    </w:p>
    <w:p>
      <w:pPr>
        <w:pStyle w:val="51"/>
        <w:ind w:firstLine="560"/>
      </w:pPr>
      <w:r>
        <w:t>根据《工程机</w:t>
      </w:r>
      <w:r>
        <w:rPr>
          <w:rFonts w:hint="eastAsia"/>
        </w:rPr>
        <w:t>械行业“十四五”规划》</w:t>
      </w:r>
      <w:r>
        <w:t>提出的发展目标，结合目前工程机械行业发展现状，2024年工程机械市场将逐步恢复，在2024—2028年增速将达到4%，预计2028年中国工程机械行业市场规模将超万亿元。</w:t>
      </w:r>
    </w:p>
    <w:p>
      <w:pPr>
        <w:pStyle w:val="54"/>
        <w:rPr>
          <w:rFonts w:cs="Times New Roman"/>
        </w:rPr>
      </w:pPr>
      <w:r>
        <w:rPr>
          <w:rFonts w:cs="Times New Roman"/>
        </w:rPr>
        <w:drawing>
          <wp:inline distT="0" distB="0" distL="0" distR="0">
            <wp:extent cx="5273040" cy="2889250"/>
            <wp:effectExtent l="0" t="0" r="3810" b="6350"/>
            <wp:docPr id="118341921"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1921" name="图片 6" descr="图表&#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t="7732" b="8705"/>
                    <a:stretch>
                      <a:fillRect/>
                    </a:stretch>
                  </pic:blipFill>
                  <pic:spPr>
                    <a:xfrm>
                      <a:off x="0" y="0"/>
                      <a:ext cx="5274310" cy="2890349"/>
                    </a:xfrm>
                    <a:prstGeom prst="rect">
                      <a:avLst/>
                    </a:prstGeom>
                    <a:noFill/>
                    <a:ln>
                      <a:noFill/>
                    </a:ln>
                  </pic:spPr>
                </pic:pic>
              </a:graphicData>
            </a:graphic>
          </wp:inline>
        </w:drawing>
      </w:r>
    </w:p>
    <w:p>
      <w:pPr>
        <w:pStyle w:val="54"/>
        <w:jc w:val="left"/>
        <w:rPr>
          <w:rFonts w:cs="Times New Roman"/>
        </w:rPr>
      </w:pPr>
      <w:r>
        <w:rPr>
          <w:rFonts w:cs="Times New Roman"/>
        </w:rPr>
        <w:t>资料来源：前瞻产业研究院</w:t>
      </w:r>
    </w:p>
    <w:p>
      <w:pPr>
        <w:pStyle w:val="49"/>
      </w:pPr>
      <w:r>
        <w:t>2021—2023年中国工程机械行业总营收情况</w:t>
      </w:r>
    </w:p>
    <w:p>
      <w:pPr>
        <w:pStyle w:val="51"/>
        <w:ind w:firstLine="560"/>
        <w:rPr>
          <w:b/>
          <w:bCs/>
        </w:rPr>
      </w:pPr>
      <w:r>
        <w:t>工程机械行业的快速发展、出口量不断增长以及进口代替的深化，将带动其上游关键基础零部件制造行业快速发展。根据相关研究，工程机械装备制造成本结构中，关键基础零部件占比约50%。</w:t>
      </w:r>
      <w:r>
        <w:rPr>
          <w:b/>
          <w:bCs/>
        </w:rPr>
        <w:t>预计2028年，工程机械行业超万亿元的市场规模将给工程机械关键基础零部件产业带来5000亿元的新增需求。</w:t>
      </w:r>
    </w:p>
    <w:p>
      <w:pPr>
        <w:pStyle w:val="54"/>
        <w:rPr>
          <w:rFonts w:cs="Times New Roman"/>
        </w:rPr>
      </w:pPr>
      <w:r>
        <w:rPr>
          <w:rFonts w:cs="Times New Roman"/>
        </w:rPr>
        <w:drawing>
          <wp:inline distT="0" distB="0" distL="0" distR="0">
            <wp:extent cx="5274310" cy="3305175"/>
            <wp:effectExtent l="0" t="0" r="2540" b="9525"/>
            <wp:docPr id="10413828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49"/>
      </w:pPr>
      <w:r>
        <w:t>工程机械装备制造成本结构占比</w:t>
      </w:r>
    </w:p>
    <w:p>
      <w:pPr>
        <w:pStyle w:val="51"/>
        <w:ind w:firstLine="560"/>
      </w:pPr>
      <w:r>
        <w:t>湖南作为全国最大的工程机械产业制造基地，拥有三一重工、中联重科、铁建重工、山河智能、星邦智能等5家全球工程机械行业前50强企业及超500家上下游配套企业，工程机械产业集群已成为仅次于美国伊利诺伊州、日本东京的第三大世界级工程机械产业集群。</w:t>
      </w:r>
    </w:p>
    <w:p>
      <w:pPr>
        <w:pStyle w:val="51"/>
        <w:ind w:firstLine="560"/>
      </w:pPr>
      <w:r>
        <w:t>2017年，工程机械产业链被纳入湖南省重点培育的20条工业新兴优势产业链</w:t>
      </w:r>
      <w:r>
        <w:rPr>
          <w:rFonts w:hint="eastAsia"/>
        </w:rPr>
        <w:t>中，长沙市组建产业链推进工作办公室，实施“强链、补链、延链”行动，提升本地零配套。</w:t>
      </w:r>
      <w:r>
        <w:rPr>
          <w:rFonts w:hint="eastAsia"/>
          <w:b/>
          <w:bCs/>
        </w:rPr>
        <w:t>针对“主机强、配套弱”的问题，</w:t>
      </w:r>
      <w:r>
        <w:rPr>
          <w:rFonts w:hint="eastAsia"/>
        </w:rPr>
        <w:t>长沙推动六大主机企业签订了《主配协同合作意向书》，成立工程机械产业集群供应商评价委员会，发布《工程机械产业集群供应商评价规则》团体标准，</w:t>
      </w:r>
      <w:r>
        <w:rPr>
          <w:rFonts w:hint="eastAsia"/>
          <w:b/>
          <w:bCs/>
        </w:rPr>
        <w:t>构建起“七维”“三级”评价体系，促进工程机械配套由“专属”供应链向“共享”供应链转变，为集群构建优质配套供应商的“蓄水池”。</w:t>
      </w:r>
    </w:p>
    <w:p>
      <w:pPr>
        <w:pStyle w:val="5"/>
      </w:pPr>
      <w:r>
        <w:t>产业发展重点</w:t>
      </w:r>
    </w:p>
    <w:p>
      <w:pPr>
        <w:pStyle w:val="51"/>
        <w:ind w:firstLine="560"/>
      </w:pPr>
      <w:r>
        <w:t>面向三一重工、中联重科、山河智能集团等省内工程机械龙头企业需求，进一步做大做强铸造件加工业，加大工程机械关键基础零部件的配套。</w:t>
      </w:r>
    </w:p>
    <w:p>
      <w:pPr>
        <w:pStyle w:val="51"/>
        <w:ind w:firstLine="562"/>
      </w:pPr>
      <w:r>
        <w:rPr>
          <w:b/>
          <w:bCs/>
        </w:rPr>
        <w:t>铸造件加工。</w:t>
      </w:r>
      <w:r>
        <w:t>依托新兴管件、金沙重工、紫荆铸业，面向新兴际化集团、湖南湘钢集团、湖南华菱涟钢集团、中国一重、中国二重、武钢、首钢、宝钢、中联重科、湘电股份、中国中车等，发展铸管、涉水铸件、冶金铸件、机床铸件，普通碳钢、中低合金钢、高合金钢、不锈钢等配套铸件等；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加快研发高效增材锻造、精密及超精密加工、超大型构件成形、复合材料构件制造、复杂铸件无模成形等先进工艺，推动基础锻造、铸造加工和制造工艺向精准化、绿色化、高效节能方向转型。</w:t>
      </w:r>
      <w:bookmarkStart w:id="47" w:name="_Hlk177983489"/>
    </w:p>
    <w:p>
      <w:pPr>
        <w:pStyle w:val="51"/>
        <w:ind w:firstLine="562"/>
      </w:pPr>
      <w:r>
        <w:rPr>
          <w:b/>
          <w:bCs/>
        </w:rPr>
        <w:t>工程机械关键基础零部件</w:t>
      </w:r>
      <w:bookmarkEnd w:id="47"/>
      <w:r>
        <w:t>。加大工程机械关键基础零部件企业培育与引进力度，培育发展</w:t>
      </w:r>
      <w:bookmarkStart w:id="48" w:name="_Hlk177983485"/>
      <w:r>
        <w:t>工程机械用动力电池、减速机、变速箱、发动机、液压泵、液压阀、液压马达、传动轴、承载能力13吨（湿式）或25吨（干式）以上车桥、压力传感器、盾构机用电机、隧道掘进机刀盘、电控高压共轨燃油喷射系统、6米以上超大直径主轴承、重载粉末冶金含油轴承</w:t>
      </w:r>
      <w:bookmarkEnd w:id="48"/>
      <w:r>
        <w:t>等工程机械关键基础零部件。</w:t>
      </w:r>
    </w:p>
    <w:bookmarkEnd w:id="45"/>
    <w:p>
      <w:pPr>
        <w:pStyle w:val="4"/>
      </w:pPr>
      <w:r>
        <w:t>做精做优重大成套设备及其他智能设备制造产业</w:t>
      </w:r>
    </w:p>
    <w:p>
      <w:pPr>
        <w:pStyle w:val="5"/>
        <w:rPr>
          <w:lang w:eastAsia="zh-CN"/>
        </w:rPr>
      </w:pPr>
      <w:r>
        <w:t>市场分析</w:t>
      </w:r>
    </w:p>
    <w:p>
      <w:pPr>
        <w:pStyle w:val="51"/>
        <w:ind w:firstLine="562"/>
        <w:rPr>
          <w:b/>
          <w:bCs/>
        </w:rPr>
      </w:pPr>
      <w:r>
        <w:rPr>
          <w:b/>
          <w:bCs/>
        </w:rPr>
        <w:t>1．防护防化设备</w:t>
      </w:r>
    </w:p>
    <w:p>
      <w:pPr>
        <w:pStyle w:val="51"/>
        <w:ind w:firstLine="560"/>
      </w:pPr>
      <w:r>
        <w:t>中国作为全球最大的人口国家之一，需要大规模的人防设备来保护公民生命和财产安全，如防火、应对自然灾害、反恐防暴等多个领域，随着城市化建设的不断推进，对人防设备的需求持续增加，2023年中国人防设备制造行业市场规模达344.2亿元，其中，防护设备占比高达78.35%，防化设备约占8.72%，报警及其他设备约占12.93%。</w:t>
      </w:r>
    </w:p>
    <w:p>
      <w:pPr>
        <w:pStyle w:val="51"/>
        <w:ind w:firstLine="562"/>
      </w:pPr>
      <w:r>
        <w:rPr>
          <w:b/>
          <w:bCs/>
        </w:rPr>
        <w:t>目前，国内人防设备制造行业内企业数量众多，市场竞争激烈，</w:t>
      </w:r>
      <w:r>
        <w:t>其中，规模较大的企业超过700家，如四川科志人防设备股份有限公司、国泰人防防护设备股份有限公司、上海众幸防护科技股份有限公司等，头部企业毛利率在25%—30%，中小企业毛利率水平在15%左右，人防设备行业整体毛利率水平在20%。</w:t>
      </w:r>
    </w:p>
    <w:p>
      <w:pPr>
        <w:pStyle w:val="51"/>
        <w:ind w:firstLine="560"/>
      </w:pPr>
      <w:r>
        <w:t>随着科技的进步，人防设备制造行业也在不断创新，引入了更智能化、自动化和联网化的产品，例如，智能火警报警系统、紧急疏散设备、生物识别技术等现代技术正逐渐应用于人防设备制造中，提高了设备的可靠性和效能，</w:t>
      </w:r>
      <w:r>
        <w:rPr>
          <w:b/>
          <w:bCs/>
        </w:rPr>
        <w:t>人防设备制造商需要关注技术创新、环保、国际市场、法规合规和新威胁，以适应未来的市场趋势。</w:t>
      </w:r>
    </w:p>
    <w:p>
      <w:pPr>
        <w:pStyle w:val="51"/>
        <w:ind w:firstLine="562"/>
        <w:rPr>
          <w:b/>
          <w:bCs/>
        </w:rPr>
      </w:pPr>
      <w:r>
        <w:rPr>
          <w:b/>
          <w:bCs/>
        </w:rPr>
        <w:t>2．炼油、化工生产专用设备</w:t>
      </w:r>
    </w:p>
    <w:p>
      <w:pPr>
        <w:pStyle w:val="51"/>
        <w:ind w:firstLine="560"/>
      </w:pPr>
      <w:r>
        <w:t>炼油化工生产专用设备产业自2005年起经历了持续近十年的两位数高速发展，2005—2014年的复合增长率达24.6%。2015年起进入行业调整期，2018年行业规模一度下跌至684亿元，较2015年的阶段性峰值累计下降了28%。2019年起逐步恢复增长，2023年炼油化工生产专用设备的营收超1000亿元，</w:t>
      </w:r>
      <w:r>
        <w:rPr>
          <w:b/>
          <w:bCs/>
        </w:rPr>
        <w:t>但随着全球大宗化学品低端产能的逐步过剩、终端消费量偏弱难以对炼油利润形成有效支撑，炼油、化工生产专用设备制造业的营收及利润增速可能变缓。</w:t>
      </w:r>
    </w:p>
    <w:p>
      <w:pPr>
        <w:pStyle w:val="54"/>
        <w:rPr>
          <w:rFonts w:cs="Times New Roman"/>
        </w:rPr>
      </w:pPr>
      <w:r>
        <w:rPr>
          <w:rFonts w:cs="Times New Roman"/>
        </w:rPr>
        <w:drawing>
          <wp:inline distT="0" distB="0" distL="0" distR="0">
            <wp:extent cx="5274310" cy="1449070"/>
            <wp:effectExtent l="0" t="0" r="2540" b="0"/>
            <wp:docPr id="976361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61434"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449070"/>
                    </a:xfrm>
                    <a:prstGeom prst="rect">
                      <a:avLst/>
                    </a:prstGeom>
                    <a:noFill/>
                    <a:ln>
                      <a:noFill/>
                    </a:ln>
                  </pic:spPr>
                </pic:pic>
              </a:graphicData>
            </a:graphic>
          </wp:inline>
        </w:drawing>
      </w:r>
    </w:p>
    <w:p>
      <w:pPr>
        <w:pStyle w:val="49"/>
      </w:pPr>
      <w:r>
        <w:t>炼油、化工生产专用设备营收及利润变化</w:t>
      </w:r>
    </w:p>
    <w:p>
      <w:pPr>
        <w:pStyle w:val="51"/>
        <w:ind w:firstLine="560"/>
      </w:pPr>
      <w:r>
        <w:t>近年来，尽管我国部分企业加大了技术研发投入，我国炼油化工设备行业技术水平有所上升，但由于我国炼油化工设备行业企业规模普遍较小，缺乏绝对的大型龙头型企业，目前的产业集中度总体偏低。我国炼化企业制造商众多，具备一定规模和技术优势的企业包括中国一重、天沃科技、兰石重装、蓝科高新、锦西化工机械集团、卓然股份、科新机电、杭氧股份、钢研高纳、茂名重力、宁波连通等。总体而言，</w:t>
      </w:r>
      <w:r>
        <w:rPr>
          <w:b/>
          <w:bCs/>
        </w:rPr>
        <w:t>国内炼化设备国产化率较高，在部分细分设备市场已经具备较强的竞争能力，但由于减碳压力和因市场导向转变造成的炼油加工能力过剩、产品需求变化、原油价格波动等因素，国内炼化专用设备整体需求呈现下降态势。</w:t>
      </w:r>
    </w:p>
    <w:p>
      <w:pPr>
        <w:pStyle w:val="51"/>
        <w:ind w:firstLine="562"/>
        <w:rPr>
          <w:b/>
          <w:bCs/>
        </w:rPr>
      </w:pPr>
      <w:r>
        <w:rPr>
          <w:b/>
          <w:bCs/>
        </w:rPr>
        <w:t>3．汽车零部件及配件制造</w:t>
      </w:r>
    </w:p>
    <w:p>
      <w:pPr>
        <w:pStyle w:val="51"/>
        <w:ind w:firstLine="560"/>
      </w:pPr>
      <w:r>
        <w:t>随着国内汽车零部件制造水平不断提升以及新能源汽车的发展，汽车零部件行业也得到了快速发展。中商产业研究院发布的《2024—2029年中国汽车零部件产业发展趋势及投资风险研究报告》显示，2022年汽车零部件制造业营收约为41953亿元，同比增长3.16%，2023年约为44086亿元。预计2024年汽车零部件制造业营收将进一步增长至46200亿元。</w:t>
      </w:r>
    </w:p>
    <w:p>
      <w:pPr>
        <w:pStyle w:val="54"/>
        <w:rPr>
          <w:rFonts w:cs="Times New Roman"/>
        </w:rPr>
      </w:pPr>
      <w:r>
        <w:rPr>
          <w:rFonts w:cs="Times New Roman"/>
        </w:rPr>
        <w:drawing>
          <wp:inline distT="0" distB="0" distL="0" distR="0">
            <wp:extent cx="5274310" cy="3076575"/>
            <wp:effectExtent l="0" t="0" r="2540" b="9525"/>
            <wp:docPr id="162589654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54"/>
        <w:jc w:val="left"/>
        <w:rPr>
          <w:rFonts w:cs="Times New Roman"/>
        </w:rPr>
      </w:pPr>
      <w:r>
        <w:rPr>
          <w:rFonts w:cs="Times New Roman"/>
        </w:rPr>
        <w:t>数据来源：中商产业研究院</w:t>
      </w:r>
    </w:p>
    <w:p>
      <w:pPr>
        <w:pStyle w:val="49"/>
      </w:pPr>
      <w:r>
        <w:t>2019—2024中国汽车零部件制造业营业收入预测趋势图</w:t>
      </w:r>
    </w:p>
    <w:p>
      <w:pPr>
        <w:pStyle w:val="51"/>
        <w:ind w:firstLine="560"/>
      </w:pPr>
      <w:r>
        <w:t>新能源产业作为是湖南确定的四大新兴产业之一。当前，湖南新能源汽车产能居全国第四，产量居全国第八。已有长沙比亚迪、北汽株洲、湘潭吉利、长沙广汽埃安、中车电动、天际汽车等12家新能源汽车整车生产企业，形成了新能源客车、乘用车、专用车同步发展的格局，拥有整车、电机电控、动力电池和电池材料全产业链。以长沙为例，作为长沙七大千亿级支柱产业之一，汽车及零部件制造近年来发展迅猛，但仍然面临着本地配套率比较低的问题，配套率只有29%。这一比例与上海、重庆、合肥等城市相比，还有较大差距。</w:t>
      </w:r>
    </w:p>
    <w:p>
      <w:pPr>
        <w:pStyle w:val="51"/>
        <w:ind w:firstLine="560"/>
      </w:pPr>
      <w:r>
        <w:t>近年来，</w:t>
      </w:r>
      <w:r>
        <w:rPr>
          <w:b/>
          <w:bCs/>
        </w:rPr>
        <w:t>湖南省陆续出台《关于加快汽车零部件产业发展的若干政策措施》《湖南省新能源汽车关键核心配套件清单》等文件，</w:t>
      </w:r>
      <w:r>
        <w:t>明确高位推动我省与比亚迪、吉利、北汽、上汽大众等在湘发展较好的企业总部深化合作，支持、引导头部企业在湘兴建新能源汽车零部件产业园。</w:t>
      </w:r>
      <w:r>
        <w:rPr>
          <w:b/>
          <w:bCs/>
        </w:rPr>
        <w:t>积极争取各整车企业打破集团壁垒，形成发展合力，推动重大配套产业项目招商和布局。</w:t>
      </w:r>
    </w:p>
    <w:p>
      <w:pPr>
        <w:pStyle w:val="5"/>
      </w:pPr>
      <w:r>
        <w:rPr>
          <w:lang w:eastAsia="zh-CN"/>
        </w:rPr>
        <w:t>产业发展重点</w:t>
      </w:r>
    </w:p>
    <w:p>
      <w:pPr>
        <w:pStyle w:val="51"/>
        <w:ind w:firstLine="560"/>
      </w:pPr>
      <w:r>
        <w:rPr>
          <w:rFonts w:hint="eastAsia"/>
        </w:rPr>
        <w:t>依托桃江县在炼油、化工生产专用设备、防护防化设备、汽车零部件及配件制造等领域已有产业基础，引导中小企业进行技术升级改造，做精做优核心业务，培育更多的企业走“专精特新”之路，助力企业发展壮大。</w:t>
      </w:r>
    </w:p>
    <w:p>
      <w:pPr>
        <w:pStyle w:val="51"/>
        <w:ind w:firstLine="562"/>
      </w:pPr>
      <w:r>
        <w:rPr>
          <w:b/>
          <w:bCs/>
        </w:rPr>
        <w:t>防护防化设备。</w:t>
      </w:r>
      <w:r>
        <w:t>以宙盾防化、鸿舜人防等人防专用设备生产企业为依托，拓展过滤吸收盘、人防门、防化服、人防密闭盒、人防防爆呼叫按钮、信号控制箱等防护防化产品，打造防护防化设备品牌产品，打造桃江防护设备精品工程。</w:t>
      </w:r>
    </w:p>
    <w:p>
      <w:pPr>
        <w:pStyle w:val="51"/>
        <w:ind w:firstLine="562"/>
      </w:pPr>
      <w:r>
        <w:rPr>
          <w:b/>
          <w:bCs/>
        </w:rPr>
        <w:t>炼油、化工生产专用设备。</w:t>
      </w:r>
      <w:r>
        <w:t>以红星机械、新兴机械等焦化生产专用设备为依托，培育发展球墨铸铁、蠕墨铸铁、耐热铸铁、灰口铸铁等各类铸钢铸造的大型焦化设备制造产品，为长株潭乃至全省工程机械、轨道交通、通用机械、能源等行业提供大型重工装备铸件配套服务。</w:t>
      </w:r>
      <w:bookmarkStart w:id="49" w:name="_Hlk181692734"/>
    </w:p>
    <w:bookmarkEnd w:id="49"/>
    <w:p>
      <w:pPr>
        <w:pStyle w:val="51"/>
        <w:ind w:firstLine="562"/>
      </w:pPr>
      <w:r>
        <w:rPr>
          <w:b/>
          <w:bCs/>
        </w:rPr>
        <w:t>汽车零部件及配件制造。</w:t>
      </w:r>
      <w:r>
        <w:t>以科惠汽配、博明英</w:t>
      </w:r>
      <w:r>
        <w:rPr>
          <w:rFonts w:hint="eastAsia"/>
        </w:rPr>
        <w:t>光学</w:t>
      </w:r>
      <w:r>
        <w:t>、天腾汽车等企业为依托，联合省内工程机械、汽车生产等企业，以及大专院校、科研机构，有效整合行业产学研各方资源，加快推进汽车零部件相关技术的产业化运用，开发</w:t>
      </w:r>
      <w:bookmarkStart w:id="50" w:name="_Hlk177983515"/>
      <w:r>
        <w:t>汽车空调管路、弹簧、紧固件、链轮链条、汽车玻璃、密封件、皮带、汽车蓄电池、轴承灯</w:t>
      </w:r>
      <w:bookmarkEnd w:id="50"/>
      <w:r>
        <w:t>等汽车通用零部件产品，提高高新区</w:t>
      </w:r>
      <w:bookmarkStart w:id="51" w:name="_Hlk177983528"/>
      <w:r>
        <w:t>专用车辆及汽车零部件产业</w:t>
      </w:r>
      <w:bookmarkEnd w:id="51"/>
      <w:r>
        <w:t>的创新驱动能力，为长株潭乃至省内汽车产业开展零部件配套，促进专用车辆及零部件产业健康发展。</w:t>
      </w:r>
    </w:p>
    <w:p>
      <w:pPr>
        <w:pStyle w:val="54"/>
        <w:rPr>
          <w:rFonts w:cs="Times New Roman"/>
        </w:rPr>
      </w:pPr>
      <w:r>
        <w:rPr>
          <w:rFonts w:cs="Times New Roman"/>
        </w:rPr>
        <w:object>
          <v:shape id="_x0000_i1025" o:spt="75" type="#_x0000_t75" style="height:230.4pt;width:413.2pt;" o:ole="t" filled="f" o:preferrelative="t" stroked="f" coordsize="21600,21600">
            <v:path/>
            <v:fill on="f" focussize="0,0"/>
            <v:stroke on="f" joinstyle="miter"/>
            <v:imagedata r:id="rId20" o:title=""/>
            <o:lock v:ext="edit" aspectratio="t"/>
            <w10:wrap type="none"/>
            <w10:anchorlock/>
          </v:shape>
          <o:OLEObject Type="Embed" ProgID="Visio.Drawing.15" ShapeID="_x0000_i1025" DrawAspect="Content" ObjectID="_1468075725" r:id="rId19">
            <o:LockedField>false</o:LockedField>
          </o:OLEObject>
        </w:object>
      </w:r>
    </w:p>
    <w:p>
      <w:pPr>
        <w:pStyle w:val="49"/>
      </w:pPr>
      <w:r>
        <w:t>桃江县先进装备制造业产业链全景</w:t>
      </w:r>
      <w:bookmarkStart w:id="52" w:name="_Toc170996531"/>
    </w:p>
    <w:p>
      <w:pPr>
        <w:pStyle w:val="3"/>
      </w:pPr>
      <w:bookmarkStart w:id="53" w:name="_Toc182908012"/>
      <w:r>
        <w:t>对外开放融入国内国际“双循环”</w:t>
      </w:r>
      <w:bookmarkEnd w:id="53"/>
    </w:p>
    <w:p>
      <w:pPr>
        <w:pStyle w:val="4"/>
      </w:pPr>
      <w:r>
        <w:t>积极融入省内市场</w:t>
      </w:r>
    </w:p>
    <w:p>
      <w:pPr>
        <w:pStyle w:val="51"/>
        <w:ind w:firstLine="560"/>
      </w:pPr>
      <w:r>
        <w:t>长沙、株洲等地区作为湖南省的先进装备制造业的主要承载地区，已形成了一定的品牌效应和市场影响力，</w:t>
      </w:r>
      <w:r>
        <w:rPr>
          <w:rFonts w:hint="eastAsia"/>
        </w:rPr>
        <w:t>经过</w:t>
      </w:r>
      <w:r>
        <w:t>多年的发展，长沙、株洲等地区吸引了一批先进装备制造零部件配套企业入驻，形成了较为完善的产业链条。《重点先进制造业省级配套产业园区布局发展方案》出台后，部分市县区已布局相关先进制造业配套产业园区。如：汨罗高新区与长沙经开区合作共建湖南工程机械配套产业园，是湖南省唯</w:t>
      </w:r>
      <w:r>
        <w:rPr>
          <w:rFonts w:hint="eastAsia"/>
        </w:rPr>
        <w:t>一正式实施，跨市州合作的“飞地”试点园区，已经吸引了包括三一重工、中联重科等龙头企业的入驻，形成了较强的产业集聚效应；天易经开区在毗邻株洲的东城区，依托柏屹产业园打造的湘潭天易轨道交通配套产业园，精准承接株洲轨道交通配套产业，已成为中国中车等轨道交通产业的特色配套园区；常德高新区围绕中联建起等龙头企业需求，建设工程机械配套产业园，打造装备制造产业产品园区半小时、省内两小时供给圈，实现集群式发展。</w:t>
      </w:r>
    </w:p>
    <w:p>
      <w:pPr>
        <w:pStyle w:val="50"/>
      </w:pPr>
      <w:r>
        <w:t>湖南省先进装备制造配套产业园</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709"/>
        <w:gridCol w:w="1274"/>
        <w:gridCol w:w="4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72" w:type="dxa"/>
            <w:vAlign w:val="center"/>
          </w:tcPr>
          <w:p>
            <w:pPr>
              <w:pStyle w:val="54"/>
              <w:rPr>
                <w:rFonts w:cs="Times New Roman"/>
              </w:rPr>
            </w:pPr>
            <w:r>
              <w:rPr>
                <w:rFonts w:cs="Times New Roman"/>
              </w:rPr>
              <w:t>产业类别</w:t>
            </w:r>
          </w:p>
        </w:tc>
        <w:tc>
          <w:tcPr>
            <w:tcW w:w="709" w:type="dxa"/>
            <w:vAlign w:val="center"/>
          </w:tcPr>
          <w:p>
            <w:pPr>
              <w:pStyle w:val="54"/>
              <w:rPr>
                <w:rFonts w:cs="Times New Roman"/>
              </w:rPr>
            </w:pPr>
            <w:r>
              <w:rPr>
                <w:rFonts w:cs="Times New Roman"/>
              </w:rPr>
              <w:t>所在地区</w:t>
            </w:r>
          </w:p>
        </w:tc>
        <w:tc>
          <w:tcPr>
            <w:tcW w:w="1274" w:type="dxa"/>
            <w:vAlign w:val="center"/>
          </w:tcPr>
          <w:p>
            <w:pPr>
              <w:pStyle w:val="54"/>
              <w:rPr>
                <w:rFonts w:cs="Times New Roman"/>
              </w:rPr>
            </w:pPr>
            <w:r>
              <w:rPr>
                <w:rFonts w:cs="Times New Roman"/>
              </w:rPr>
              <w:t>承载园区/企业名称</w:t>
            </w:r>
          </w:p>
        </w:tc>
        <w:tc>
          <w:tcPr>
            <w:tcW w:w="4321" w:type="dxa"/>
            <w:vAlign w:val="center"/>
          </w:tcPr>
          <w:p>
            <w:pPr>
              <w:pStyle w:val="54"/>
              <w:rPr>
                <w:rFonts w:cs="Times New Roman"/>
              </w:rPr>
            </w:pPr>
            <w:r>
              <w:rPr>
                <w:rFonts w:cs="Times New Roman"/>
              </w:rPr>
              <w:t>功能定位/主要产品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972" w:type="dxa"/>
            <w:vAlign w:val="center"/>
          </w:tcPr>
          <w:p>
            <w:pPr>
              <w:pStyle w:val="54"/>
              <w:rPr>
                <w:rFonts w:cs="Times New Roman"/>
              </w:rPr>
            </w:pPr>
            <w:r>
              <w:rPr>
                <w:rFonts w:cs="Times New Roman"/>
              </w:rPr>
              <w:t>株洲轨道交通配套产业园</w:t>
            </w:r>
          </w:p>
        </w:tc>
        <w:tc>
          <w:tcPr>
            <w:tcW w:w="709" w:type="dxa"/>
            <w:vAlign w:val="center"/>
          </w:tcPr>
          <w:p>
            <w:pPr>
              <w:pStyle w:val="54"/>
              <w:rPr>
                <w:rFonts w:cs="Times New Roman"/>
              </w:rPr>
            </w:pPr>
            <w:r>
              <w:rPr>
                <w:rFonts w:cs="Times New Roman"/>
              </w:rPr>
              <w:t>株洲</w:t>
            </w:r>
          </w:p>
        </w:tc>
        <w:tc>
          <w:tcPr>
            <w:tcW w:w="1274" w:type="dxa"/>
            <w:vAlign w:val="center"/>
          </w:tcPr>
          <w:p>
            <w:pPr>
              <w:pStyle w:val="54"/>
              <w:rPr>
                <w:rFonts w:cs="Times New Roman"/>
              </w:rPr>
            </w:pPr>
            <w:r>
              <w:rPr>
                <w:rFonts w:cs="Times New Roman"/>
              </w:rPr>
              <w:t>株洲高新区</w:t>
            </w:r>
          </w:p>
        </w:tc>
        <w:tc>
          <w:tcPr>
            <w:tcW w:w="4321" w:type="dxa"/>
            <w:vAlign w:val="center"/>
          </w:tcPr>
          <w:p>
            <w:pPr>
              <w:pStyle w:val="54"/>
              <w:jc w:val="both"/>
              <w:rPr>
                <w:rFonts w:cs="Times New Roman"/>
              </w:rPr>
            </w:pPr>
            <w:r>
              <w:rPr>
                <w:rFonts w:cs="Times New Roman"/>
              </w:rPr>
              <w:t>高速绿色经济铁路装备、智能铁路关键装备、智慧城轨交通装备、智能轨道交通配套装备，中国标准地铁、中国标准动车组、快捷货运平车、棚车和其他智能化、标准化城市轨道交通配套装备。大力研发轻量化高效节能牵引传动、智能维护修养、智能列车控制技术，进一步突破高速齿轮箱、轴承、大功率半导体等基础零部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72" w:type="dxa"/>
            <w:vAlign w:val="center"/>
          </w:tcPr>
          <w:p>
            <w:pPr>
              <w:pStyle w:val="54"/>
              <w:rPr>
                <w:rFonts w:cs="Times New Roman"/>
              </w:rPr>
            </w:pPr>
            <w:r>
              <w:rPr>
                <w:rFonts w:cs="Times New Roman"/>
              </w:rPr>
              <w:t>天易轨道交通配套产业园</w:t>
            </w:r>
          </w:p>
        </w:tc>
        <w:tc>
          <w:tcPr>
            <w:tcW w:w="709" w:type="dxa"/>
            <w:vAlign w:val="center"/>
          </w:tcPr>
          <w:p>
            <w:pPr>
              <w:pStyle w:val="54"/>
              <w:rPr>
                <w:rFonts w:cs="Times New Roman"/>
              </w:rPr>
            </w:pPr>
            <w:r>
              <w:rPr>
                <w:rFonts w:cs="Times New Roman"/>
              </w:rPr>
              <w:t>湘潭</w:t>
            </w:r>
          </w:p>
        </w:tc>
        <w:tc>
          <w:tcPr>
            <w:tcW w:w="1274" w:type="dxa"/>
            <w:vAlign w:val="center"/>
          </w:tcPr>
          <w:p>
            <w:pPr>
              <w:pStyle w:val="54"/>
              <w:rPr>
                <w:rFonts w:cs="Times New Roman"/>
              </w:rPr>
            </w:pPr>
            <w:r>
              <w:rPr>
                <w:rFonts w:cs="Times New Roman"/>
              </w:rPr>
              <w:t>天易经开区</w:t>
            </w:r>
          </w:p>
        </w:tc>
        <w:tc>
          <w:tcPr>
            <w:tcW w:w="4321" w:type="dxa"/>
            <w:vAlign w:val="center"/>
          </w:tcPr>
          <w:p>
            <w:pPr>
              <w:pStyle w:val="54"/>
              <w:jc w:val="both"/>
              <w:rPr>
                <w:rFonts w:cs="Times New Roman"/>
              </w:rPr>
            </w:pPr>
            <w:r>
              <w:rPr>
                <w:rFonts w:cs="Times New Roman"/>
              </w:rPr>
              <w:t>中国中车等轨道交通产业的特色配套园区。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972" w:type="dxa"/>
            <w:vAlign w:val="center"/>
          </w:tcPr>
          <w:p>
            <w:pPr>
              <w:pStyle w:val="54"/>
              <w:rPr>
                <w:rFonts w:cs="Times New Roman"/>
              </w:rPr>
            </w:pPr>
            <w:r>
              <w:rPr>
                <w:rFonts w:cs="Times New Roman"/>
              </w:rPr>
              <w:t>湖南工程机械配套产业园</w:t>
            </w:r>
          </w:p>
        </w:tc>
        <w:tc>
          <w:tcPr>
            <w:tcW w:w="709" w:type="dxa"/>
            <w:vAlign w:val="center"/>
          </w:tcPr>
          <w:p>
            <w:pPr>
              <w:pStyle w:val="54"/>
              <w:rPr>
                <w:rFonts w:cs="Times New Roman"/>
              </w:rPr>
            </w:pPr>
            <w:r>
              <w:rPr>
                <w:rFonts w:cs="Times New Roman"/>
              </w:rPr>
              <w:t>岳阳</w:t>
            </w:r>
          </w:p>
        </w:tc>
        <w:tc>
          <w:tcPr>
            <w:tcW w:w="1274" w:type="dxa"/>
            <w:vAlign w:val="center"/>
          </w:tcPr>
          <w:p>
            <w:pPr>
              <w:pStyle w:val="54"/>
              <w:rPr>
                <w:rFonts w:cs="Times New Roman"/>
              </w:rPr>
            </w:pPr>
            <w:r>
              <w:rPr>
                <w:rFonts w:cs="Times New Roman"/>
              </w:rPr>
              <w:t>汨罗高新区</w:t>
            </w:r>
          </w:p>
        </w:tc>
        <w:tc>
          <w:tcPr>
            <w:tcW w:w="4321" w:type="dxa"/>
            <w:vAlign w:val="center"/>
          </w:tcPr>
          <w:p>
            <w:pPr>
              <w:pStyle w:val="54"/>
              <w:jc w:val="both"/>
              <w:rPr>
                <w:rFonts w:cs="Times New Roman"/>
              </w:rPr>
            </w:pPr>
            <w:r>
              <w:rPr>
                <w:rFonts w:cs="Times New Roman"/>
              </w:rPr>
              <w:t>长沙经开区工程机械零部件配套产业。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72" w:type="dxa"/>
            <w:vAlign w:val="center"/>
          </w:tcPr>
          <w:p>
            <w:pPr>
              <w:pStyle w:val="54"/>
              <w:rPr>
                <w:rFonts w:cs="Times New Roman"/>
              </w:rPr>
            </w:pPr>
            <w:r>
              <w:rPr>
                <w:rFonts w:cs="Times New Roman"/>
              </w:rPr>
              <w:t>湘江新区工程机械配套产业园项目</w:t>
            </w:r>
          </w:p>
        </w:tc>
        <w:tc>
          <w:tcPr>
            <w:tcW w:w="709" w:type="dxa"/>
            <w:vAlign w:val="center"/>
          </w:tcPr>
          <w:p>
            <w:pPr>
              <w:pStyle w:val="54"/>
              <w:rPr>
                <w:rFonts w:cs="Times New Roman"/>
              </w:rPr>
            </w:pPr>
            <w:r>
              <w:rPr>
                <w:rFonts w:cs="Times New Roman"/>
              </w:rPr>
              <w:t>宁乡</w:t>
            </w:r>
          </w:p>
        </w:tc>
        <w:tc>
          <w:tcPr>
            <w:tcW w:w="1274" w:type="dxa"/>
            <w:vAlign w:val="center"/>
          </w:tcPr>
          <w:p>
            <w:pPr>
              <w:pStyle w:val="54"/>
              <w:rPr>
                <w:rFonts w:cs="Times New Roman"/>
              </w:rPr>
            </w:pPr>
            <w:r>
              <w:rPr>
                <w:rFonts w:cs="Times New Roman"/>
              </w:rPr>
              <w:t>宁乡高新区</w:t>
            </w:r>
          </w:p>
        </w:tc>
        <w:tc>
          <w:tcPr>
            <w:tcW w:w="4321" w:type="dxa"/>
            <w:vAlign w:val="center"/>
          </w:tcPr>
          <w:p>
            <w:pPr>
              <w:pStyle w:val="54"/>
              <w:jc w:val="both"/>
              <w:rPr>
                <w:rFonts w:cs="Times New Roman"/>
              </w:rPr>
            </w:pPr>
            <w:r>
              <w:rPr>
                <w:rFonts w:cs="Times New Roman"/>
              </w:rPr>
              <w:t>工程机械、智能装备等产业链条重点配套产业。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972" w:type="dxa"/>
            <w:vAlign w:val="center"/>
          </w:tcPr>
          <w:p>
            <w:pPr>
              <w:pStyle w:val="54"/>
              <w:rPr>
                <w:rFonts w:cs="Times New Roman"/>
              </w:rPr>
            </w:pPr>
            <w:r>
              <w:rPr>
                <w:rFonts w:cs="Times New Roman"/>
              </w:rPr>
              <w:t>常德高新区工程机械配套产业园</w:t>
            </w:r>
          </w:p>
        </w:tc>
        <w:tc>
          <w:tcPr>
            <w:tcW w:w="709" w:type="dxa"/>
            <w:vAlign w:val="center"/>
          </w:tcPr>
          <w:p>
            <w:pPr>
              <w:pStyle w:val="54"/>
              <w:rPr>
                <w:rFonts w:cs="Times New Roman"/>
              </w:rPr>
            </w:pPr>
            <w:r>
              <w:rPr>
                <w:rFonts w:cs="Times New Roman"/>
              </w:rPr>
              <w:t>常德</w:t>
            </w:r>
          </w:p>
        </w:tc>
        <w:tc>
          <w:tcPr>
            <w:tcW w:w="1274" w:type="dxa"/>
            <w:vAlign w:val="center"/>
          </w:tcPr>
          <w:p>
            <w:pPr>
              <w:pStyle w:val="54"/>
              <w:rPr>
                <w:rFonts w:cs="Times New Roman"/>
              </w:rPr>
            </w:pPr>
            <w:r>
              <w:rPr>
                <w:rFonts w:cs="Times New Roman"/>
              </w:rPr>
              <w:t>常德高新区</w:t>
            </w:r>
          </w:p>
        </w:tc>
        <w:tc>
          <w:tcPr>
            <w:tcW w:w="4321" w:type="dxa"/>
            <w:vAlign w:val="center"/>
          </w:tcPr>
          <w:p>
            <w:pPr>
              <w:pStyle w:val="54"/>
              <w:jc w:val="both"/>
              <w:rPr>
                <w:rFonts w:cs="Times New Roman"/>
              </w:rPr>
            </w:pPr>
            <w:r>
              <w:rPr>
                <w:rFonts w:cs="Times New Roman"/>
              </w:rPr>
              <w:t>围绕园区现有龙头企业湖南中联重科建筑起重机械有限责任公司建筑起重机终端产品，包括各种专用起重机、电动平车、高空作业车、起重运输设备、高科技起重机及起重机配件等，全力推进产业链配套。</w:t>
            </w:r>
          </w:p>
        </w:tc>
      </w:tr>
    </w:tbl>
    <w:p>
      <w:pPr>
        <w:pStyle w:val="51"/>
        <w:ind w:firstLine="560"/>
      </w:pPr>
      <w:r>
        <w:t>湖南省已有先进装备配套产业园的快速发展对于桃江县先</w:t>
      </w:r>
      <w:r>
        <w:rPr>
          <w:rFonts w:hint="eastAsia"/>
        </w:rPr>
        <w:t>进装备制造的发展构成了一定的威胁。然而，这种威胁也将促使桃江县先进装备制造产业不断提升自身的竞争力，加强技术创新和产业升级，以应对市场的变化和挑战。</w:t>
      </w:r>
    </w:p>
    <w:p>
      <w:pPr>
        <w:pStyle w:val="51"/>
        <w:ind w:firstLine="562"/>
      </w:pPr>
      <w:r>
        <w:rPr>
          <w:rFonts w:hint="eastAsia"/>
          <w:b/>
          <w:bCs/>
        </w:rPr>
        <w:t>桃江县需主动出击，推进“东接东融”工作，加强与长沙高新区、长沙经开区、株洲高新区等国家先进制造业产业集群承载园区对接合作，签订战略合作协议，</w:t>
      </w:r>
      <w:r>
        <w:rPr>
          <w:rFonts w:hint="eastAsia"/>
        </w:rPr>
        <w:t>积极对接长株潭地区的工程机械及轨道交通领域的领军企业，如三一重工、中联重科、山河智能，以及中车株机、中车株所、中车电机等，建立合作关系。主动对接强省会战略供需协作链，探索构建与长株潭都市圈合理分工的产业体系，形成“长株潭地区企业+桃江资源”“长株潭地区市场+桃江产品”“长株潭地区总部+桃江基地”“长株潭地区研发+桃江转化”的良性互动。</w:t>
      </w:r>
    </w:p>
    <w:p>
      <w:pPr>
        <w:pStyle w:val="4"/>
      </w:pPr>
      <w:r>
        <w:t>稳步</w:t>
      </w:r>
      <w:r>
        <w:rPr>
          <w:rFonts w:hint="eastAsia"/>
        </w:rPr>
        <w:t>对接</w:t>
      </w:r>
      <w:r>
        <w:t>国内市场</w:t>
      </w:r>
    </w:p>
    <w:p>
      <w:pPr>
        <w:pStyle w:val="51"/>
        <w:ind w:firstLine="560"/>
      </w:pPr>
      <w:r>
        <w:t>改革开放40年来，我国制造业经历了飞速发展，已经成为世界上工业体系最完备、工业产值与规模最大的国家。2023年，我国工业增加值39.9万亿元，占GDP的31.7%，制造业增加值占全球比重超过30%，连续14年位列全球第一，其中，先进装备制造业市场规模达到21.53亿元。</w:t>
      </w:r>
    </w:p>
    <w:p>
      <w:pPr>
        <w:pStyle w:val="51"/>
        <w:ind w:firstLine="560"/>
      </w:pPr>
      <w:r>
        <w:t>2022年11月，工信部公布45个国家先进制造业集群名单：新一代信息技术领域13个、</w:t>
      </w:r>
      <w:r>
        <w:rPr>
          <w:b/>
          <w:bCs/>
        </w:rPr>
        <w:t>高端装备领域13个、</w:t>
      </w:r>
      <w:r>
        <w:t>新材料领域7个、生物医药及高端医疗器械领域5个、消费品领域4个、新能源及智能网联汽车领域3个，覆盖了制造强国建设重点领域。</w:t>
      </w:r>
    </w:p>
    <w:p>
      <w:pPr>
        <w:pStyle w:val="51"/>
        <w:ind w:firstLine="560"/>
      </w:pPr>
    </w:p>
    <w:p>
      <w:pPr>
        <w:pStyle w:val="50"/>
      </w:pPr>
      <w:r>
        <w:t xml:space="preserve"> 国家先进制造业集群名单（高端装备领域）</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846"/>
        <w:gridCol w:w="56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623" w:type="pct"/>
            <w:shd w:val="clear" w:color="auto" w:fill="auto"/>
            <w:vAlign w:val="center"/>
          </w:tcPr>
          <w:p>
            <w:pPr>
              <w:pStyle w:val="54"/>
              <w:rPr>
                <w:rFonts w:cs="Times New Roman"/>
              </w:rPr>
            </w:pPr>
            <w:r>
              <w:rPr>
                <w:rFonts w:cs="Times New Roman"/>
              </w:rPr>
              <w:t>序号</w:t>
            </w:r>
          </w:p>
        </w:tc>
        <w:tc>
          <w:tcPr>
            <w:tcW w:w="1083" w:type="pct"/>
            <w:vAlign w:val="center"/>
          </w:tcPr>
          <w:p>
            <w:pPr>
              <w:pStyle w:val="54"/>
              <w:rPr>
                <w:rFonts w:cs="Times New Roman"/>
              </w:rPr>
            </w:pPr>
            <w:r>
              <w:rPr>
                <w:rFonts w:cs="Times New Roman"/>
              </w:rPr>
              <w:t>省份</w:t>
            </w:r>
          </w:p>
        </w:tc>
        <w:tc>
          <w:tcPr>
            <w:tcW w:w="3294" w:type="pct"/>
            <w:shd w:val="clear" w:color="auto" w:fill="auto"/>
            <w:vAlign w:val="center"/>
          </w:tcPr>
          <w:p>
            <w:pPr>
              <w:pStyle w:val="54"/>
              <w:rPr>
                <w:rFonts w:cs="Times New Roman"/>
              </w:rPr>
            </w:pPr>
            <w:r>
              <w:rPr>
                <w:rFonts w:cs="Times New Roman"/>
              </w:rPr>
              <w:t>集群名称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1</w:t>
            </w:r>
          </w:p>
        </w:tc>
        <w:tc>
          <w:tcPr>
            <w:tcW w:w="1083" w:type="pct"/>
            <w:vAlign w:val="center"/>
          </w:tcPr>
          <w:p>
            <w:pPr>
              <w:pStyle w:val="54"/>
              <w:rPr>
                <w:rFonts w:cs="Times New Roman"/>
              </w:rPr>
            </w:pPr>
            <w:r>
              <w:rPr>
                <w:rFonts w:cs="Times New Roman"/>
              </w:rPr>
              <w:t>江苏省</w:t>
            </w:r>
          </w:p>
        </w:tc>
        <w:tc>
          <w:tcPr>
            <w:tcW w:w="3294" w:type="pct"/>
            <w:shd w:val="clear" w:color="auto" w:fill="auto"/>
            <w:vAlign w:val="center"/>
          </w:tcPr>
          <w:p>
            <w:pPr>
              <w:pStyle w:val="54"/>
              <w:rPr>
                <w:rFonts w:cs="Times New Roman"/>
              </w:rPr>
            </w:pPr>
            <w:r>
              <w:rPr>
                <w:rFonts w:cs="Times New Roman"/>
              </w:rPr>
              <w:t>南京市新型电力（智能电网）装备集群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2</w:t>
            </w:r>
          </w:p>
        </w:tc>
        <w:tc>
          <w:tcPr>
            <w:tcW w:w="1083" w:type="pct"/>
            <w:vAlign w:val="center"/>
          </w:tcPr>
          <w:p>
            <w:pPr>
              <w:pStyle w:val="54"/>
              <w:rPr>
                <w:rFonts w:cs="Times New Roman"/>
              </w:rPr>
            </w:pPr>
            <w:r>
              <w:rPr>
                <w:rFonts w:cs="Times New Roman"/>
              </w:rPr>
              <w:t>湖南省</w:t>
            </w:r>
          </w:p>
        </w:tc>
        <w:tc>
          <w:tcPr>
            <w:tcW w:w="3294" w:type="pct"/>
            <w:shd w:val="clear" w:color="auto" w:fill="auto"/>
            <w:vAlign w:val="center"/>
          </w:tcPr>
          <w:p>
            <w:pPr>
              <w:pStyle w:val="54"/>
              <w:rPr>
                <w:rFonts w:cs="Times New Roman"/>
              </w:rPr>
            </w:pPr>
            <w:r>
              <w:rPr>
                <w:rFonts w:cs="Times New Roman"/>
              </w:rPr>
              <w:t>株洲市轨道交通装备集群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3</w:t>
            </w:r>
          </w:p>
        </w:tc>
        <w:tc>
          <w:tcPr>
            <w:tcW w:w="1083" w:type="pct"/>
            <w:vAlign w:val="center"/>
          </w:tcPr>
          <w:p>
            <w:pPr>
              <w:pStyle w:val="54"/>
              <w:rPr>
                <w:rFonts w:cs="Times New Roman"/>
              </w:rPr>
            </w:pPr>
            <w:r>
              <w:rPr>
                <w:rFonts w:cs="Times New Roman"/>
              </w:rPr>
              <w:t>湖南省</w:t>
            </w:r>
          </w:p>
        </w:tc>
        <w:tc>
          <w:tcPr>
            <w:tcW w:w="3294" w:type="pct"/>
            <w:shd w:val="clear" w:color="auto" w:fill="auto"/>
            <w:vAlign w:val="center"/>
          </w:tcPr>
          <w:p>
            <w:pPr>
              <w:pStyle w:val="54"/>
              <w:rPr>
                <w:rFonts w:cs="Times New Roman"/>
              </w:rPr>
            </w:pPr>
            <w:r>
              <w:rPr>
                <w:rFonts w:cs="Times New Roman"/>
              </w:rPr>
              <w:t>长沙市工程机械集群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4</w:t>
            </w:r>
          </w:p>
        </w:tc>
        <w:tc>
          <w:tcPr>
            <w:tcW w:w="1083" w:type="pct"/>
            <w:vAlign w:val="center"/>
          </w:tcPr>
          <w:p>
            <w:pPr>
              <w:pStyle w:val="54"/>
              <w:rPr>
                <w:rFonts w:cs="Times New Roman"/>
              </w:rPr>
            </w:pPr>
            <w:r>
              <w:rPr>
                <w:rFonts w:cs="Times New Roman"/>
              </w:rPr>
              <w:t>江苏省</w:t>
            </w:r>
          </w:p>
        </w:tc>
        <w:tc>
          <w:tcPr>
            <w:tcW w:w="3294" w:type="pct"/>
            <w:shd w:val="clear" w:color="auto" w:fill="auto"/>
            <w:vAlign w:val="center"/>
          </w:tcPr>
          <w:p>
            <w:pPr>
              <w:pStyle w:val="54"/>
              <w:rPr>
                <w:rFonts w:cs="Times New Roman"/>
              </w:rPr>
            </w:pPr>
            <w:r>
              <w:rPr>
                <w:rFonts w:cs="Times New Roman"/>
              </w:rPr>
              <w:t>徐州市工程机械集群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5</w:t>
            </w:r>
          </w:p>
        </w:tc>
        <w:tc>
          <w:tcPr>
            <w:tcW w:w="1083" w:type="pct"/>
            <w:vAlign w:val="center"/>
          </w:tcPr>
          <w:p>
            <w:pPr>
              <w:pStyle w:val="54"/>
              <w:rPr>
                <w:rFonts w:cs="Times New Roman"/>
              </w:rPr>
            </w:pPr>
            <w:r>
              <w:rPr>
                <w:rFonts w:cs="Times New Roman"/>
              </w:rPr>
              <w:t>陕西省</w:t>
            </w:r>
          </w:p>
        </w:tc>
        <w:tc>
          <w:tcPr>
            <w:tcW w:w="3294" w:type="pct"/>
            <w:shd w:val="clear" w:color="auto" w:fill="auto"/>
            <w:vAlign w:val="center"/>
          </w:tcPr>
          <w:p>
            <w:pPr>
              <w:pStyle w:val="54"/>
              <w:rPr>
                <w:rFonts w:cs="Times New Roman"/>
              </w:rPr>
            </w:pPr>
            <w:r>
              <w:rPr>
                <w:rFonts w:cs="Times New Roman"/>
              </w:rPr>
              <w:t>西安市航空集群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6</w:t>
            </w:r>
          </w:p>
        </w:tc>
        <w:tc>
          <w:tcPr>
            <w:tcW w:w="1083" w:type="pct"/>
            <w:vAlign w:val="center"/>
          </w:tcPr>
          <w:p>
            <w:pPr>
              <w:pStyle w:val="54"/>
              <w:rPr>
                <w:rFonts w:cs="Times New Roman"/>
              </w:rPr>
            </w:pPr>
            <w:r>
              <w:rPr>
                <w:rFonts w:cs="Times New Roman"/>
              </w:rPr>
              <w:t>广东省</w:t>
            </w:r>
          </w:p>
        </w:tc>
        <w:tc>
          <w:tcPr>
            <w:tcW w:w="3294" w:type="pct"/>
            <w:shd w:val="clear" w:color="auto" w:fill="auto"/>
            <w:vAlign w:val="center"/>
          </w:tcPr>
          <w:p>
            <w:pPr>
              <w:pStyle w:val="54"/>
              <w:rPr>
                <w:rFonts w:cs="Times New Roman"/>
              </w:rPr>
            </w:pPr>
            <w:r>
              <w:rPr>
                <w:rFonts w:cs="Times New Roman"/>
              </w:rPr>
              <w:t>广州市、深圳市、佛山市、东莞市智能装备集群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7</w:t>
            </w:r>
          </w:p>
        </w:tc>
        <w:tc>
          <w:tcPr>
            <w:tcW w:w="1083" w:type="pct"/>
            <w:vAlign w:val="center"/>
          </w:tcPr>
          <w:p>
            <w:pPr>
              <w:pStyle w:val="54"/>
              <w:rPr>
                <w:rFonts w:cs="Times New Roman"/>
              </w:rPr>
            </w:pPr>
            <w:r>
              <w:rPr>
                <w:rFonts w:cs="Times New Roman"/>
              </w:rPr>
              <w:t>山东省</w:t>
            </w:r>
          </w:p>
        </w:tc>
        <w:tc>
          <w:tcPr>
            <w:tcW w:w="3294" w:type="pct"/>
            <w:shd w:val="clear" w:color="auto" w:fill="auto"/>
            <w:vAlign w:val="center"/>
          </w:tcPr>
          <w:p>
            <w:pPr>
              <w:pStyle w:val="54"/>
              <w:rPr>
                <w:rFonts w:cs="Times New Roman"/>
              </w:rPr>
            </w:pPr>
            <w:r>
              <w:rPr>
                <w:rFonts w:cs="Times New Roman"/>
              </w:rPr>
              <w:t>青岛市轨道交通装备集群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8</w:t>
            </w:r>
          </w:p>
        </w:tc>
        <w:tc>
          <w:tcPr>
            <w:tcW w:w="1083" w:type="pct"/>
            <w:vAlign w:val="center"/>
          </w:tcPr>
          <w:p>
            <w:pPr>
              <w:pStyle w:val="54"/>
              <w:rPr>
                <w:rFonts w:cs="Times New Roman"/>
              </w:rPr>
            </w:pPr>
            <w:r>
              <w:rPr>
                <w:rFonts w:cs="Times New Roman"/>
              </w:rPr>
              <w:t>四川省</w:t>
            </w:r>
          </w:p>
        </w:tc>
        <w:tc>
          <w:tcPr>
            <w:tcW w:w="3294" w:type="pct"/>
            <w:shd w:val="clear" w:color="auto" w:fill="auto"/>
            <w:vAlign w:val="center"/>
          </w:tcPr>
          <w:p>
            <w:pPr>
              <w:pStyle w:val="54"/>
              <w:rPr>
                <w:rFonts w:cs="Times New Roman"/>
              </w:rPr>
            </w:pPr>
            <w:r>
              <w:rPr>
                <w:rFonts w:cs="Times New Roman"/>
              </w:rPr>
              <w:t>成都市、德阳市高端能源装备集群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9</w:t>
            </w:r>
          </w:p>
        </w:tc>
        <w:tc>
          <w:tcPr>
            <w:tcW w:w="1083" w:type="pct"/>
            <w:vAlign w:val="center"/>
          </w:tcPr>
          <w:p>
            <w:pPr>
              <w:pStyle w:val="54"/>
              <w:rPr>
                <w:rFonts w:cs="Times New Roman"/>
              </w:rPr>
            </w:pPr>
            <w:r>
              <w:rPr>
                <w:rFonts w:cs="Times New Roman"/>
              </w:rPr>
              <w:t>湖南省</w:t>
            </w:r>
          </w:p>
        </w:tc>
        <w:tc>
          <w:tcPr>
            <w:tcW w:w="3294" w:type="pct"/>
            <w:shd w:val="clear" w:color="auto" w:fill="auto"/>
            <w:vAlign w:val="center"/>
          </w:tcPr>
          <w:p>
            <w:pPr>
              <w:pStyle w:val="54"/>
              <w:rPr>
                <w:rFonts w:cs="Times New Roman"/>
              </w:rPr>
            </w:pPr>
            <w:r>
              <w:rPr>
                <w:rFonts w:cs="Times New Roman"/>
              </w:rPr>
              <w:t>株洲市中小航空发动机集群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10</w:t>
            </w:r>
          </w:p>
        </w:tc>
        <w:tc>
          <w:tcPr>
            <w:tcW w:w="1083" w:type="pct"/>
            <w:vAlign w:val="center"/>
          </w:tcPr>
          <w:p>
            <w:pPr>
              <w:pStyle w:val="54"/>
              <w:rPr>
                <w:rFonts w:cs="Times New Roman"/>
              </w:rPr>
            </w:pPr>
            <w:r>
              <w:rPr>
                <w:rFonts w:cs="Times New Roman"/>
              </w:rPr>
              <w:t>江苏省</w:t>
            </w:r>
          </w:p>
        </w:tc>
        <w:tc>
          <w:tcPr>
            <w:tcW w:w="3294" w:type="pct"/>
            <w:shd w:val="clear" w:color="auto" w:fill="auto"/>
            <w:vAlign w:val="center"/>
          </w:tcPr>
          <w:p>
            <w:pPr>
              <w:pStyle w:val="54"/>
              <w:rPr>
                <w:rFonts w:cs="Times New Roman"/>
              </w:rPr>
            </w:pPr>
            <w:r>
              <w:rPr>
                <w:rFonts w:cs="Times New Roman"/>
              </w:rPr>
              <w:t>南通市、泰州市、扬州市海工装备和高技术船舶集群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11</w:t>
            </w:r>
          </w:p>
        </w:tc>
        <w:tc>
          <w:tcPr>
            <w:tcW w:w="1083" w:type="pct"/>
            <w:vAlign w:val="center"/>
          </w:tcPr>
          <w:p>
            <w:pPr>
              <w:pStyle w:val="54"/>
              <w:rPr>
                <w:rFonts w:cs="Times New Roman"/>
              </w:rPr>
            </w:pPr>
            <w:r>
              <w:rPr>
                <w:rFonts w:cs="Times New Roman"/>
              </w:rPr>
              <w:t>山东省</w:t>
            </w:r>
          </w:p>
        </w:tc>
        <w:tc>
          <w:tcPr>
            <w:tcW w:w="3294" w:type="pct"/>
            <w:shd w:val="clear" w:color="auto" w:fill="auto"/>
            <w:vAlign w:val="center"/>
          </w:tcPr>
          <w:p>
            <w:pPr>
              <w:pStyle w:val="54"/>
              <w:rPr>
                <w:rFonts w:cs="Times New Roman"/>
              </w:rPr>
            </w:pPr>
            <w:r>
              <w:rPr>
                <w:rFonts w:cs="Times New Roman"/>
              </w:rPr>
              <w:t>潍坊市动力装备集群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12</w:t>
            </w:r>
          </w:p>
        </w:tc>
        <w:tc>
          <w:tcPr>
            <w:tcW w:w="1083" w:type="pct"/>
            <w:vAlign w:val="center"/>
          </w:tcPr>
          <w:p>
            <w:pPr>
              <w:pStyle w:val="54"/>
              <w:rPr>
                <w:rFonts w:cs="Times New Roman"/>
              </w:rPr>
            </w:pPr>
            <w:r>
              <w:rPr>
                <w:rFonts w:cs="Times New Roman"/>
              </w:rPr>
              <w:t>河北省</w:t>
            </w:r>
          </w:p>
        </w:tc>
        <w:tc>
          <w:tcPr>
            <w:tcW w:w="3294" w:type="pct"/>
            <w:shd w:val="clear" w:color="auto" w:fill="auto"/>
            <w:vAlign w:val="center"/>
          </w:tcPr>
          <w:p>
            <w:pPr>
              <w:pStyle w:val="54"/>
              <w:rPr>
                <w:rFonts w:cs="Times New Roman"/>
              </w:rPr>
            </w:pPr>
            <w:r>
              <w:rPr>
                <w:rFonts w:cs="Times New Roman"/>
              </w:rPr>
              <w:t>保定市电力及新能源高端装备集群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3" w:type="pct"/>
            <w:shd w:val="clear" w:color="auto" w:fill="auto"/>
            <w:vAlign w:val="center"/>
          </w:tcPr>
          <w:p>
            <w:pPr>
              <w:pStyle w:val="54"/>
              <w:rPr>
                <w:rFonts w:cs="Times New Roman"/>
              </w:rPr>
            </w:pPr>
            <w:r>
              <w:rPr>
                <w:rFonts w:cs="Times New Roman"/>
              </w:rPr>
              <w:t>13</w:t>
            </w:r>
          </w:p>
        </w:tc>
        <w:tc>
          <w:tcPr>
            <w:tcW w:w="1083" w:type="pct"/>
            <w:vAlign w:val="center"/>
          </w:tcPr>
          <w:p>
            <w:pPr>
              <w:pStyle w:val="54"/>
              <w:rPr>
                <w:rFonts w:cs="Times New Roman"/>
              </w:rPr>
            </w:pPr>
            <w:r>
              <w:rPr>
                <w:rFonts w:cs="Times New Roman"/>
              </w:rPr>
              <w:t>辽宁省</w:t>
            </w:r>
          </w:p>
        </w:tc>
        <w:tc>
          <w:tcPr>
            <w:tcW w:w="3294" w:type="pct"/>
            <w:shd w:val="clear" w:color="auto" w:fill="auto"/>
            <w:vAlign w:val="center"/>
          </w:tcPr>
          <w:p>
            <w:pPr>
              <w:pStyle w:val="54"/>
              <w:rPr>
                <w:rFonts w:cs="Times New Roman"/>
              </w:rPr>
            </w:pPr>
            <w:r>
              <w:rPr>
                <w:rFonts w:cs="Times New Roman"/>
              </w:rPr>
              <w:t>沈阳市机器人及智能制造集群</w:t>
            </w:r>
          </w:p>
        </w:tc>
      </w:tr>
    </w:tbl>
    <w:p>
      <w:pPr>
        <w:pStyle w:val="51"/>
        <w:ind w:firstLine="560"/>
      </w:pPr>
      <w:r>
        <w:t>分区域看，我国</w:t>
      </w:r>
      <w:bookmarkStart w:id="54" w:name="_Hlk182487769"/>
      <w:r>
        <w:t>先进装备制造产业集群</w:t>
      </w:r>
      <w:bookmarkEnd w:id="54"/>
      <w:r>
        <w:t>主要集中在北京、河北、辽宁和山东等环渤海地区和以上海、江苏和浙江为核心的长三角两大集聚区，同时四川、陕西、湖南和山西等部分中西部地区以及以广东省为核心的珠三角地区的先进装备制造业也呈现快速发展态势。</w:t>
      </w:r>
    </w:p>
    <w:p>
      <w:pPr>
        <w:pStyle w:val="54"/>
        <w:rPr>
          <w:rFonts w:cs="Times New Roman"/>
          <w:color w:val="404040"/>
          <w:sz w:val="27"/>
          <w:szCs w:val="27"/>
        </w:rPr>
      </w:pPr>
      <w:r>
        <w:rPr>
          <w:rFonts w:cs="Times New Roman"/>
        </w:rPr>
        <w:drawing>
          <wp:inline distT="0" distB="0" distL="0" distR="0">
            <wp:extent cx="5253355" cy="3131185"/>
            <wp:effectExtent l="0" t="0" r="4445" b="0"/>
            <wp:docPr id="907903911"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911" name="图片 6" descr="地图&#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53355" cy="3131185"/>
                    </a:xfrm>
                    <a:prstGeom prst="rect">
                      <a:avLst/>
                    </a:prstGeom>
                    <a:noFill/>
                    <a:ln>
                      <a:noFill/>
                    </a:ln>
                  </pic:spPr>
                </pic:pic>
              </a:graphicData>
            </a:graphic>
          </wp:inline>
        </w:drawing>
      </w:r>
    </w:p>
    <w:p>
      <w:pPr>
        <w:pStyle w:val="49"/>
      </w:pPr>
      <w:r>
        <w:t>我国高端装备制造业空间格局</w:t>
      </w:r>
    </w:p>
    <w:p>
      <w:pPr>
        <w:pStyle w:val="50"/>
      </w:pPr>
      <w:r>
        <w:t xml:space="preserve"> 我国先进装备制造业主要集聚区发展重点及企业分布</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3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2263" w:type="dxa"/>
            <w:vAlign w:val="center"/>
          </w:tcPr>
          <w:p>
            <w:pPr>
              <w:pStyle w:val="54"/>
              <w:rPr>
                <w:rFonts w:cs="Times New Roman"/>
              </w:rPr>
            </w:pPr>
            <w:r>
              <w:rPr>
                <w:rFonts w:cs="Times New Roman"/>
              </w:rPr>
              <w:t>产业集聚区</w:t>
            </w:r>
          </w:p>
        </w:tc>
        <w:tc>
          <w:tcPr>
            <w:tcW w:w="2127" w:type="dxa"/>
            <w:vAlign w:val="center"/>
          </w:tcPr>
          <w:p>
            <w:pPr>
              <w:pStyle w:val="54"/>
              <w:rPr>
                <w:rFonts w:cs="Times New Roman"/>
              </w:rPr>
            </w:pPr>
            <w:r>
              <w:rPr>
                <w:rFonts w:cs="Times New Roman"/>
              </w:rPr>
              <w:t>发展重点</w:t>
            </w:r>
          </w:p>
        </w:tc>
        <w:tc>
          <w:tcPr>
            <w:tcW w:w="3906" w:type="dxa"/>
            <w:vAlign w:val="center"/>
          </w:tcPr>
          <w:p>
            <w:pPr>
              <w:pStyle w:val="54"/>
              <w:rPr>
                <w:rFonts w:cs="Times New Roman"/>
              </w:rPr>
            </w:pPr>
            <w:r>
              <w:rPr>
                <w:rFonts w:cs="Times New Roman"/>
              </w:rPr>
              <w:t>主要企业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63" w:type="dxa"/>
            <w:vAlign w:val="center"/>
          </w:tcPr>
          <w:p>
            <w:pPr>
              <w:pStyle w:val="54"/>
              <w:rPr>
                <w:rFonts w:cs="Times New Roman"/>
              </w:rPr>
            </w:pPr>
            <w:r>
              <w:rPr>
                <w:rFonts w:cs="Times New Roman"/>
              </w:rPr>
              <w:t>环渤海——国内重要的高端装备研发、设计和制造基地</w:t>
            </w:r>
          </w:p>
        </w:tc>
        <w:tc>
          <w:tcPr>
            <w:tcW w:w="2127" w:type="dxa"/>
            <w:vAlign w:val="center"/>
          </w:tcPr>
          <w:p>
            <w:pPr>
              <w:pStyle w:val="54"/>
              <w:rPr>
                <w:rFonts w:cs="Times New Roman"/>
              </w:rPr>
            </w:pPr>
            <w:r>
              <w:rPr>
                <w:rFonts w:cs="Times New Roman"/>
              </w:rPr>
              <w:t>航空装备、海洋工程装备、轨道交通装备、智能制造装备</w:t>
            </w:r>
          </w:p>
        </w:tc>
        <w:tc>
          <w:tcPr>
            <w:tcW w:w="3906" w:type="dxa"/>
            <w:vAlign w:val="center"/>
          </w:tcPr>
          <w:p>
            <w:pPr>
              <w:pStyle w:val="54"/>
              <w:rPr>
                <w:rFonts w:cs="Times New Roman"/>
              </w:rPr>
            </w:pPr>
            <w:r>
              <w:rPr>
                <w:rFonts w:cs="Times New Roman"/>
              </w:rPr>
              <w:t>大连船舶重工、大连中远船务、渤海重工沈阳新松、沈阳机床、华东数控、金沙数控、齐四机床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63" w:type="dxa"/>
            <w:vAlign w:val="center"/>
          </w:tcPr>
          <w:p>
            <w:pPr>
              <w:pStyle w:val="54"/>
              <w:rPr>
                <w:rFonts w:cs="Times New Roman"/>
              </w:rPr>
            </w:pPr>
            <w:r>
              <w:rPr>
                <w:rFonts w:cs="Times New Roman"/>
              </w:rPr>
              <w:t>长三角——国内重要的高端装备制造业开发和生产基地</w:t>
            </w:r>
          </w:p>
        </w:tc>
        <w:tc>
          <w:tcPr>
            <w:tcW w:w="2127" w:type="dxa"/>
            <w:vAlign w:val="center"/>
          </w:tcPr>
          <w:p>
            <w:pPr>
              <w:pStyle w:val="54"/>
              <w:rPr>
                <w:rFonts w:cs="Times New Roman"/>
              </w:rPr>
            </w:pPr>
            <w:r>
              <w:rPr>
                <w:rFonts w:cs="Times New Roman"/>
              </w:rPr>
              <w:t>智能制造装备、航空航天装备</w:t>
            </w:r>
          </w:p>
        </w:tc>
        <w:tc>
          <w:tcPr>
            <w:tcW w:w="3906" w:type="dxa"/>
            <w:vAlign w:val="center"/>
          </w:tcPr>
          <w:p>
            <w:pPr>
              <w:pStyle w:val="54"/>
              <w:rPr>
                <w:rFonts w:cs="Times New Roman"/>
              </w:rPr>
            </w:pPr>
            <w:r>
              <w:rPr>
                <w:rFonts w:cs="Times New Roman"/>
              </w:rPr>
              <w:t>615所、中国商飞、上海航天工业、中航三院、捷科彤明、航天龙梦、沪东中华、振华重工、熔盛重工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63" w:type="dxa"/>
            <w:vAlign w:val="center"/>
          </w:tcPr>
          <w:p>
            <w:pPr>
              <w:pStyle w:val="54"/>
              <w:rPr>
                <w:rFonts w:cs="Times New Roman"/>
              </w:rPr>
            </w:pPr>
            <w:r>
              <w:rPr>
                <w:rFonts w:cs="Times New Roman"/>
              </w:rPr>
              <w:t>中西部——国内重要的高端装备制造业生产基地</w:t>
            </w:r>
          </w:p>
        </w:tc>
        <w:tc>
          <w:tcPr>
            <w:tcW w:w="2127" w:type="dxa"/>
            <w:vAlign w:val="center"/>
          </w:tcPr>
          <w:p>
            <w:pPr>
              <w:pStyle w:val="54"/>
              <w:rPr>
                <w:rFonts w:cs="Times New Roman"/>
              </w:rPr>
            </w:pPr>
            <w:r>
              <w:rPr>
                <w:rFonts w:cs="Times New Roman"/>
              </w:rPr>
              <w:t>轨道交通装备、卫星制造与应用、智能制造装备</w:t>
            </w:r>
          </w:p>
        </w:tc>
        <w:tc>
          <w:tcPr>
            <w:tcW w:w="3906" w:type="dxa"/>
            <w:vAlign w:val="center"/>
          </w:tcPr>
          <w:p>
            <w:pPr>
              <w:pStyle w:val="54"/>
              <w:rPr>
                <w:rFonts w:cs="Times New Roman"/>
              </w:rPr>
            </w:pPr>
            <w:r>
              <w:rPr>
                <w:rFonts w:cs="Times New Roman"/>
              </w:rPr>
              <w:t>航天动力技术研究院、航天科技540所、西飞集团、宝钛集团、长泰机器人、华中数控、重庆机床、三一重工、中联重科、江西五机、博盈达数控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63" w:type="dxa"/>
            <w:vAlign w:val="center"/>
          </w:tcPr>
          <w:p>
            <w:pPr>
              <w:pStyle w:val="54"/>
              <w:rPr>
                <w:rFonts w:cs="Times New Roman"/>
              </w:rPr>
            </w:pPr>
            <w:r>
              <w:rPr>
                <w:rFonts w:cs="Times New Roman"/>
              </w:rPr>
              <w:t>珠三角——国内重要的高端装备制造业开发和生产基地</w:t>
            </w:r>
          </w:p>
        </w:tc>
        <w:tc>
          <w:tcPr>
            <w:tcW w:w="2127" w:type="dxa"/>
            <w:vAlign w:val="center"/>
          </w:tcPr>
          <w:p>
            <w:pPr>
              <w:pStyle w:val="54"/>
              <w:rPr>
                <w:rFonts w:cs="Times New Roman"/>
              </w:rPr>
            </w:pPr>
            <w:r>
              <w:rPr>
                <w:rFonts w:cs="Times New Roman"/>
              </w:rPr>
              <w:t>智能制造装备、海洋工程装备</w:t>
            </w:r>
          </w:p>
        </w:tc>
        <w:tc>
          <w:tcPr>
            <w:tcW w:w="3906" w:type="dxa"/>
            <w:vAlign w:val="center"/>
          </w:tcPr>
          <w:p>
            <w:pPr>
              <w:pStyle w:val="54"/>
              <w:rPr>
                <w:rFonts w:cs="Times New Roman"/>
              </w:rPr>
            </w:pPr>
            <w:r>
              <w:rPr>
                <w:rFonts w:cs="Times New Roman"/>
              </w:rPr>
              <w:t>中航通飞、西锐FBO、大疆创新、广船国际、招商局重工</w:t>
            </w:r>
          </w:p>
        </w:tc>
      </w:tr>
    </w:tbl>
    <w:p>
      <w:pPr>
        <w:pStyle w:val="51"/>
        <w:ind w:firstLine="560"/>
      </w:pPr>
      <w:r>
        <w:t>因此，</w:t>
      </w:r>
      <w:r>
        <w:rPr>
          <w:b/>
          <w:bCs/>
        </w:rPr>
        <w:t>桃江县可积极对接江苏、广东、山东、四川等省份的先进装备制造产业集群，深入了解这些地区龙头企业的产品需求、质量标准、采购流程等，针对性地调整和优化自身的产品和服务，以满足他们的特定需求。</w:t>
      </w:r>
      <w:r>
        <w:t>进一步巩固和深化与这些企业的合作，通过签订长期合作协议、设立专项合作基金、共建研发中心等方式，成为他们值得信赖的稳定供应商。此外，可依托产业转移对接会、投资贸易洽谈会、招商会、异地商会等，以湘商返湘作为产业转移切入点，加大招商引资力度，围绕产业重点发展方向，积极承接粤港澳大湾区、长三角地区的产业转移和资源输出。</w:t>
      </w:r>
    </w:p>
    <w:p>
      <w:pPr>
        <w:pStyle w:val="4"/>
      </w:pPr>
      <w:r>
        <w:t>有序</w:t>
      </w:r>
      <w:r>
        <w:rPr>
          <w:rFonts w:hint="eastAsia"/>
        </w:rPr>
        <w:t>拓展</w:t>
      </w:r>
      <w:r>
        <w:t>国际市场</w:t>
      </w:r>
    </w:p>
    <w:p>
      <w:pPr>
        <w:pStyle w:val="51"/>
        <w:ind w:firstLine="560"/>
      </w:pPr>
      <w:r>
        <w:t>得益于雄厚的行业实力，中国已与近160个国家和国际组织签署了200余份共</w:t>
      </w:r>
      <w:r>
        <w:rPr>
          <w:rFonts w:hint="eastAsia"/>
        </w:rPr>
        <w:t>建“一带一路”的合作协议，涵盖基础设施、产能、投资、经贸、金融、科技、社会等合作领域。“一带一路”为中国先进装备制造企业“走出去”搭建了重要平台，通过借船出海、海外并购、海外投资建厂等方式，让越来越多的先进装备制造企业走出国门，主动参与全球竞争。在国家战略的带动下，“一带一路”已成为中国先进装备制造的重要组成部</w:t>
      </w:r>
      <w:r>
        <w:t>分。2023年，我国装备制造业出口达到13.47万亿元，增长2.8%，占我国出口总值的比重提升到56.6%。</w:t>
      </w:r>
    </w:p>
    <w:p>
      <w:pPr>
        <w:pStyle w:val="51"/>
        <w:ind w:firstLine="560"/>
      </w:pPr>
      <w:r>
        <w:t>短期视角下，2023年</w:t>
      </w:r>
      <w:r>
        <w:rPr>
          <w:rFonts w:hint="eastAsia"/>
        </w:rPr>
        <w:t>是“一带一路”</w:t>
      </w:r>
      <w:r>
        <w:t>提出10周年，年初中国分别与菲律宾、土库曼斯坦签署了共建“一带一路”谅解备忘录，也与中东多国加深了能源、基建等方面的合作。随着后疫情时代外生冲击放缓及全球经济复苏，“一带一路”国家的基础设施发展指数已连续两年小幅回升，基建需求强劲复苏，预测2024年中东、北非地区的基建行业将同比增长5.0%，高于全球2.3%的同比增长率，领先于其他地区。从项目数量来看，未来中东、北非地区有大量在建和待建的基建项目，有望保持较为乐观的增速。我国凭借施工低成本优势与地缘政治关系优势，先进装备制造产业出口有望充分受益于“一带一路”沿线国家基建需求的强劲复苏趋势，为我国先进装备制造企业全面开拓海外市场创造了新机遇。</w:t>
      </w:r>
    </w:p>
    <w:p>
      <w:pPr>
        <w:pStyle w:val="51"/>
        <w:ind w:firstLine="560"/>
      </w:pPr>
      <w:r>
        <w:t>长期视角下，一带一路各国基建投资仍有巨大潜力。从一带一路各国基建占GDP的比例来看，大多数国家相比于中国6.8%的水平仍存在较大的提升空间，除不丹、越南、印度以外，其他亚洲“一带一路”国家基建投资占GDP比均不到5%。从</w:t>
      </w:r>
      <w:r>
        <w:rPr>
          <w:rFonts w:hint="eastAsia"/>
        </w:rPr>
        <w:t>“一带一路”国家基建投资率的变化趋势来看，近年来俄罗斯、捷克、匈牙利等国的基建投资率均开始呈现逐步复苏态势，“一带一路”国家基建投资未来仍存在巨大</w:t>
      </w:r>
      <w:r>
        <w:t>潜力，预计未来10</w:t>
      </w:r>
      <w:r>
        <w:rPr>
          <w:rFonts w:hint="eastAsia"/>
        </w:rPr>
        <w:t>年“一带一路”</w:t>
      </w:r>
      <w:r>
        <w:t>相关重点国家基础设施建设至少需要8000亿美元，国内先进装备远期出海存在高成长的可持续性。</w:t>
      </w:r>
    </w:p>
    <w:p>
      <w:pPr>
        <w:pStyle w:val="51"/>
        <w:ind w:firstLine="562"/>
        <w:rPr>
          <w:rFonts w:eastAsia="黑体"/>
          <w:kern w:val="44"/>
          <w:sz w:val="36"/>
          <w:szCs w:val="36"/>
          <w:lang w:val="en-GB"/>
        </w:rPr>
      </w:pPr>
      <w:r>
        <w:rPr>
          <w:b/>
          <w:bCs/>
        </w:rPr>
        <w:t>因此，桃江县可根据国际市场需求，调整和优化出口产品结构，提高高技术含量、高附加值产品的出口比重，增强先进装备制造重点零部件产品的国际竞争力。</w:t>
      </w:r>
      <w:r>
        <w:t>引导企业建立健全质量管理体系，提高产品质量控制水平，确保出口产品符合国际标准和客户要求。同时，支持企业申请国际认证和专利，保护自主知识产权，为产品出口提供有力保障。建立国际营销网络，支持企业在海外设立销售机构、分支机构或代理商，构建完善的国际营销网络，直接面向国际市场开展营销活动。</w:t>
      </w:r>
    </w:p>
    <w:p>
      <w:pPr>
        <w:pStyle w:val="3"/>
      </w:pPr>
      <w:bookmarkStart w:id="55" w:name="_Toc182908013"/>
      <w:r>
        <w:t>多措并举打好招商引资“组合拳”</w:t>
      </w:r>
      <w:bookmarkEnd w:id="55"/>
    </w:p>
    <w:p>
      <w:pPr>
        <w:pStyle w:val="4"/>
      </w:pPr>
      <w:r>
        <w:t>探索飞地招商</w:t>
      </w:r>
    </w:p>
    <w:p>
      <w:pPr>
        <w:pStyle w:val="51"/>
        <w:ind w:firstLine="560"/>
      </w:pPr>
      <w:r>
        <w:rPr>
          <w:rFonts w:hint="eastAsia"/>
        </w:rPr>
        <w:t>与长沙高新区、株洲高新区、长沙经开区等产业园区签订飞地招商合作协议，双方或多方共同出资，在桃江设立“飞地产业园”，利用长沙、株洲等地的技术、资金、人才优势，结合桃江的土地、资源及政策环境，吸引高新技术企业、先进制造业项目落户，实现优势互补、资源共享。可以将长沙高新区、株洲高新区、</w:t>
      </w:r>
      <w:r>
        <w:t>长沙经开区内的成熟企业或产业链上下游企业，根据发展需要向桃江飞地产业园有序转移，促进产业链上下游整合，提升桃江产业配套能力和竞争力。</w:t>
      </w:r>
    </w:p>
    <w:p>
      <w:pPr>
        <w:pStyle w:val="4"/>
      </w:pPr>
      <w:r>
        <w:t>强化产业链招商</w:t>
      </w:r>
    </w:p>
    <w:p>
      <w:pPr>
        <w:pStyle w:val="51"/>
        <w:ind w:firstLine="560"/>
      </w:pPr>
      <w:r>
        <w:t>加速完善装备制造本地配套产业链，围绕重点企业健全上下游产业链布局，打造产业集群、利益共生、模式创新、整体协同的装备制造产业生态链。依托已有产业优势，积极对接先进装备制造上下游配套企业，引进一批轨道交通关键基础零部件制造、工程机械关键基础零部件的研发生产企业等。</w:t>
      </w:r>
    </w:p>
    <w:p>
      <w:pPr>
        <w:pStyle w:val="50"/>
      </w:pPr>
      <w:r>
        <w:t>轨道交通关键基础零部件重点企业</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6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jc w:val="center"/>
        </w:trPr>
        <w:tc>
          <w:tcPr>
            <w:tcW w:w="1190" w:type="pct"/>
            <w:shd w:val="clear" w:color="auto" w:fill="auto"/>
            <w:vAlign w:val="center"/>
          </w:tcPr>
          <w:p>
            <w:pPr>
              <w:pStyle w:val="54"/>
              <w:rPr>
                <w:rFonts w:cs="Times New Roman"/>
                <w:b/>
                <w:bCs/>
              </w:rPr>
            </w:pPr>
            <w:r>
              <w:rPr>
                <w:rFonts w:cs="Times New Roman"/>
                <w:b/>
                <w:bCs/>
              </w:rPr>
              <w:t>细分领域</w:t>
            </w:r>
          </w:p>
        </w:tc>
        <w:tc>
          <w:tcPr>
            <w:tcW w:w="3810" w:type="pct"/>
            <w:shd w:val="clear" w:color="auto" w:fill="auto"/>
            <w:vAlign w:val="center"/>
          </w:tcPr>
          <w:p>
            <w:pPr>
              <w:pStyle w:val="54"/>
              <w:rPr>
                <w:rFonts w:cs="Times New Roman"/>
                <w:b/>
                <w:bCs/>
              </w:rPr>
            </w:pPr>
            <w:r>
              <w:rPr>
                <w:rFonts w:cs="Times New Roman"/>
                <w:b/>
                <w:bCs/>
                <w:lang w:bidi="ar"/>
              </w:rPr>
              <w:t>主要企业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lang w:bidi="zh-CN"/>
              </w:rPr>
              <w:t>城轨、动车、高铁用轴承</w:t>
            </w:r>
          </w:p>
        </w:tc>
        <w:tc>
          <w:tcPr>
            <w:tcW w:w="3810" w:type="pct"/>
            <w:shd w:val="clear" w:color="auto" w:fill="auto"/>
            <w:vAlign w:val="center"/>
          </w:tcPr>
          <w:p>
            <w:pPr>
              <w:pStyle w:val="54"/>
              <w:jc w:val="both"/>
              <w:rPr>
                <w:rFonts w:cs="Times New Roman"/>
              </w:rPr>
            </w:pPr>
            <w:r>
              <w:rPr>
                <w:rFonts w:cs="Times New Roman"/>
              </w:rPr>
              <w:t>瓦轴集团、哈尔滨轴承、SKF、NTN、NSK、FAG、NTN、川崎重工、舍弗勒等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轨道交通装备用联轴节</w:t>
            </w:r>
          </w:p>
        </w:tc>
        <w:tc>
          <w:tcPr>
            <w:tcW w:w="3810" w:type="pct"/>
            <w:shd w:val="clear" w:color="auto" w:fill="auto"/>
            <w:vAlign w:val="center"/>
          </w:tcPr>
          <w:p>
            <w:pPr>
              <w:pStyle w:val="54"/>
              <w:jc w:val="both"/>
              <w:rPr>
                <w:rFonts w:cs="Times New Roman"/>
              </w:rPr>
            </w:pPr>
            <w:r>
              <w:rPr>
                <w:rFonts w:cs="Times New Roman"/>
                <w:lang w:bidi="ar"/>
              </w:rPr>
              <w:t>晋西车轴、中国中车（CRRC）、法国阿尔斯通（Alstom）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走行类的关键部件（弹性车轮、齿轮箱、抗侧滚装置、抗折弯系统等）</w:t>
            </w:r>
          </w:p>
        </w:tc>
        <w:tc>
          <w:tcPr>
            <w:tcW w:w="3810" w:type="pct"/>
            <w:shd w:val="clear" w:color="auto" w:fill="auto"/>
            <w:vAlign w:val="center"/>
          </w:tcPr>
          <w:p>
            <w:pPr>
              <w:pStyle w:val="54"/>
              <w:jc w:val="both"/>
              <w:rPr>
                <w:rFonts w:cs="Times New Roman"/>
              </w:rPr>
            </w:pPr>
            <w:r>
              <w:rPr>
                <w:rFonts w:cs="Times New Roman"/>
                <w:lang w:bidi="ar"/>
              </w:rPr>
              <w:t>唐智科技、北京万高众业、中车戚墅堰机车车辆工艺研究所、博深股份、杭能轨道交通设备、美国西屋制动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油压减振器</w:t>
            </w:r>
          </w:p>
        </w:tc>
        <w:tc>
          <w:tcPr>
            <w:tcW w:w="3810" w:type="pct"/>
            <w:shd w:val="clear" w:color="auto" w:fill="auto"/>
            <w:vAlign w:val="center"/>
          </w:tcPr>
          <w:p>
            <w:pPr>
              <w:pStyle w:val="54"/>
              <w:jc w:val="both"/>
              <w:rPr>
                <w:rFonts w:cs="Times New Roman"/>
              </w:rPr>
            </w:pPr>
            <w:r>
              <w:rPr>
                <w:rFonts w:cs="Times New Roman"/>
                <w:lang w:bidi="ar"/>
              </w:rPr>
              <w:t>一汽东机工减振器有限公司、浙江正裕工业有限公司、南阳淅减汽车减振器有限公司、上海汇众萨克斯减振器有限公司、宁波南方减振器制造有限公司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智能可偏转机车前照灯</w:t>
            </w:r>
          </w:p>
        </w:tc>
        <w:tc>
          <w:tcPr>
            <w:tcW w:w="3810" w:type="pct"/>
            <w:shd w:val="clear" w:color="auto" w:fill="auto"/>
            <w:vAlign w:val="center"/>
          </w:tcPr>
          <w:p>
            <w:pPr>
              <w:pStyle w:val="54"/>
              <w:jc w:val="both"/>
              <w:rPr>
                <w:rFonts w:cs="Times New Roman"/>
              </w:rPr>
            </w:pPr>
            <w:r>
              <w:rPr>
                <w:rFonts w:cs="Times New Roman"/>
                <w:lang w:bidi="ar"/>
              </w:rPr>
              <w:t>常州星宇车灯股份有限公司、马瑞利汽车照明系统（佛山）有限公司、海拉（上海）管理有限公司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弹性胶泥缓冲器</w:t>
            </w:r>
          </w:p>
        </w:tc>
        <w:tc>
          <w:tcPr>
            <w:tcW w:w="3810" w:type="pct"/>
            <w:shd w:val="clear" w:color="auto" w:fill="auto"/>
            <w:vAlign w:val="center"/>
          </w:tcPr>
          <w:p>
            <w:pPr>
              <w:pStyle w:val="54"/>
              <w:jc w:val="both"/>
              <w:rPr>
                <w:rFonts w:cs="Times New Roman"/>
                <w:lang w:bidi="ar"/>
              </w:rPr>
            </w:pPr>
            <w:r>
              <w:rPr>
                <w:rFonts w:cs="Times New Roman"/>
                <w:lang w:bidi="ar"/>
              </w:rPr>
              <w:t>卡玛克斯缓冲装备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转向架</w:t>
            </w:r>
          </w:p>
        </w:tc>
        <w:tc>
          <w:tcPr>
            <w:tcW w:w="3810" w:type="pct"/>
            <w:shd w:val="clear" w:color="auto" w:fill="auto"/>
            <w:vAlign w:val="center"/>
          </w:tcPr>
          <w:p>
            <w:pPr>
              <w:pStyle w:val="54"/>
              <w:jc w:val="both"/>
              <w:rPr>
                <w:rFonts w:cs="Times New Roman"/>
                <w:lang w:bidi="ar"/>
              </w:rPr>
            </w:pPr>
            <w:r>
              <w:rPr>
                <w:rFonts w:cs="Times New Roman"/>
                <w:lang w:bidi="ar"/>
              </w:rPr>
              <w:t>中车四方、中车长客、中车浦镇、中车唐客、国外：西门子、庞巴迪、阿尔斯通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制动盘</w:t>
            </w:r>
          </w:p>
        </w:tc>
        <w:tc>
          <w:tcPr>
            <w:tcW w:w="3810" w:type="pct"/>
            <w:shd w:val="clear" w:color="auto" w:fill="auto"/>
            <w:vAlign w:val="center"/>
          </w:tcPr>
          <w:p>
            <w:pPr>
              <w:pStyle w:val="54"/>
              <w:jc w:val="both"/>
              <w:rPr>
                <w:rFonts w:cs="Times New Roman"/>
              </w:rPr>
            </w:pPr>
            <w:r>
              <w:rPr>
                <w:rFonts w:cs="Times New Roman"/>
              </w:rPr>
              <w:t>天宜上佳、纵横机电、北京蒲然、海纬机车、克诺尔、法维莱、西屋公司、川崎重工等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刹车片</w:t>
            </w:r>
          </w:p>
        </w:tc>
        <w:tc>
          <w:tcPr>
            <w:tcW w:w="3810" w:type="pct"/>
            <w:shd w:val="clear" w:color="auto" w:fill="auto"/>
            <w:vAlign w:val="center"/>
          </w:tcPr>
          <w:p>
            <w:pPr>
              <w:pStyle w:val="54"/>
              <w:jc w:val="both"/>
              <w:rPr>
                <w:rFonts w:cs="Times New Roman"/>
              </w:rPr>
            </w:pPr>
            <w:r>
              <w:rPr>
                <w:rFonts w:cs="Times New Roman"/>
              </w:rPr>
              <w:t>天宜上佳、北京蒲然、克诺尔、法维莱、西屋公司等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自复位液磁断路器</w:t>
            </w:r>
          </w:p>
        </w:tc>
        <w:tc>
          <w:tcPr>
            <w:tcW w:w="3810" w:type="pct"/>
            <w:shd w:val="clear" w:color="auto" w:fill="auto"/>
            <w:vAlign w:val="center"/>
          </w:tcPr>
          <w:p>
            <w:pPr>
              <w:pStyle w:val="54"/>
              <w:jc w:val="both"/>
              <w:rPr>
                <w:rFonts w:cs="Times New Roman"/>
              </w:rPr>
            </w:pPr>
            <w:r>
              <w:rPr>
                <w:rFonts w:cs="Times New Roman"/>
                <w:lang w:bidi="ar"/>
              </w:rPr>
              <w:t>株洲国创轨道科技有限公司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直流高速断路器</w:t>
            </w:r>
          </w:p>
        </w:tc>
        <w:tc>
          <w:tcPr>
            <w:tcW w:w="3810" w:type="pct"/>
            <w:shd w:val="clear" w:color="auto" w:fill="auto"/>
            <w:vAlign w:val="center"/>
          </w:tcPr>
          <w:p>
            <w:pPr>
              <w:pStyle w:val="54"/>
              <w:jc w:val="both"/>
              <w:rPr>
                <w:rFonts w:cs="Times New Roman"/>
              </w:rPr>
            </w:pPr>
            <w:r>
              <w:rPr>
                <w:rFonts w:cs="Times New Roman"/>
                <w:lang w:bidi="ar"/>
              </w:rPr>
              <w:t>西门子、阿尔斯通、施耐德电气、ABB、日立公司、三菱、伊顿、泰开集团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rPr>
              <w:t>磁浮列车悬浮控制器</w:t>
            </w:r>
          </w:p>
        </w:tc>
        <w:tc>
          <w:tcPr>
            <w:tcW w:w="3810" w:type="pct"/>
            <w:shd w:val="clear" w:color="auto" w:fill="auto"/>
            <w:vAlign w:val="center"/>
          </w:tcPr>
          <w:p>
            <w:pPr>
              <w:pStyle w:val="54"/>
              <w:jc w:val="both"/>
              <w:rPr>
                <w:rFonts w:cs="Times New Roman"/>
              </w:rPr>
            </w:pPr>
            <w:r>
              <w:rPr>
                <w:rFonts w:cs="Times New Roman"/>
                <w:lang w:bidi="ar"/>
              </w:rPr>
              <w:t>凌翔磁浮、日本HSST发展有限公司、韩国机械与材料研究院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磁浮列车导向控制器</w:t>
            </w:r>
          </w:p>
        </w:tc>
        <w:tc>
          <w:tcPr>
            <w:tcW w:w="3810" w:type="pct"/>
            <w:shd w:val="clear" w:color="auto" w:fill="auto"/>
            <w:vAlign w:val="center"/>
          </w:tcPr>
          <w:p>
            <w:pPr>
              <w:pStyle w:val="54"/>
              <w:jc w:val="both"/>
              <w:rPr>
                <w:rFonts w:cs="Times New Roman"/>
                <w:lang w:val="en-GB"/>
              </w:rPr>
            </w:pPr>
            <w:r>
              <w:rPr>
                <w:rFonts w:cs="Times New Roman"/>
              </w:rPr>
              <w:t>中国中车、四方股份、湖南凌翔、新筑股份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轨道交通车辆用先进传感器</w:t>
            </w:r>
          </w:p>
        </w:tc>
        <w:tc>
          <w:tcPr>
            <w:tcW w:w="3810" w:type="pct"/>
            <w:shd w:val="clear" w:color="auto" w:fill="auto"/>
            <w:vAlign w:val="center"/>
          </w:tcPr>
          <w:p>
            <w:pPr>
              <w:pStyle w:val="54"/>
              <w:jc w:val="both"/>
              <w:rPr>
                <w:rFonts w:cs="Times New Roman"/>
              </w:rPr>
            </w:pPr>
            <w:r>
              <w:rPr>
                <w:rFonts w:cs="Times New Roman"/>
                <w:lang w:bidi="ar"/>
              </w:rPr>
              <w:t>智芯微电子、无锡锡产微芯半导体、歌尔微电子、荣芯半导体、博世（Bosch）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CPU、DSP、FPGA、FLASH等关键芯片</w:t>
            </w:r>
          </w:p>
        </w:tc>
        <w:tc>
          <w:tcPr>
            <w:tcW w:w="3810" w:type="pct"/>
            <w:shd w:val="clear" w:color="auto" w:fill="auto"/>
            <w:vAlign w:val="center"/>
          </w:tcPr>
          <w:p>
            <w:pPr>
              <w:pStyle w:val="54"/>
              <w:jc w:val="both"/>
              <w:rPr>
                <w:rFonts w:cs="Times New Roman"/>
                <w:kern w:val="0"/>
              </w:rPr>
            </w:pPr>
            <w:r>
              <w:rPr>
                <w:rFonts w:cs="Times New Roman"/>
                <w:kern w:val="0"/>
              </w:rPr>
              <w:t>英特尔、德州仪器、恩智浦、亚德诺、赛灵思、美光、海力士、天津飞腾、龙芯中科、长城银河、紫光同创、紫光国芯等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lang w:bidi="zh-CN"/>
              </w:rPr>
            </w:pPr>
            <w:r>
              <w:rPr>
                <w:rFonts w:cs="Times New Roman"/>
                <w:lang w:bidi="zh-CN"/>
              </w:rPr>
              <w:t>再生制动能量吸收装置</w:t>
            </w:r>
          </w:p>
        </w:tc>
        <w:tc>
          <w:tcPr>
            <w:tcW w:w="3810" w:type="pct"/>
            <w:shd w:val="clear" w:color="auto" w:fill="auto"/>
            <w:vAlign w:val="center"/>
          </w:tcPr>
          <w:p>
            <w:pPr>
              <w:pStyle w:val="54"/>
              <w:jc w:val="both"/>
              <w:rPr>
                <w:rFonts w:cs="Times New Roman"/>
              </w:rPr>
            </w:pPr>
            <w:r>
              <w:rPr>
                <w:rFonts w:cs="Times New Roman"/>
                <w:lang w:bidi="ar"/>
              </w:rPr>
              <w:t>新风光电子科技股份有限公司、华天科技有限公司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城轨和动车组制动系统</w:t>
            </w:r>
          </w:p>
        </w:tc>
        <w:tc>
          <w:tcPr>
            <w:tcW w:w="3810" w:type="pct"/>
            <w:shd w:val="clear" w:color="auto" w:fill="auto"/>
            <w:vAlign w:val="center"/>
          </w:tcPr>
          <w:p>
            <w:pPr>
              <w:pStyle w:val="54"/>
              <w:jc w:val="both"/>
              <w:rPr>
                <w:rFonts w:cs="Times New Roman"/>
                <w:kern w:val="0"/>
              </w:rPr>
            </w:pPr>
            <w:r>
              <w:rPr>
                <w:rFonts w:cs="Times New Roman"/>
                <w:kern w:val="0"/>
              </w:rPr>
              <w:t>中车株机、中车株洲时代电气、中车制动、铁科院、华伍股份、北京纵横、浦镇海泰、南京亚派科、南瑞继保等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rPr>
                <w:rFonts w:cs="Times New Roman"/>
              </w:rPr>
            </w:pPr>
            <w:r>
              <w:rPr>
                <w:rFonts w:cs="Times New Roman"/>
              </w:rPr>
              <w:t>铁路运输装备</w:t>
            </w:r>
            <w:r>
              <w:rPr>
                <w:rFonts w:cs="Times New Roman"/>
                <w:szCs w:val="28"/>
              </w:rPr>
              <w:t>控制系统用嵌入式操作系统</w:t>
            </w:r>
          </w:p>
        </w:tc>
        <w:tc>
          <w:tcPr>
            <w:tcW w:w="3810" w:type="pct"/>
            <w:shd w:val="clear" w:color="auto" w:fill="auto"/>
            <w:vAlign w:val="center"/>
          </w:tcPr>
          <w:p>
            <w:pPr>
              <w:pStyle w:val="54"/>
              <w:jc w:val="both"/>
              <w:rPr>
                <w:rFonts w:cs="Times New Roman"/>
                <w:kern w:val="0"/>
              </w:rPr>
            </w:pPr>
            <w:r>
              <w:rPr>
                <w:rFonts w:cs="Times New Roman"/>
                <w:kern w:val="0"/>
              </w:rPr>
              <w:t>美国风河、华元创信、北京翼辉等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jc w:val="left"/>
              <w:rPr>
                <w:rFonts w:cs="Times New Roman"/>
                <w:kern w:val="0"/>
              </w:rPr>
            </w:pPr>
            <w:r>
              <w:rPr>
                <w:rFonts w:cs="Times New Roman"/>
                <w:kern w:val="0"/>
              </w:rPr>
              <w:t>城市轨道交通空调系统</w:t>
            </w:r>
          </w:p>
        </w:tc>
        <w:tc>
          <w:tcPr>
            <w:tcW w:w="3810" w:type="pct"/>
            <w:shd w:val="clear" w:color="auto" w:fill="auto"/>
            <w:vAlign w:val="center"/>
          </w:tcPr>
          <w:p>
            <w:pPr>
              <w:pStyle w:val="54"/>
              <w:jc w:val="both"/>
              <w:rPr>
                <w:rFonts w:cs="Times New Roman"/>
                <w:kern w:val="0"/>
              </w:rPr>
            </w:pPr>
            <w:r>
              <w:rPr>
                <w:rFonts w:cs="Times New Roman"/>
                <w:kern w:val="0"/>
              </w:rPr>
              <w:t>北京鼎汉、山东朗进、新誉集团、松芝股份、科泰企业、华铁股份、广州中车轨道交通空调、石家庄国祥、上海法维莱、常州美莱克等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90" w:type="pct"/>
            <w:shd w:val="clear" w:color="auto" w:fill="auto"/>
            <w:vAlign w:val="center"/>
          </w:tcPr>
          <w:p>
            <w:pPr>
              <w:pStyle w:val="54"/>
              <w:jc w:val="left"/>
              <w:rPr>
                <w:rFonts w:cs="Times New Roman"/>
                <w:kern w:val="0"/>
              </w:rPr>
            </w:pPr>
            <w:r>
              <w:rPr>
                <w:rFonts w:cs="Times New Roman"/>
                <w:kern w:val="0"/>
              </w:rPr>
              <w:t>城市轨道交通列车广播及乘客信息显示系统</w:t>
            </w:r>
          </w:p>
        </w:tc>
        <w:tc>
          <w:tcPr>
            <w:tcW w:w="3810" w:type="pct"/>
            <w:shd w:val="clear" w:color="auto" w:fill="auto"/>
            <w:vAlign w:val="center"/>
          </w:tcPr>
          <w:p>
            <w:pPr>
              <w:pStyle w:val="54"/>
              <w:jc w:val="both"/>
              <w:rPr>
                <w:rFonts w:cs="Times New Roman"/>
                <w:kern w:val="0"/>
              </w:rPr>
            </w:pPr>
            <w:r>
              <w:rPr>
                <w:rFonts w:cs="Times New Roman"/>
                <w:kern w:val="0"/>
              </w:rPr>
              <w:t>天津北海、上海新柯、深圳兰谱、广州国联、华启纵横、常州泰勒维克、成都鸣啸、上海鸣啸、北海通信、北京华高、奥特维等</w:t>
            </w:r>
          </w:p>
        </w:tc>
      </w:tr>
    </w:tbl>
    <w:p>
      <w:pPr>
        <w:pStyle w:val="50"/>
        <w:rPr>
          <w:b/>
        </w:rPr>
      </w:pPr>
      <w:r>
        <w:t>工程机械关键基础零部件重点企业</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499"/>
        <w:gridCol w:w="602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466" w:type="pct"/>
            <w:shd w:val="clear" w:color="auto" w:fill="auto"/>
            <w:vAlign w:val="center"/>
          </w:tcPr>
          <w:p>
            <w:pPr>
              <w:pStyle w:val="54"/>
              <w:rPr>
                <w:rFonts w:cs="Times New Roman"/>
                <w:b/>
                <w:bCs/>
                <w:color w:val="000000"/>
              </w:rPr>
            </w:pPr>
            <w:r>
              <w:rPr>
                <w:rFonts w:cs="Times New Roman"/>
                <w:b/>
                <w:bCs/>
                <w:lang w:bidi="ar"/>
              </w:rPr>
              <w:t>主要产品</w:t>
            </w:r>
          </w:p>
        </w:tc>
        <w:tc>
          <w:tcPr>
            <w:tcW w:w="3534" w:type="pct"/>
            <w:shd w:val="clear" w:color="auto" w:fill="auto"/>
            <w:vAlign w:val="center"/>
          </w:tcPr>
          <w:p>
            <w:pPr>
              <w:pStyle w:val="54"/>
              <w:rPr>
                <w:rFonts w:cs="Times New Roman"/>
                <w:b/>
                <w:bCs/>
                <w:color w:val="000000"/>
              </w:rPr>
            </w:pPr>
            <w:r>
              <w:rPr>
                <w:rFonts w:cs="Times New Roman"/>
                <w:b/>
                <w:bCs/>
                <w:lang w:bidi="ar"/>
              </w:rPr>
              <w:t>主要企业</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工程机械用动力电池</w:t>
            </w:r>
          </w:p>
        </w:tc>
        <w:tc>
          <w:tcPr>
            <w:tcW w:w="3534" w:type="pct"/>
            <w:shd w:val="clear" w:color="auto" w:fill="auto"/>
            <w:vAlign w:val="center"/>
          </w:tcPr>
          <w:p>
            <w:pPr>
              <w:pStyle w:val="54"/>
              <w:rPr>
                <w:rFonts w:cs="Times New Roman"/>
                <w:color w:val="000000"/>
              </w:rPr>
            </w:pPr>
            <w:r>
              <w:rPr>
                <w:rFonts w:cs="Times New Roman"/>
                <w:lang w:bidi="ar"/>
              </w:rPr>
              <w:t>宁德时代、Enersys、亿纬锂能、孚能科技、瑞浦兰钧、GSYuasa、国轩高科</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减速机</w:t>
            </w:r>
          </w:p>
        </w:tc>
        <w:tc>
          <w:tcPr>
            <w:tcW w:w="3534" w:type="pct"/>
            <w:shd w:val="clear" w:color="auto" w:fill="auto"/>
            <w:vAlign w:val="center"/>
          </w:tcPr>
          <w:p>
            <w:pPr>
              <w:pStyle w:val="54"/>
              <w:rPr>
                <w:rFonts w:cs="Times New Roman"/>
                <w:color w:val="000000"/>
              </w:rPr>
            </w:pPr>
            <w:r>
              <w:rPr>
                <w:rFonts w:cs="Times New Roman"/>
                <w:lang w:bidi="ar"/>
              </w:rPr>
              <w:t>上海机电、秦川发展、浙江恒丰泰、山东帅克、南通振康、武汉精华、北京谐波传动、北京中技克美谐波传动有限责任公司、苏州绿的谐波传动科技有限公司、浙江双环传动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变速箱</w:t>
            </w:r>
          </w:p>
        </w:tc>
        <w:tc>
          <w:tcPr>
            <w:tcW w:w="3534" w:type="pct"/>
            <w:shd w:val="clear" w:color="auto" w:fill="auto"/>
            <w:vAlign w:val="center"/>
          </w:tcPr>
          <w:p>
            <w:pPr>
              <w:pStyle w:val="54"/>
              <w:rPr>
                <w:rFonts w:cs="Times New Roman"/>
                <w:color w:val="000000"/>
              </w:rPr>
            </w:pPr>
            <w:r>
              <w:rPr>
                <w:rFonts w:cs="Times New Roman"/>
                <w:lang w:bidi="ar"/>
              </w:rPr>
              <w:t>奇瑞、法士特、魔比斯（Mobis）、邦奇、格特拉克（Getrag）、株洲齿轮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发动机</w:t>
            </w:r>
          </w:p>
        </w:tc>
        <w:tc>
          <w:tcPr>
            <w:tcW w:w="3534" w:type="pct"/>
            <w:shd w:val="clear" w:color="auto" w:fill="auto"/>
            <w:vAlign w:val="center"/>
          </w:tcPr>
          <w:p>
            <w:pPr>
              <w:pStyle w:val="54"/>
              <w:rPr>
                <w:rFonts w:cs="Times New Roman"/>
                <w:color w:val="000000"/>
              </w:rPr>
            </w:pPr>
            <w:r>
              <w:rPr>
                <w:rFonts w:cs="Times New Roman"/>
                <w:lang w:bidi="ar"/>
              </w:rPr>
              <w:t>宗申动力、Generac、隆鑫通用、Yamaha、华盛中天、重庆涪柴动力机械、力帆科技、东安动力、沈阳航天三菱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液压泵、液压阀、液压马达</w:t>
            </w:r>
          </w:p>
        </w:tc>
        <w:tc>
          <w:tcPr>
            <w:tcW w:w="3534" w:type="pct"/>
            <w:shd w:val="clear" w:color="auto" w:fill="auto"/>
            <w:vAlign w:val="center"/>
          </w:tcPr>
          <w:p>
            <w:pPr>
              <w:pStyle w:val="54"/>
              <w:rPr>
                <w:rFonts w:cs="Times New Roman"/>
                <w:color w:val="000000"/>
              </w:rPr>
            </w:pPr>
            <w:r>
              <w:rPr>
                <w:rFonts w:cs="Times New Roman"/>
                <w:lang w:bidi="ar"/>
              </w:rPr>
              <w:t>博世力士乐、伊顿、川崎重工、恒立液压、艾迪精密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传动轴</w:t>
            </w:r>
          </w:p>
        </w:tc>
        <w:tc>
          <w:tcPr>
            <w:tcW w:w="3534" w:type="pct"/>
            <w:shd w:val="clear" w:color="auto" w:fill="auto"/>
            <w:vAlign w:val="center"/>
          </w:tcPr>
          <w:p>
            <w:pPr>
              <w:pStyle w:val="54"/>
              <w:rPr>
                <w:rFonts w:cs="Times New Roman"/>
                <w:color w:val="000000"/>
              </w:rPr>
            </w:pPr>
            <w:r>
              <w:rPr>
                <w:rFonts w:cs="Times New Roman"/>
                <w:lang w:bidi="ar"/>
              </w:rPr>
              <w:t>远东传动轴、纳铁福传动系统、向隆汽车零部件</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承载能力13吨（湿式）或25吨（干式）以上车桥</w:t>
            </w:r>
          </w:p>
        </w:tc>
        <w:tc>
          <w:tcPr>
            <w:tcW w:w="3534" w:type="pct"/>
            <w:shd w:val="clear" w:color="auto" w:fill="auto"/>
            <w:vAlign w:val="center"/>
          </w:tcPr>
          <w:p>
            <w:pPr>
              <w:pStyle w:val="54"/>
              <w:rPr>
                <w:rFonts w:cs="Times New Roman"/>
                <w:color w:val="000000"/>
              </w:rPr>
            </w:pPr>
            <w:r>
              <w:rPr>
                <w:rFonts w:cs="Times New Roman"/>
                <w:lang w:bidi="ar"/>
              </w:rPr>
              <w:t>青特集团、汉德车桥、中国长安汽车、四川建安车桥、辽宁曙光汽车、湖北三环车桥、诸城市义和车桥、江铃底盘</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压力传感器</w:t>
            </w:r>
          </w:p>
        </w:tc>
        <w:tc>
          <w:tcPr>
            <w:tcW w:w="3534" w:type="pct"/>
            <w:shd w:val="clear" w:color="auto" w:fill="auto"/>
            <w:vAlign w:val="center"/>
          </w:tcPr>
          <w:p>
            <w:pPr>
              <w:pStyle w:val="54"/>
              <w:rPr>
                <w:rFonts w:cs="Times New Roman"/>
                <w:color w:val="000000"/>
              </w:rPr>
            </w:pPr>
            <w:r>
              <w:rPr>
                <w:rFonts w:cs="Times New Roman"/>
                <w:lang w:bidi="ar"/>
              </w:rPr>
              <w:t>Yokogawa（横河电机（中国）有限公司）Wika威卡（威卡自动化仪表（苏州）有限公司）AmphenolSensors（安费诺（常州）连接系统有限公司）NXP恩智浦（恩智浦（中国）管理有限公司）</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盾构机用电机</w:t>
            </w:r>
          </w:p>
        </w:tc>
        <w:tc>
          <w:tcPr>
            <w:tcW w:w="3534" w:type="pct"/>
            <w:shd w:val="clear" w:color="auto" w:fill="auto"/>
            <w:vAlign w:val="center"/>
          </w:tcPr>
          <w:p>
            <w:pPr>
              <w:pStyle w:val="54"/>
              <w:rPr>
                <w:rFonts w:cs="Times New Roman"/>
                <w:color w:val="000000"/>
              </w:rPr>
            </w:pPr>
            <w:r>
              <w:rPr>
                <w:rFonts w:cs="Times New Roman"/>
                <w:lang w:bidi="ar"/>
              </w:rPr>
              <w:t>中铁装备、铁建重工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隧道掘进机刀盘</w:t>
            </w:r>
          </w:p>
        </w:tc>
        <w:tc>
          <w:tcPr>
            <w:tcW w:w="3534" w:type="pct"/>
            <w:shd w:val="clear" w:color="auto" w:fill="auto"/>
            <w:vAlign w:val="center"/>
          </w:tcPr>
          <w:p>
            <w:pPr>
              <w:pStyle w:val="54"/>
              <w:rPr>
                <w:rFonts w:cs="Times New Roman"/>
                <w:color w:val="000000"/>
              </w:rPr>
            </w:pPr>
            <w:r>
              <w:rPr>
                <w:rFonts w:cs="Times New Roman"/>
                <w:lang w:bidi="ar"/>
              </w:rPr>
              <w:t>中国中铁、中国铁建重工、中交天和机械设备制造有限公司、德国海瑞克</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电控高压共轨燃油喷射系统</w:t>
            </w:r>
          </w:p>
        </w:tc>
        <w:tc>
          <w:tcPr>
            <w:tcW w:w="3534" w:type="pct"/>
            <w:shd w:val="clear" w:color="auto" w:fill="auto"/>
            <w:vAlign w:val="center"/>
          </w:tcPr>
          <w:p>
            <w:pPr>
              <w:pStyle w:val="54"/>
              <w:rPr>
                <w:rFonts w:cs="Times New Roman"/>
                <w:color w:val="000000"/>
              </w:rPr>
            </w:pPr>
            <w:r>
              <w:rPr>
                <w:rFonts w:cs="Times New Roman"/>
                <w:lang w:bidi="ar"/>
              </w:rPr>
              <w:t>成都威特电喷有限公司</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6米以上超大直径主轴承</w:t>
            </w:r>
          </w:p>
        </w:tc>
        <w:tc>
          <w:tcPr>
            <w:tcW w:w="3534" w:type="pct"/>
            <w:shd w:val="clear" w:color="auto" w:fill="auto"/>
            <w:vAlign w:val="center"/>
          </w:tcPr>
          <w:p>
            <w:pPr>
              <w:pStyle w:val="54"/>
              <w:rPr>
                <w:rFonts w:cs="Times New Roman"/>
                <w:color w:val="000000"/>
              </w:rPr>
            </w:pPr>
            <w:r>
              <w:rPr>
                <w:rFonts w:cs="Times New Roman"/>
                <w:lang w:bidi="ar"/>
              </w:rPr>
              <w:t>马鞍山经纬新能源传动设备公司、铁建重工、大冶特钢</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466" w:type="pct"/>
            <w:shd w:val="clear" w:color="auto" w:fill="auto"/>
            <w:vAlign w:val="center"/>
          </w:tcPr>
          <w:p>
            <w:pPr>
              <w:pStyle w:val="54"/>
              <w:rPr>
                <w:rFonts w:cs="Times New Roman"/>
                <w:color w:val="000000"/>
              </w:rPr>
            </w:pPr>
            <w:r>
              <w:rPr>
                <w:rFonts w:cs="Times New Roman"/>
                <w:lang w:bidi="ar"/>
              </w:rPr>
              <w:t>重载粉末冶金含油轴承</w:t>
            </w:r>
          </w:p>
        </w:tc>
        <w:tc>
          <w:tcPr>
            <w:tcW w:w="3534" w:type="pct"/>
            <w:shd w:val="clear" w:color="auto" w:fill="auto"/>
            <w:vAlign w:val="center"/>
          </w:tcPr>
          <w:p>
            <w:pPr>
              <w:pStyle w:val="54"/>
              <w:rPr>
                <w:rFonts w:cs="Times New Roman"/>
                <w:color w:val="000000"/>
              </w:rPr>
            </w:pPr>
            <w:r>
              <w:rPr>
                <w:rFonts w:cs="Times New Roman"/>
                <w:lang w:bidi="ar"/>
              </w:rPr>
              <w:t>深圳市日东科技、中山市翔宇粉末冶金制品、宁波市鄞州海涛粉末冶金制品厂、湖南博云新材料、中国粉末冶金有限公司</w:t>
            </w:r>
          </w:p>
        </w:tc>
      </w:tr>
    </w:tbl>
    <w:p>
      <w:pPr>
        <w:pStyle w:val="50"/>
        <w:rPr>
          <w:b/>
        </w:rPr>
      </w:pPr>
      <w:r>
        <w:t>重大成套设备及其他智能设备重点企业</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0"/>
        <w:gridCol w:w="1753"/>
        <w:gridCol w:w="561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675" w:type="pct"/>
            <w:shd w:val="clear" w:color="auto" w:fill="auto"/>
            <w:vAlign w:val="center"/>
          </w:tcPr>
          <w:p>
            <w:pPr>
              <w:pStyle w:val="54"/>
              <w:rPr>
                <w:rFonts w:cs="Times New Roman"/>
                <w:b/>
                <w:bCs/>
                <w:color w:val="000000"/>
              </w:rPr>
            </w:pPr>
            <w:r>
              <w:rPr>
                <w:rFonts w:cs="Times New Roman"/>
                <w:b/>
                <w:bCs/>
                <w:lang w:bidi="ar"/>
              </w:rPr>
              <w:t>主要产品</w:t>
            </w:r>
          </w:p>
        </w:tc>
        <w:tc>
          <w:tcPr>
            <w:tcW w:w="1028" w:type="pct"/>
            <w:shd w:val="clear" w:color="auto" w:fill="auto"/>
            <w:vAlign w:val="center"/>
          </w:tcPr>
          <w:p>
            <w:pPr>
              <w:pStyle w:val="54"/>
              <w:rPr>
                <w:rFonts w:cs="Times New Roman"/>
                <w:b/>
                <w:bCs/>
                <w:color w:val="000000"/>
              </w:rPr>
            </w:pPr>
            <w:r>
              <w:rPr>
                <w:rFonts w:cs="Times New Roman"/>
                <w:b/>
                <w:bCs/>
                <w:lang w:bidi="ar"/>
              </w:rPr>
              <w:t>主要地区</w:t>
            </w:r>
          </w:p>
        </w:tc>
        <w:tc>
          <w:tcPr>
            <w:tcW w:w="3296" w:type="pct"/>
            <w:shd w:val="clear" w:color="auto" w:fill="auto"/>
            <w:vAlign w:val="center"/>
          </w:tcPr>
          <w:p>
            <w:pPr>
              <w:pStyle w:val="54"/>
              <w:rPr>
                <w:rFonts w:cs="Times New Roman"/>
                <w:b/>
                <w:bCs/>
                <w:color w:val="000000"/>
              </w:rPr>
            </w:pPr>
            <w:r>
              <w:rPr>
                <w:rFonts w:cs="Times New Roman"/>
                <w:b/>
                <w:bCs/>
                <w:lang w:bidi="ar"/>
              </w:rPr>
              <w:t>主要企业</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汽车空调管路</w:t>
            </w:r>
          </w:p>
        </w:tc>
        <w:tc>
          <w:tcPr>
            <w:tcW w:w="1028" w:type="pct"/>
            <w:shd w:val="clear" w:color="auto" w:fill="auto"/>
            <w:noWrap/>
            <w:vAlign w:val="center"/>
          </w:tcPr>
          <w:p>
            <w:pPr>
              <w:pStyle w:val="54"/>
              <w:rPr>
                <w:rFonts w:cs="Times New Roman"/>
                <w:lang w:bidi="ar"/>
              </w:rPr>
            </w:pPr>
            <w:r>
              <w:rPr>
                <w:rFonts w:cs="Times New Roman"/>
                <w:lang w:bidi="ar"/>
              </w:rPr>
              <w:t>江浙沪地区、</w:t>
            </w:r>
          </w:p>
          <w:p>
            <w:pPr>
              <w:pStyle w:val="54"/>
              <w:rPr>
                <w:rFonts w:cs="Times New Roman"/>
                <w:color w:val="000000"/>
              </w:rPr>
            </w:pPr>
            <w:r>
              <w:rPr>
                <w:rFonts w:cs="Times New Roman"/>
                <w:lang w:bidi="ar"/>
              </w:rPr>
              <w:t>华北地区</w:t>
            </w:r>
          </w:p>
        </w:tc>
        <w:tc>
          <w:tcPr>
            <w:tcW w:w="3296" w:type="pct"/>
            <w:shd w:val="clear" w:color="auto" w:fill="auto"/>
            <w:vAlign w:val="center"/>
          </w:tcPr>
          <w:p>
            <w:pPr>
              <w:pStyle w:val="54"/>
              <w:rPr>
                <w:rFonts w:cs="Times New Roman"/>
                <w:color w:val="000000"/>
              </w:rPr>
            </w:pPr>
            <w:r>
              <w:rPr>
                <w:rFonts w:cs="Times New Roman"/>
                <w:lang w:bidi="ar"/>
              </w:rPr>
              <w:t>上海汽车空调配件股份、腾龙汽车零部件、市盛士达汽车空调、康迪泰克流体技术（长春）、伊顿盛士达汽车流体连接器（上海）、邦迪汽车系统（上海）、天津电装空调管路、长安汽车、上汽通用东风汽车、太平洋汽车、北汽福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弹簧</w:t>
            </w:r>
          </w:p>
        </w:tc>
        <w:tc>
          <w:tcPr>
            <w:tcW w:w="1028" w:type="pct"/>
            <w:shd w:val="clear" w:color="auto" w:fill="auto"/>
            <w:noWrap/>
            <w:vAlign w:val="center"/>
          </w:tcPr>
          <w:p>
            <w:pPr>
              <w:pStyle w:val="54"/>
              <w:rPr>
                <w:rFonts w:cs="Times New Roman"/>
                <w:lang w:bidi="ar"/>
              </w:rPr>
            </w:pPr>
            <w:r>
              <w:rPr>
                <w:rFonts w:cs="Times New Roman"/>
                <w:lang w:bidi="ar"/>
              </w:rPr>
              <w:t>江苏、上海、</w:t>
            </w:r>
          </w:p>
          <w:p>
            <w:pPr>
              <w:pStyle w:val="54"/>
              <w:rPr>
                <w:rFonts w:cs="Times New Roman"/>
                <w:color w:val="000000"/>
              </w:rPr>
            </w:pPr>
            <w:r>
              <w:rPr>
                <w:rFonts w:cs="Times New Roman"/>
                <w:lang w:bidi="ar"/>
              </w:rPr>
              <w:t>广州等</w:t>
            </w:r>
          </w:p>
        </w:tc>
        <w:tc>
          <w:tcPr>
            <w:tcW w:w="3296" w:type="pct"/>
            <w:shd w:val="clear" w:color="auto" w:fill="auto"/>
            <w:vAlign w:val="center"/>
          </w:tcPr>
          <w:p>
            <w:pPr>
              <w:pStyle w:val="54"/>
              <w:rPr>
                <w:rFonts w:cs="Times New Roman"/>
                <w:color w:val="000000"/>
              </w:rPr>
            </w:pPr>
            <w:r>
              <w:rPr>
                <w:rFonts w:cs="Times New Roman"/>
                <w:lang w:bidi="ar"/>
              </w:rPr>
              <w:t>中国弹簧制造、广州华德汽车弹簧、浙江美力科技、慕贝尔汽车部件（太仓）有限公司、蒂森克虏伯富奥辽阳弹簧有限公司</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紧固件</w:t>
            </w:r>
          </w:p>
        </w:tc>
        <w:tc>
          <w:tcPr>
            <w:tcW w:w="1028" w:type="pct"/>
            <w:shd w:val="clear" w:color="auto" w:fill="auto"/>
            <w:noWrap/>
            <w:vAlign w:val="center"/>
          </w:tcPr>
          <w:p>
            <w:pPr>
              <w:pStyle w:val="54"/>
              <w:rPr>
                <w:rFonts w:cs="Times New Roman"/>
                <w:color w:val="000000"/>
              </w:rPr>
            </w:pPr>
            <w:r>
              <w:rPr>
                <w:rFonts w:cs="Times New Roman"/>
                <w:lang w:bidi="ar"/>
              </w:rPr>
              <w:t>江苏、湖南</w:t>
            </w:r>
          </w:p>
        </w:tc>
        <w:tc>
          <w:tcPr>
            <w:tcW w:w="3296" w:type="pct"/>
            <w:shd w:val="clear" w:color="auto" w:fill="auto"/>
            <w:vAlign w:val="center"/>
          </w:tcPr>
          <w:p>
            <w:pPr>
              <w:pStyle w:val="54"/>
              <w:rPr>
                <w:rFonts w:cs="Times New Roman"/>
                <w:color w:val="000000"/>
              </w:rPr>
            </w:pPr>
            <w:r>
              <w:rPr>
                <w:rFonts w:cs="Times New Roman"/>
                <w:lang w:bidi="ar"/>
              </w:rPr>
              <w:t>晋亿实业、集优机械、东明不锈钢制品、舟山市7412工厂、常熟市标准件厂、富奥汽车零部件、七丰精工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链轮链条</w:t>
            </w:r>
          </w:p>
        </w:tc>
        <w:tc>
          <w:tcPr>
            <w:tcW w:w="1028" w:type="pct"/>
            <w:shd w:val="clear" w:color="auto" w:fill="auto"/>
            <w:noWrap/>
            <w:vAlign w:val="center"/>
          </w:tcPr>
          <w:p>
            <w:pPr>
              <w:pStyle w:val="54"/>
              <w:rPr>
                <w:rFonts w:cs="Times New Roman"/>
                <w:color w:val="000000"/>
              </w:rPr>
            </w:pPr>
            <w:r>
              <w:rPr>
                <w:rFonts w:cs="Times New Roman"/>
                <w:lang w:bidi="ar"/>
              </w:rPr>
              <w:t>山东</w:t>
            </w:r>
          </w:p>
        </w:tc>
        <w:tc>
          <w:tcPr>
            <w:tcW w:w="3296" w:type="pct"/>
            <w:shd w:val="clear" w:color="auto" w:fill="auto"/>
            <w:vAlign w:val="center"/>
          </w:tcPr>
          <w:p>
            <w:pPr>
              <w:pStyle w:val="54"/>
              <w:rPr>
                <w:rFonts w:cs="Times New Roman"/>
                <w:color w:val="000000"/>
              </w:rPr>
            </w:pPr>
            <w:r>
              <w:rPr>
                <w:rFonts w:cs="Times New Roman"/>
                <w:lang w:bidi="ar"/>
              </w:rPr>
              <w:t>松远链条、恒久链条、美国岱盟德公司、德国沃尔夫公司</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汽车玻璃</w:t>
            </w:r>
          </w:p>
        </w:tc>
        <w:tc>
          <w:tcPr>
            <w:tcW w:w="1028" w:type="pct"/>
            <w:shd w:val="clear" w:color="auto" w:fill="auto"/>
            <w:noWrap/>
            <w:vAlign w:val="center"/>
          </w:tcPr>
          <w:p>
            <w:pPr>
              <w:pStyle w:val="54"/>
              <w:rPr>
                <w:rFonts w:cs="Times New Roman"/>
                <w:color w:val="000000"/>
              </w:rPr>
            </w:pPr>
            <w:r>
              <w:rPr>
                <w:rFonts w:cs="Times New Roman"/>
                <w:lang w:bidi="ar"/>
              </w:rPr>
              <w:t>福建</w:t>
            </w:r>
          </w:p>
        </w:tc>
        <w:tc>
          <w:tcPr>
            <w:tcW w:w="3296" w:type="pct"/>
            <w:shd w:val="clear" w:color="auto" w:fill="auto"/>
            <w:vAlign w:val="center"/>
          </w:tcPr>
          <w:p>
            <w:pPr>
              <w:pStyle w:val="54"/>
              <w:rPr>
                <w:rFonts w:cs="Times New Roman"/>
                <w:color w:val="000000"/>
              </w:rPr>
            </w:pPr>
            <w:r>
              <w:rPr>
                <w:rFonts w:cs="Times New Roman"/>
                <w:lang w:bidi="ar"/>
              </w:rPr>
              <w:t>福耀玻璃、信义玻璃、皮尔金顿、AGC旭硝子、圣戈班、NSG板硝子、加迪安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密封件</w:t>
            </w:r>
          </w:p>
        </w:tc>
        <w:tc>
          <w:tcPr>
            <w:tcW w:w="1028" w:type="pct"/>
            <w:shd w:val="clear" w:color="auto" w:fill="auto"/>
            <w:noWrap/>
            <w:vAlign w:val="center"/>
          </w:tcPr>
          <w:p>
            <w:pPr>
              <w:pStyle w:val="54"/>
              <w:rPr>
                <w:rFonts w:cs="Times New Roman"/>
                <w:color w:val="000000"/>
              </w:rPr>
            </w:pPr>
            <w:r>
              <w:rPr>
                <w:rFonts w:cs="Times New Roman"/>
                <w:lang w:bidi="ar"/>
              </w:rPr>
              <w:t>山东</w:t>
            </w:r>
          </w:p>
        </w:tc>
        <w:tc>
          <w:tcPr>
            <w:tcW w:w="3296" w:type="pct"/>
            <w:shd w:val="clear" w:color="auto" w:fill="auto"/>
            <w:vAlign w:val="center"/>
          </w:tcPr>
          <w:p>
            <w:pPr>
              <w:pStyle w:val="54"/>
              <w:rPr>
                <w:rFonts w:cs="Times New Roman"/>
                <w:color w:val="000000"/>
              </w:rPr>
            </w:pPr>
            <w:r>
              <w:rPr>
                <w:rFonts w:cs="Times New Roman"/>
                <w:lang w:bidi="ar"/>
              </w:rPr>
              <w:t>广汉长空、台湾鼎基、广东达曼森、青岛双平、艾志工业、简阳华能密封、特瑞堡（Trelleborg-TSS）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汽车蓄电池</w:t>
            </w:r>
          </w:p>
        </w:tc>
        <w:tc>
          <w:tcPr>
            <w:tcW w:w="1028" w:type="pct"/>
            <w:shd w:val="clear" w:color="auto" w:fill="auto"/>
            <w:noWrap/>
            <w:vAlign w:val="center"/>
          </w:tcPr>
          <w:p>
            <w:pPr>
              <w:pStyle w:val="54"/>
              <w:rPr>
                <w:rFonts w:cs="Times New Roman"/>
                <w:lang w:bidi="ar"/>
              </w:rPr>
            </w:pPr>
            <w:r>
              <w:rPr>
                <w:rFonts w:cs="Times New Roman"/>
                <w:lang w:bidi="ar"/>
              </w:rPr>
              <w:t>广东、江苏、</w:t>
            </w:r>
          </w:p>
          <w:p>
            <w:pPr>
              <w:pStyle w:val="54"/>
              <w:rPr>
                <w:rFonts w:cs="Times New Roman"/>
                <w:color w:val="000000"/>
              </w:rPr>
            </w:pPr>
            <w:r>
              <w:rPr>
                <w:rFonts w:cs="Times New Roman"/>
                <w:lang w:bidi="ar"/>
              </w:rPr>
              <w:t>浙江</w:t>
            </w:r>
          </w:p>
        </w:tc>
        <w:tc>
          <w:tcPr>
            <w:tcW w:w="3296" w:type="pct"/>
            <w:shd w:val="clear" w:color="auto" w:fill="auto"/>
            <w:vAlign w:val="center"/>
          </w:tcPr>
          <w:p>
            <w:pPr>
              <w:pStyle w:val="54"/>
              <w:rPr>
                <w:rFonts w:cs="Times New Roman"/>
                <w:color w:val="000000"/>
              </w:rPr>
            </w:pPr>
            <w:r>
              <w:rPr>
                <w:rFonts w:cs="Times New Roman"/>
                <w:lang w:bidi="ar"/>
              </w:rPr>
              <w:t>骆驼蓄电池、风帆sail、超威汽车蓄电池、天能电池、理士电池、Moll</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5" w:type="pct"/>
            <w:shd w:val="clear" w:color="auto" w:fill="auto"/>
            <w:noWrap/>
            <w:vAlign w:val="center"/>
          </w:tcPr>
          <w:p>
            <w:pPr>
              <w:pStyle w:val="54"/>
              <w:rPr>
                <w:rFonts w:cs="Times New Roman"/>
                <w:color w:val="000000"/>
              </w:rPr>
            </w:pPr>
            <w:r>
              <w:rPr>
                <w:rFonts w:cs="Times New Roman"/>
                <w:lang w:bidi="ar"/>
              </w:rPr>
              <w:t>轴承灯</w:t>
            </w:r>
          </w:p>
        </w:tc>
        <w:tc>
          <w:tcPr>
            <w:tcW w:w="1028" w:type="pct"/>
            <w:shd w:val="clear" w:color="auto" w:fill="auto"/>
            <w:noWrap/>
            <w:vAlign w:val="center"/>
          </w:tcPr>
          <w:p>
            <w:pPr>
              <w:pStyle w:val="54"/>
              <w:rPr>
                <w:rFonts w:cs="Times New Roman"/>
                <w:color w:val="000000"/>
              </w:rPr>
            </w:pPr>
            <w:r>
              <w:rPr>
                <w:rFonts w:cs="Times New Roman"/>
                <w:lang w:bidi="ar"/>
              </w:rPr>
              <w:t>河南、黑龙江</w:t>
            </w:r>
          </w:p>
        </w:tc>
        <w:tc>
          <w:tcPr>
            <w:tcW w:w="3296" w:type="pct"/>
            <w:shd w:val="clear" w:color="auto" w:fill="auto"/>
            <w:vAlign w:val="center"/>
          </w:tcPr>
          <w:p>
            <w:pPr>
              <w:pStyle w:val="54"/>
              <w:rPr>
                <w:rFonts w:cs="Times New Roman"/>
                <w:color w:val="000000"/>
              </w:rPr>
            </w:pPr>
            <w:r>
              <w:rPr>
                <w:rFonts w:cs="Times New Roman"/>
                <w:lang w:bidi="ar"/>
              </w:rPr>
              <w:t>人本集团、万向钱潮、瓦房店轴承集团、洛阳LYC轴承、哈尔滨轴承集团</w:t>
            </w:r>
          </w:p>
        </w:tc>
      </w:tr>
    </w:tbl>
    <w:p>
      <w:pPr>
        <w:pStyle w:val="4"/>
      </w:pPr>
      <w:r>
        <w:t>创新产业基金招商</w:t>
      </w:r>
    </w:p>
    <w:p>
      <w:pPr>
        <w:pStyle w:val="51"/>
        <w:ind w:firstLine="560"/>
      </w:pPr>
      <w:r>
        <w:rPr>
          <w:rFonts w:hint="eastAsia"/>
        </w:rPr>
        <w:t>积极应对《公平竞争审查条例》，降低地方政府通过“给资源、给土地、给市场、给税收、给补助”的方式进行招商引资的策略。针对先进装备制造产业（轨道交通关键基础零部件、工程机械关键基础零部件产业）通过政府预算安排，单独出资或与社会资本共同出资设立产业引导基金，采用股权投资等市场化方式运作，形成政府与社会资本共同参与的招商方式，不断吸引先进装备制造产业链上中下游企业来桃江发展。</w:t>
      </w:r>
    </w:p>
    <w:p>
      <w:pPr>
        <w:pStyle w:val="4"/>
      </w:pPr>
      <w:r>
        <w:t>鼓励亲情招商</w:t>
      </w:r>
    </w:p>
    <w:p>
      <w:pPr>
        <w:pStyle w:val="51"/>
        <w:ind w:firstLine="560"/>
      </w:pPr>
      <w:r>
        <w:t>梳理桃江先进装备制造产业企业人脉资源，利用亲情联系，邀请在外成功人士参加家乡的招商活动，如投资洽谈会、项目推介会等。为有意向的投资乡友详细介绍家乡的投资环境、政策优惠和资源优势，引导他们回乡投资兴业。在桃江县成立乡友会、商会等组织，利用乡友组织，挖掘乡友中的成功人士和投资意向明确的个人或企业。通过与他们的交流和合作，了解他们的投资需求和意向，引导他们回乡投资。建立乡友投资合作平台，为乡友提供项目推介、投资对接、融资支持等服务。</w:t>
      </w:r>
    </w:p>
    <w:p>
      <w:pPr>
        <w:pStyle w:val="4"/>
      </w:pPr>
      <w:r>
        <w:t>实施市场订单招商</w:t>
      </w:r>
    </w:p>
    <w:p>
      <w:pPr>
        <w:pStyle w:val="51"/>
        <w:ind w:firstLine="560"/>
        <w:rPr>
          <w:rFonts w:eastAsia="黑体"/>
          <w:kern w:val="44"/>
          <w:sz w:val="36"/>
          <w:szCs w:val="36"/>
          <w:lang w:val="en-GB"/>
        </w:rPr>
      </w:pPr>
      <w:r>
        <w:t>建立省内先进装备制造业龙头企业库及其上游配套企业名单，梳理县域内先进装备制造业企业名单及其上下游配套企业名单。多措并举支持先进装备制造产业重点企业拓市场、抢订单、促生产。积极开展产需对接，组织重点企业参加各类重大经贸活动，推动对接中国制造业500强企业、中国装备制造业100强企业、湖南制造业100强企业和制造产业上市公司等，促成签订产品配套框架性协议和订单合同。</w:t>
      </w:r>
      <w:r>
        <w:br w:type="page"/>
      </w:r>
    </w:p>
    <w:p>
      <w:pPr>
        <w:pStyle w:val="2"/>
        <w:rPr>
          <w:rFonts w:ascii="Times New Roman" w:hAnsi="Times New Roman"/>
        </w:rPr>
      </w:pPr>
      <w:bookmarkStart w:id="56" w:name="_Toc182908014"/>
      <w:r>
        <w:rPr>
          <w:rFonts w:ascii="Times New Roman" w:hAnsi="Times New Roman"/>
        </w:rPr>
        <w:t>以新发展路径构建产业新生态</w:t>
      </w:r>
      <w:bookmarkEnd w:id="56"/>
    </w:p>
    <w:bookmarkEnd w:id="52"/>
    <w:p>
      <w:pPr>
        <w:pStyle w:val="3"/>
      </w:pPr>
      <w:bookmarkStart w:id="57" w:name="_Toc10024"/>
      <w:bookmarkStart w:id="58" w:name="_Toc182908015"/>
      <w:bookmarkStart w:id="59" w:name="_Toc179649665"/>
      <w:r>
        <w:t>优质企业培育</w:t>
      </w:r>
      <w:bookmarkEnd w:id="57"/>
      <w:r>
        <w:t>行动</w:t>
      </w:r>
      <w:bookmarkEnd w:id="58"/>
    </w:p>
    <w:p>
      <w:pPr>
        <w:pStyle w:val="4"/>
      </w:pPr>
      <w:r>
        <w:rPr>
          <w:rFonts w:hint="eastAsia"/>
        </w:rPr>
        <w:t>实施领军企业“登峰”行动</w:t>
      </w:r>
    </w:p>
    <w:p>
      <w:pPr>
        <w:pStyle w:val="51"/>
        <w:ind w:firstLine="560"/>
        <w:rPr>
          <w:rFonts w:eastAsia="微软雅黑"/>
        </w:rPr>
      </w:pPr>
      <w:r>
        <w:rPr>
          <w:rFonts w:hint="eastAsia"/>
        </w:rPr>
        <w:t>加强企业上市培育，按照“储备一批、培育一批、改制一批、辅导一批、上市一批”的总体思路，分梯队储备上市后备企业，推动企业完成上市挂牌。妥善用好上市后备企业资源库名录，设立企业拟上市培育库，与沪深交易所、北交所深度对接，搭建“一站式”资本市场服务基地。做强做优领军企业，助推福德电气、紫荆铸业做大做强，加强路演、辅导等专业服务导入，对重点培育企业实施“一企一策”，进一步夯实扩大桃江县产业发展的主体力量。</w:t>
      </w:r>
    </w:p>
    <w:p>
      <w:pPr>
        <w:pStyle w:val="4"/>
      </w:pPr>
      <w:r>
        <w:rPr>
          <w:rFonts w:hint="eastAsia"/>
        </w:rPr>
        <w:t>实施中小企业“拔尖”行动</w:t>
      </w:r>
    </w:p>
    <w:p>
      <w:pPr>
        <w:pStyle w:val="51"/>
        <w:ind w:firstLine="560"/>
      </w:pPr>
      <w:r>
        <w:t>激发中小企业活力和发展动力，支持企业聚焦细分市场，以</w:t>
      </w:r>
      <w:r>
        <w:rPr>
          <w:rFonts w:hint="eastAsia"/>
        </w:rPr>
        <w:t>紫荆铸业、福德电气、新兴管件、宙盾防化、科惠汽配等企业为标杆，引导企业走专业化、精细化、特色化、新颖化之路，打造一批隐形冠军、小巨人、独角兽、瞪羚企业。建立企业培育库，加强对在库企业的产品、产值、税收等关键信息监测分析，健全完善优质中小企业梯度培育管理制度，按照“创新型中小企业—省专精特新企业—湖南省制造业单项冠军企业—国家级“专精特新”小巨人企业—国家级制造业单项冠军企业”成长路径。</w:t>
      </w:r>
    </w:p>
    <w:p>
      <w:pPr>
        <w:pStyle w:val="4"/>
      </w:pPr>
      <w:r>
        <w:t>实施企业倍增提升行动</w:t>
      </w:r>
    </w:p>
    <w:p>
      <w:pPr>
        <w:pStyle w:val="51"/>
        <w:ind w:firstLine="560"/>
        <w:rPr>
          <w:rFonts w:eastAsia="微软雅黑"/>
        </w:rPr>
      </w:pPr>
      <w:r>
        <w:t>聚焦优质企业研发机构引进，不断改变企业总部在外、研发在外的局面，加快推动福德电气总部搬迁回桃江，加大总部对接和本地服务力度，全力支持企业产能再扩建、新品再导入、技术再升级。全力推动紫荆新材、福德电气、新兴</w:t>
      </w:r>
      <w:r>
        <w:rPr>
          <w:rFonts w:hint="eastAsia"/>
        </w:rPr>
        <w:t>管件</w:t>
      </w:r>
      <w:r>
        <w:t>二期等项目如期竣工投产，实现产值、效益倍增。围绕工程机械产业链关键环节，以红星机械为龙头，招引小型铸造企业配套生产及零部件加工配套、小件普通铸件及消失模生产、树脂砂造型铸造中型件壳件铸造等配套企业。鼓励至和电缆围绕福德电气配套需求，进一步加大电线、电缆等产品创新和研发投入。</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51"/>
              <w:ind w:firstLine="0" w:firstLineChars="0"/>
              <w:jc w:val="center"/>
              <w:rPr>
                <w:rFonts w:eastAsia="黑体"/>
                <w:spacing w:val="-3"/>
                <w:szCs w:val="28"/>
              </w:rPr>
            </w:pPr>
            <w:r>
              <w:rPr>
                <w:rFonts w:eastAsia="黑体"/>
                <w:spacing w:val="-3"/>
                <w:szCs w:val="28"/>
              </w:rPr>
              <w:t>专栏1 优质企业培育工程重点任务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51"/>
              <w:ind w:firstLine="562"/>
            </w:pPr>
            <w:r>
              <w:rPr>
                <w:b/>
                <w:bCs/>
              </w:rPr>
              <w:t>20亿产值：</w:t>
            </w:r>
            <w:r>
              <w:t>湖南福德电气有限公司。</w:t>
            </w:r>
          </w:p>
          <w:p>
            <w:pPr>
              <w:pStyle w:val="51"/>
              <w:ind w:firstLine="562"/>
            </w:pPr>
            <w:r>
              <w:rPr>
                <w:b/>
                <w:bCs/>
              </w:rPr>
              <w:t>5亿产值：</w:t>
            </w:r>
            <w:r>
              <w:t>益阳金沙重型机械制造有限公司、湖南金沙重工科技有限公司、湖南鸿舜人防工程有限公司、湖南宙盾防化设备科技开发有限公司、益阳紫荆福利铸业有限公司、湖南紫荆新材料科技有限公司、桃江新兴管件有限责任公司。</w:t>
            </w:r>
          </w:p>
          <w:p>
            <w:pPr>
              <w:pStyle w:val="51"/>
              <w:ind w:firstLine="562"/>
            </w:pPr>
            <w:r>
              <w:rPr>
                <w:b/>
                <w:bCs/>
              </w:rPr>
              <w:t>1亿产值：</w:t>
            </w:r>
            <w:r>
              <w:t>桃江县盛宇机械厂、桃江县高桥机械厂、益阳晶基光伏材料科技有限公司、益阳市科惠汽配有限公司、湖南旭显新材料有限公司、湖南天腾汽车零部件有限公司、湖南达荣自动化设备有限公司、湖南金鼎赛斯电子仪器科技有限公司、湖南通伟科技有限公司、湖南开益制冷设备有限公司、益阳市红星机械设备有限公司、桃江县益湘美塑业有限公司。</w:t>
            </w:r>
          </w:p>
        </w:tc>
      </w:tr>
    </w:tbl>
    <w:p>
      <w:pPr>
        <w:pStyle w:val="3"/>
      </w:pPr>
      <w:bookmarkStart w:id="60" w:name="_Toc6540"/>
      <w:bookmarkStart w:id="61" w:name="_Toc182908016"/>
      <w:r>
        <w:t>承载平台建设</w:t>
      </w:r>
      <w:bookmarkEnd w:id="60"/>
      <w:r>
        <w:t>行动</w:t>
      </w:r>
      <w:bookmarkEnd w:id="61"/>
    </w:p>
    <w:p>
      <w:pPr>
        <w:pStyle w:val="4"/>
      </w:pPr>
      <w:r>
        <w:t>打造先进装备制造产业园</w:t>
      </w:r>
    </w:p>
    <w:p>
      <w:pPr>
        <w:pStyle w:val="51"/>
        <w:ind w:firstLine="560"/>
      </w:pPr>
      <w:r>
        <w:t>在桃江</w:t>
      </w:r>
      <w:r>
        <w:rPr>
          <w:rFonts w:hint="eastAsia"/>
        </w:rPr>
        <w:t>高新区</w:t>
      </w:r>
      <w:r>
        <w:t>规划建设一个500亩以上的先进装备制造配套基地产业园，加大道路网络优化、水电供应系统强化、信息网络铺设以及环保设施等基础设施和公共服务设施建设投入，不断提升产业承载能力，鼓励先进装备制造配套产业上下游企业向产业园聚集靠拢。</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1"/>
              <w:ind w:firstLine="0" w:firstLineChars="0"/>
              <w:jc w:val="center"/>
              <w:rPr>
                <w:rFonts w:eastAsia="黑体"/>
                <w:spacing w:val="-3"/>
                <w:szCs w:val="28"/>
              </w:rPr>
            </w:pPr>
            <w:r>
              <w:rPr>
                <w:rFonts w:eastAsia="黑体"/>
                <w:spacing w:val="-3"/>
                <w:szCs w:val="28"/>
              </w:rPr>
              <w:t>专栏2 产业承载平台建设重点任务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1"/>
              <w:ind w:firstLine="560"/>
            </w:pPr>
            <w:r>
              <w:t>在桃江高新区完成500亩土地平整，完成水、电、路、气、通信等基础设施建设，引进相应公共服务机构，显著提高公共服务能力。</w:t>
            </w:r>
          </w:p>
        </w:tc>
      </w:tr>
    </w:tbl>
    <w:p>
      <w:pPr>
        <w:pStyle w:val="4"/>
      </w:pPr>
      <w:r>
        <w:t>加强科技创新平台建设</w:t>
      </w:r>
    </w:p>
    <w:p>
      <w:pPr>
        <w:pStyle w:val="51"/>
        <w:ind w:firstLine="560"/>
      </w:pPr>
      <w:r>
        <w:t>围绕重点产品，依托新兴管件、</w:t>
      </w:r>
      <w:r>
        <w:rPr>
          <w:rFonts w:hint="eastAsia"/>
        </w:rPr>
        <w:t>紫荆铸业</w:t>
      </w:r>
      <w:r>
        <w:t>、福德电气等优势骨干企业、产业基地和园区，整合创新资源，着力建设一批先进装备制造产业创新平台，面向全行业提供技术服务，辐射带动全县先进装备制造业创新发展。探索与岳麓山工业创新中心联合成立产业创新联合体，通过成立产业创新联合体，聚焦产业关键新兴技术攻关，加快推动先进装备制造产业创新链、产业链、人才链、资金链的深度融合。</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51"/>
              <w:ind w:firstLine="0" w:firstLineChars="0"/>
              <w:jc w:val="center"/>
              <w:rPr>
                <w:rFonts w:eastAsia="黑体"/>
                <w:spacing w:val="-3"/>
                <w:szCs w:val="28"/>
              </w:rPr>
            </w:pPr>
            <w:r>
              <w:rPr>
                <w:rFonts w:eastAsia="黑体"/>
                <w:spacing w:val="-3"/>
                <w:szCs w:val="28"/>
              </w:rPr>
              <w:t>专栏3 科技创新平台建设重点任务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pStyle w:val="51"/>
              <w:ind w:firstLine="562"/>
            </w:pPr>
            <w:r>
              <w:rPr>
                <w:b/>
                <w:bCs/>
              </w:rPr>
              <w:t>1.轨道交通关键基础零部件制造产业：</w:t>
            </w:r>
            <w:r>
              <w:t>聚焦机车能量回馈装置、轨道交通机车制动装置、特高压电阻器、特种电源、轨道交通车辆用先进传感器等重点领域，培育一批省级以上重点实验室、产业创新中心、技术中心等创新平台，重点支持福德电气等符合条件的企业创建省级工程（技术）研究中心或企业技术中心，支持福德电气在国家级工程（技术）研究中心上取得突破。到2030年，省级及以上科技创新平台达到3家。</w:t>
            </w:r>
          </w:p>
          <w:p>
            <w:pPr>
              <w:pStyle w:val="51"/>
              <w:ind w:firstLine="562"/>
            </w:pPr>
            <w:r>
              <w:rPr>
                <w:b/>
                <w:bCs/>
              </w:rPr>
              <w:t>2.工程机械关键基础零部件制造产业：</w:t>
            </w:r>
            <w:r>
              <w:t>聚焦高效自硬砂铸造、精密组芯造型、壳型铸造、金属型铸造、铁模覆砂、工程机械用动力电池、减速机、变速箱、发动机等细分领域，鼓励新兴管件、金沙重工、紫荆铸业等企业开展自主创新、协同创新、合作创新，新建一批省级以上企业技术中心、重点实验室、工程技术研究中心和博士后工作站等创新平台。提质升级紫荆铸业等既有省级企业技术中心，争取在国家级企业技术中心创建上取得突破。到2030年，省级及以上科技创新平台达到2家。</w:t>
            </w:r>
          </w:p>
          <w:p>
            <w:pPr>
              <w:pStyle w:val="51"/>
              <w:ind w:firstLine="562"/>
            </w:pPr>
            <w:r>
              <w:rPr>
                <w:b/>
                <w:bCs/>
              </w:rPr>
              <w:t>3.重大成套设备及其他智能设备制造产业：</w:t>
            </w:r>
            <w:r>
              <w:t>聚焦防护防化设备、炼油、化工生产专用设备生产专用车辆等细分领域，支持科惠汽配、天腾汽车零部件、达荣自动化等企业新建一批省级以上重点科技创新平台。到2030年，重大成套设备及其他智能设备制造细分产业的省级及以上科技创新平台达到1家。</w:t>
            </w:r>
          </w:p>
        </w:tc>
      </w:tr>
    </w:tbl>
    <w:p>
      <w:pPr>
        <w:pStyle w:val="4"/>
      </w:pPr>
      <w:r>
        <w:t>加强金融服务平台建设</w:t>
      </w:r>
    </w:p>
    <w:p>
      <w:pPr>
        <w:pStyle w:val="51"/>
        <w:ind w:firstLine="560"/>
      </w:pPr>
      <w:r>
        <w:t>拓宽投融资渠道。加大信贷支持力度，引导银行业金融机构对技术先进、优势明显、带动和支撑作用强的先进装备制造项目优先给予信贷支持。支持金融和投资类企业、信用和融资担保企</w:t>
      </w:r>
      <w:r>
        <w:rPr>
          <w:rFonts w:hint="eastAsia"/>
        </w:rPr>
        <w:t>业、小额贷款机构等创新融资方式，为装备制造企业拓宽融资渠道。按照“政府引导，市场运作”的原则，探索设立装备制造产业基金，引导和支持社会资金进入装备制造创业投资领域。鼓励发展天使投资、创业投资，支持产业投资基金、创业投资基金发展壮大。支持符合条件的企业在中小企业板、创业板上市融资或发行企业债券、公司债券、短期融资融券和中期票据，支持中小企业发行集合债券、集合票据。探索装备租赁和融资租赁模式，鼓励探索开展装备租赁和融资租赁业务，建立装备租赁和融资租赁</w:t>
      </w:r>
      <w:r>
        <w:t>担保机制，发挥金融杠杆作用。探索建立由项目业主、装备制造企业和保险公司风险共担、利益共享的产品保险机制。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51"/>
              <w:ind w:firstLine="0" w:firstLineChars="0"/>
              <w:jc w:val="center"/>
              <w:rPr>
                <w:rFonts w:eastAsia="黑体"/>
                <w:spacing w:val="-3"/>
                <w:szCs w:val="28"/>
              </w:rPr>
            </w:pPr>
            <w:r>
              <w:rPr>
                <w:rFonts w:eastAsia="黑体"/>
                <w:spacing w:val="-3"/>
                <w:szCs w:val="28"/>
              </w:rPr>
              <w:t>专栏4 财税政策扶持重点任务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51"/>
              <w:ind w:firstLine="562"/>
            </w:pPr>
            <w:r>
              <w:rPr>
                <w:b/>
                <w:bCs/>
              </w:rPr>
              <w:t>落实</w:t>
            </w:r>
            <w:r>
              <w:rPr>
                <w:rFonts w:hint="eastAsia"/>
                <w:b/>
                <w:bCs/>
              </w:rPr>
              <w:t>好《益阳市推进先进制造业高质量发展若干政策（试行）》</w:t>
            </w:r>
            <w:r>
              <w:rPr>
                <w:b/>
                <w:bCs/>
              </w:rPr>
              <w:t>。</w:t>
            </w:r>
            <w:r>
              <w:rPr>
                <w:rFonts w:hint="eastAsia"/>
              </w:rPr>
              <w:t>从支持企业技术改造、支持企业技术改造、支持项目加快投产达效、支持企业上市和上市企业再融资、支持龙头企业和配套企业发展、支持科技创新、支持质量建设、支持创新平台建设、支持绿色低碳发展、支持企业数字化改造、支持企业扩大进出口、强化产业人才支撑、强化融资支持、强化用地支撑、降低水电气等要素成本等方面给予政策支撑、资金奖补，加快出台《桃江县推进先进制造业高质量发展若干政策》</w:t>
            </w:r>
            <w:r>
              <w:t>。</w:t>
            </w:r>
          </w:p>
          <w:p>
            <w:pPr>
              <w:pStyle w:val="51"/>
              <w:ind w:firstLine="562"/>
            </w:pPr>
            <w:r>
              <w:rPr>
                <w:rFonts w:hint="eastAsia"/>
                <w:b/>
                <w:bCs/>
              </w:rPr>
              <w:t>辅导好</w:t>
            </w:r>
            <w:r>
              <w:rPr>
                <w:b/>
                <w:bCs/>
              </w:rPr>
              <w:t>《湖南省工业企业设备更新和技术改造项目融资补贴实施办法》</w:t>
            </w:r>
            <w:r>
              <w:t>。构建多维度接力宣传辅导格局，</w:t>
            </w:r>
            <w:r>
              <w:rPr>
                <w:rFonts w:hint="eastAsia"/>
              </w:rPr>
              <w:t>依托微信公众号</w:t>
            </w:r>
            <w:r>
              <w:t>、税企交流微信群等渠道，</w:t>
            </w:r>
            <w:r>
              <w:rPr>
                <w:rFonts w:hint="eastAsia"/>
              </w:rPr>
              <w:t>通过</w:t>
            </w:r>
            <w:r>
              <w:t>线下实地走访、专项辅导</w:t>
            </w:r>
            <w:r>
              <w:rPr>
                <w:rFonts w:hint="eastAsia"/>
              </w:rPr>
              <w:t>会等方式，做好制造业领域大规模设备更新和消费品以旧换新政策申报辅导，</w:t>
            </w:r>
            <w:r>
              <w:t>指导帮扶企业准备申报材料，确保资料完整、合规，提高补贴资金申请的成功率。</w:t>
            </w:r>
          </w:p>
          <w:p>
            <w:pPr>
              <w:pStyle w:val="51"/>
              <w:ind w:firstLine="562"/>
              <w:rPr>
                <w:b/>
                <w:bCs/>
              </w:rPr>
            </w:pPr>
            <w:r>
              <w:rPr>
                <w:rFonts w:hint="eastAsia"/>
                <w:b/>
                <w:bCs/>
              </w:rPr>
              <w:t>宣传好《先进制造业企业增值税加计抵减政策》。</w:t>
            </w:r>
            <w:r>
              <w:rPr>
                <w:rFonts w:hint="eastAsia"/>
              </w:rPr>
              <w:t>根据湖南省工业和信息化厅年度发布的享受增值税加计抵减政策的先进制造业企业名单，精准“圈定”政策适用纳税人，</w:t>
            </w:r>
            <w:r>
              <w:t>对退税减税政策进行全方位、立体化、多角度宣传，</w:t>
            </w:r>
            <w:r>
              <w:rPr>
                <w:rFonts w:hint="eastAsia"/>
              </w:rPr>
              <w:t>确保纳税人对政策应知尽知、应享尽享，</w:t>
            </w:r>
            <w:r>
              <w:t>税收优惠政策直达市场主体。</w:t>
            </w:r>
          </w:p>
        </w:tc>
      </w:tr>
    </w:tbl>
    <w:p>
      <w:pPr>
        <w:pStyle w:val="4"/>
      </w:pPr>
      <w:r>
        <w:t>加强人才培养平台建设</w:t>
      </w:r>
    </w:p>
    <w:p>
      <w:pPr>
        <w:pStyle w:val="51"/>
        <w:ind w:firstLine="562"/>
      </w:pPr>
      <w:r>
        <w:rPr>
          <w:rFonts w:hint="eastAsia"/>
          <w:b/>
          <w:bCs/>
        </w:rPr>
        <w:t>精心“筑巢”，拓宽渠道引才。</w:t>
      </w:r>
      <w:r>
        <w:rPr>
          <w:rFonts w:hint="eastAsia"/>
        </w:rPr>
        <w:t>推进返乡创新创业。结合商会、经促会等平台，深入开展“迎老乡、回故乡、共建新桃江”“智慧潇湘·鸿雁之约”等返乡主题实践活动，吸引桃江优秀人才回乡创业。加强优秀人才储备。推进先进装备制造人才服务站建设，完善桃江籍专家、教授、院士等各类人才库建设，通过聘请产业技术顾问、挂职引进等多种方式招才引智。搭建智能招聘平台。依托桃江县智能化人力资源市场“零工驿站”专栏，实现精准推荐岗位，精准匹配人才，精准就业服务。</w:t>
      </w:r>
    </w:p>
    <w:p>
      <w:pPr>
        <w:pStyle w:val="51"/>
        <w:ind w:firstLine="562"/>
      </w:pPr>
      <w:r>
        <w:rPr>
          <w:rFonts w:hint="eastAsia"/>
          <w:b/>
          <w:bCs/>
        </w:rPr>
        <w:t>专心“暖巢”，培训锻炼育才。</w:t>
      </w:r>
      <w:r>
        <w:rPr>
          <w:rFonts w:hint="eastAsia"/>
        </w:rPr>
        <w:t>大力培养先进装备制造业技术技能人才，充分激活和释放“工程师红利”。造就一支素质优良的知识型、技能型、创新型劳动者大军。需贯彻落实《湖南省职业教育改革实施方案》，紧扣“五大工程”，优化高等教育结构，在巩固研究型大学优势的同时，大力发展职业技术教育机构。依托龙头企业组建高端人才工作服务站点（博士工作站、博士后科研流动站、院士工作站等），通过设立创业投资基金、科技孵化资金和知识产权作价入股等方式，搭建科技人才与产业对接平台，引进高层次人才来园区服务。推进产学研用联动，支持省、市内高校、科研机构与企业联合培养产业人才。</w:t>
      </w:r>
    </w:p>
    <w:p>
      <w:pPr>
        <w:pStyle w:val="51"/>
        <w:ind w:firstLine="562"/>
      </w:pPr>
      <w:r>
        <w:rPr>
          <w:rFonts w:hint="eastAsia"/>
          <w:b/>
          <w:bCs/>
        </w:rPr>
        <w:t>暖心“固巢”，优化服务留才。</w:t>
      </w:r>
      <w:r>
        <w:rPr>
          <w:rFonts w:hint="eastAsia"/>
        </w:rPr>
        <w:t>严格落实留才机制。落实《益阳市“十四五”人才发展规划》《桃江县人才引进工作暂行办法》等政策，完善人才服务和经费保障机制，在安家补助费、工资福利、配偶随调随迁服务、子女入托入学、住房等方面给予优惠，对表现突出的破格提拔使用，提升人才的幸福感和成就感。开展暖心联系活动，县级领导每半年至少联系优秀人才一次，关心其思想、工作及生活情况，协调解决其提出的问题和困难，为人才充分发挥作用创造条件、提供服务。严格督导检查，督促各用人单位做好人才服务工作，搞好“传帮带”，加强技能培训，进一步优化人才生态环境。</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1"/>
              <w:ind w:firstLine="0" w:firstLineChars="0"/>
              <w:jc w:val="center"/>
              <w:rPr>
                <w:rFonts w:eastAsia="黑体"/>
                <w:spacing w:val="-3"/>
                <w:szCs w:val="28"/>
              </w:rPr>
            </w:pPr>
            <w:r>
              <w:rPr>
                <w:rFonts w:eastAsia="黑体"/>
                <w:spacing w:val="-3"/>
                <w:szCs w:val="28"/>
              </w:rPr>
              <w:t>专栏5 技能型人才引育重点任务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51"/>
              <w:ind w:firstLine="562"/>
            </w:pPr>
            <w:r>
              <w:rPr>
                <w:b/>
                <w:bCs/>
              </w:rPr>
              <w:t>加大人才培养力度。</w:t>
            </w:r>
            <w:r>
              <w:t>深入实施人才强县</w:t>
            </w:r>
            <w:r>
              <w:rPr>
                <w:rFonts w:hint="eastAsia"/>
              </w:rPr>
              <w:t>战略，落实省市“人才计划”和益阳人才新政25条，营造良好科技人才发展环境，全方位培养、引进、用好科技人才。加大本土科技人才培养力度，通过设立专项基金、支持科研项目、举办高层次学术论坛等方式，鼓励和支持本地科技人才不断提升专业技能和创新能力。</w:t>
            </w:r>
          </w:p>
          <w:p>
            <w:pPr>
              <w:pStyle w:val="51"/>
              <w:ind w:firstLine="562"/>
            </w:pPr>
            <w:r>
              <w:rPr>
                <w:b/>
                <w:bCs/>
              </w:rPr>
              <w:t>拓宽人才引进渠道</w:t>
            </w:r>
            <w:r>
              <w:t>。利用线上线下相结合的方式，开展全球范围内的招才引智活动，特别是针对紧缺领域和关键岗位，实施更加灵活多样的引才政策，吸引更多高层次科技人才落户桃江县。</w:t>
            </w:r>
          </w:p>
        </w:tc>
      </w:tr>
    </w:tbl>
    <w:p>
      <w:pPr>
        <w:pStyle w:val="3"/>
      </w:pPr>
      <w:bookmarkStart w:id="62" w:name="_Toc6871"/>
      <w:bookmarkStart w:id="63" w:name="_Toc182908017"/>
      <w:r>
        <w:t>品牌质量提升</w:t>
      </w:r>
      <w:bookmarkEnd w:id="62"/>
      <w:r>
        <w:t>行动</w:t>
      </w:r>
      <w:bookmarkEnd w:id="63"/>
    </w:p>
    <w:p>
      <w:pPr>
        <w:pStyle w:val="4"/>
      </w:pPr>
      <w:r>
        <w:t>打造先进制造业产业集群</w:t>
      </w:r>
    </w:p>
    <w:p>
      <w:pPr>
        <w:pStyle w:val="51"/>
        <w:ind w:firstLine="560"/>
      </w:pPr>
      <w:r>
        <w:t>聚焦先进装备制造产业错位发展，桃江县重点聚焦在工程机械关键基础零部件生产、轨道交通关键基础零部件和重大成套设备及其他智能设备制造领域。支持重点先进装备制造业集聚区按照产业集群方式优化整合，强化产业链上下游协同，培育形成具有示范效应的先进装备制造业集群。成立桃江县先进装备制造产业集群促进组织，工程机械和轨道交通零部件中小企业特色产业集群参加年度湖南省产业集群竞赛，争取3年内通过初赛，5年内通过决赛。</w:t>
      </w:r>
    </w:p>
    <w:p>
      <w:pPr>
        <w:pStyle w:val="4"/>
      </w:pPr>
      <w:r>
        <w:t>争取纳入省级先进制造业省级配套产业园区布局</w:t>
      </w:r>
    </w:p>
    <w:p>
      <w:pPr>
        <w:pStyle w:val="51"/>
        <w:ind w:firstLine="560"/>
      </w:pPr>
      <w:r>
        <w:t>围绕长株潭地区蓬勃发展的轨道交通产业与工程机械产业，积极提升其零部件配套能力，通过优化产业结构、强化技术创新与提升产品质量，力求深度融入这一区域产业链的关键环节。推动政府与企业携手合作，加大投资力度，引进先进生产设备和技术人才，专注于精密制造与高效生产，争取纳入湖南省先进制造业省级配套产业园区布局。</w:t>
      </w:r>
    </w:p>
    <w:p>
      <w:pPr>
        <w:pStyle w:val="4"/>
      </w:pPr>
      <w:r>
        <w:t>推进标准体系建设</w:t>
      </w:r>
    </w:p>
    <w:p>
      <w:pPr>
        <w:pStyle w:val="51"/>
        <w:ind w:firstLine="560"/>
      </w:pPr>
      <w:r>
        <w:t>健全协会组织，成立桃江县先进装备制造产业协会，发挥协会组织作用，积极开展行业发展形势分析研究，制定行业规范条件和产品标准，促进行业自律，推进产业链配套和协同创新，组织开展合作交流，联合开拓国内国际市场，协助政府研究制定产业政策，促进先进装备制造产业健康有序发展。</w:t>
      </w:r>
    </w:p>
    <w:p>
      <w:pPr>
        <w:pStyle w:val="3"/>
      </w:pPr>
      <w:bookmarkStart w:id="64" w:name="_Toc182908018"/>
      <w:bookmarkStart w:id="65" w:name="_Toc8641"/>
      <w:r>
        <w:t>数实融合升级行动</w:t>
      </w:r>
      <w:bookmarkEnd w:id="64"/>
    </w:p>
    <w:p>
      <w:pPr>
        <w:pStyle w:val="4"/>
      </w:pPr>
      <w:bookmarkStart w:id="66" w:name="_Toc25010"/>
      <w:bookmarkStart w:id="67" w:name="_Toc20998"/>
      <w:r>
        <w:rPr>
          <w:rFonts w:hint="eastAsia"/>
        </w:rPr>
        <w:t>开展“智赋万企”行动</w:t>
      </w:r>
    </w:p>
    <w:p>
      <w:pPr>
        <w:pStyle w:val="51"/>
        <w:ind w:firstLine="560"/>
        <w:rPr>
          <w:highlight w:val="yellow"/>
        </w:rPr>
      </w:pPr>
      <w:r>
        <w:t>强化数</w:t>
      </w:r>
      <w:r>
        <w:rPr>
          <w:rFonts w:hint="eastAsia"/>
        </w:rPr>
        <w:t>字化“网络底座”和基</w:t>
      </w:r>
      <w:r>
        <w:t>础支撑，加快布局实施一批5G、大数据、人工智能、工业互联网</w:t>
      </w:r>
      <w:r>
        <w:rPr>
          <w:rFonts w:hint="eastAsia"/>
        </w:rPr>
        <w:t>等“新基建”项目。发挥福德电气省级智能制造标杆车间示范带动作用，聚焦制动电阻、动力电池等领域，推进柔性生产线、数字化车间、智能工厂等建设，打造一批智能制造示范标杆，全面提升企业智能化水平。鼓励达荣自动化设备、科惠汽配等中小企业“上云上平台”，加快关</w:t>
      </w:r>
      <w:r>
        <w:t>键工序及设备应连尽连和升级优化，加强两化融合贯标。加快工业互联网应用普及，鼓励有条件的企业搭建企业级工业互联网平台，促进企业生产管理关键环节数字化、网络化、智能化升级，培育</w:t>
      </w:r>
      <w:r>
        <w:rPr>
          <w:rFonts w:hint="eastAsia"/>
        </w:rPr>
        <w:t>和发展行业性、区域性工业互联网“大脑”，提升产业链协同能力。</w:t>
      </w:r>
      <w:bookmarkEnd w:id="66"/>
      <w:bookmarkEnd w:id="67"/>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8296" w:type="dxa"/>
            <w:tcBorders>
              <w:top w:val="single" w:color="auto" w:sz="4" w:space="0"/>
              <w:left w:val="single" w:color="auto" w:sz="4" w:space="0"/>
              <w:bottom w:val="single" w:color="auto" w:sz="4" w:space="0"/>
              <w:right w:val="single" w:color="auto" w:sz="4" w:space="0"/>
              <w:tl2br w:val="nil"/>
              <w:tr2bl w:val="nil"/>
            </w:tcBorders>
            <w:noWrap/>
          </w:tcPr>
          <w:p>
            <w:pPr>
              <w:pStyle w:val="51"/>
              <w:ind w:firstLine="0" w:firstLineChars="0"/>
              <w:jc w:val="center"/>
              <w:rPr>
                <w:rFonts w:eastAsia="黑体"/>
                <w:spacing w:val="-3"/>
                <w:szCs w:val="28"/>
              </w:rPr>
            </w:pPr>
            <w:r>
              <w:rPr>
                <w:rFonts w:eastAsia="黑体"/>
                <w:spacing w:val="-3"/>
                <w:szCs w:val="28"/>
              </w:rPr>
              <w:t>专栏6 智能制造标杆示范创建重点任务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tcBorders>
              <w:top w:val="single" w:color="auto" w:sz="4" w:space="0"/>
              <w:left w:val="single" w:color="auto" w:sz="4" w:space="0"/>
              <w:bottom w:val="single" w:color="auto" w:sz="4" w:space="0"/>
              <w:right w:val="single" w:color="auto" w:sz="4" w:space="0"/>
              <w:tl2br w:val="nil"/>
              <w:tr2bl w:val="nil"/>
            </w:tcBorders>
            <w:noWrap/>
          </w:tcPr>
          <w:p>
            <w:pPr>
              <w:pStyle w:val="51"/>
              <w:ind w:firstLine="560"/>
              <w:rPr>
                <w:highlight w:val="yellow"/>
              </w:rPr>
            </w:pPr>
            <w:r>
              <w:t>以轨道交通关键基础零部件、工程机械关键基础零部件、重大成套设备及其他智能设备等领域龙头企业为重点，重点推进省级智能制造标杆车间、标杆企业建设，支持有条件的企业争创国家级智能制造标杆企业（示范工厂），带动提升本地配套企业数字化、网络化、智能化发展水平。到2030年，力争培育省级智能制造生产线（车间）</w:t>
            </w:r>
            <w:r>
              <w:rPr>
                <w:rFonts w:hint="eastAsia"/>
              </w:rPr>
              <w:t>6条</w:t>
            </w:r>
            <w:r>
              <w:t>、省级智能制造标杆企业</w:t>
            </w:r>
            <w:r>
              <w:rPr>
                <w:rFonts w:hint="eastAsia"/>
              </w:rPr>
              <w:t>5</w:t>
            </w:r>
            <w:r>
              <w:t>家、</w:t>
            </w:r>
            <w:r>
              <w:rPr>
                <w:rFonts w:hint="eastAsia"/>
              </w:rPr>
              <w:t>“</w:t>
            </w:r>
            <w:r>
              <w:t>5G+工业互</w:t>
            </w:r>
            <w:r>
              <w:rPr>
                <w:rFonts w:hint="eastAsia"/>
              </w:rPr>
              <w:t>联网”</w:t>
            </w:r>
            <w:r>
              <w:t>示范工厂</w:t>
            </w:r>
            <w:r>
              <w:rPr>
                <w:rFonts w:hint="eastAsia"/>
              </w:rPr>
              <w:t>1</w:t>
            </w:r>
            <w:r>
              <w:t>家。</w:t>
            </w:r>
          </w:p>
        </w:tc>
      </w:tr>
    </w:tbl>
    <w:p>
      <w:pPr>
        <w:pStyle w:val="4"/>
      </w:pPr>
      <w:bookmarkStart w:id="68" w:name="_Toc31948"/>
      <w:bookmarkStart w:id="69" w:name="_Toc15822"/>
      <w:r>
        <w:t>推进设计制造深度融合</w:t>
      </w:r>
    </w:p>
    <w:p>
      <w:pPr>
        <w:pStyle w:val="51"/>
        <w:ind w:firstLine="560"/>
      </w:pPr>
      <w:r>
        <w:t>鼓励企业加大工业设计投入，提升设计水平和创新能力，将设计创新融入产品开发全过程，提升产品附加值和市场竞争力。加强对制造业企业工业设计中心的培育、认定、管理和扶持工作，梯次培育不同层级的工业设计中心，包括国家级、省级和市级，形成由点及面的设计创新网络。为先进装备制造业工业设计中心提供政策支持、资金扶持和技术指导，促进其发展壮大，成为行业设计创新的引领者。</w:t>
      </w:r>
    </w:p>
    <w:p>
      <w:pPr>
        <w:pStyle w:val="4"/>
      </w:pPr>
      <w:r>
        <w:t>建设智能制造先行区</w:t>
      </w:r>
    </w:p>
    <w:bookmarkEnd w:id="68"/>
    <w:bookmarkEnd w:id="69"/>
    <w:p>
      <w:pPr>
        <w:pStyle w:val="51"/>
        <w:ind w:firstLine="560"/>
      </w:pPr>
      <w:r>
        <w:t>推</w:t>
      </w:r>
      <w:r>
        <w:rPr>
          <w:rFonts w:hint="eastAsia"/>
        </w:rPr>
        <w:t>动桃江高新区创建省级智能制造先行区，打造智能制造创新技术策源地、示范应用集聚区、关键装备和解决方案输出地，构建完善区域智能制造发展生态，更好地服务于产业智能化、数字化、网络化转型。深化“智赋万企”等新一代信息技术在园区管理过程中的创新应用，提升产业服务效能。构建“点线面”结合的智能制造试点示范体系，聚焦工业经济、数据共享、要素数字化等方面梳理一批智能制造新模式新业态、凝练一批智能制造典型场景，加速新技术、新装备、新模式推广应用。加大智能制造数字化转型服务商引育力度，重点面向先进装备制造产业链主企业及其上下游提供组团式服务，开展规划咨询、场景挖掘、供需对接、合作交流等，服务企业进行“智改数转”。</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96"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51"/>
              <w:ind w:firstLine="0" w:firstLineChars="0"/>
              <w:jc w:val="center"/>
              <w:rPr>
                <w:rFonts w:eastAsia="黑体"/>
                <w:spacing w:val="-3"/>
                <w:szCs w:val="28"/>
              </w:rPr>
            </w:pPr>
            <w:r>
              <w:rPr>
                <w:rFonts w:eastAsia="黑体"/>
                <w:spacing w:val="-3"/>
                <w:szCs w:val="28"/>
              </w:rPr>
              <w:t>专栏</w:t>
            </w:r>
            <w:r>
              <w:rPr>
                <w:rFonts w:hint="eastAsia" w:eastAsia="黑体"/>
                <w:spacing w:val="-3"/>
                <w:szCs w:val="28"/>
              </w:rPr>
              <w:t>7</w:t>
            </w:r>
            <w:r>
              <w:rPr>
                <w:rFonts w:eastAsia="黑体"/>
                <w:spacing w:val="-3"/>
                <w:szCs w:val="28"/>
              </w:rPr>
              <w:t xml:space="preserve"> 智能制造系统解决方案供应商培育重点任务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296"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51"/>
              <w:ind w:firstLine="560"/>
            </w:pPr>
            <w:r>
              <w:t>加大优质系统解决方案供应商引进力度，引导福德电气、</w:t>
            </w:r>
            <w:r>
              <w:rPr>
                <w:rFonts w:hint="eastAsia"/>
              </w:rPr>
              <w:t>紫荆铸业</w:t>
            </w:r>
            <w:r>
              <w:t>、新兴管件等园区综合实力强、具有自主研发能力和先进装备供给资源的企业向智能制造系统解决方案供应商转型，支持系统解决方案供应商联合装备制造商、软件开发商，推进智能制造装备、核心软件、工业互联网的集成应用。到2030年，</w:t>
            </w:r>
            <w:r>
              <w:rPr>
                <w:rFonts w:hint="eastAsia"/>
              </w:rPr>
              <w:t>力争</w:t>
            </w:r>
            <w:r>
              <w:t>培育省级智能制造系统解决方案供应商2家以上。</w:t>
            </w:r>
          </w:p>
        </w:tc>
      </w:tr>
    </w:tbl>
    <w:p>
      <w:pPr>
        <w:pStyle w:val="3"/>
      </w:pPr>
      <w:bookmarkStart w:id="70" w:name="_Toc182908019"/>
      <w:r>
        <w:t>绿色安全发展行动</w:t>
      </w:r>
      <w:bookmarkEnd w:id="70"/>
    </w:p>
    <w:p>
      <w:pPr>
        <w:pStyle w:val="4"/>
      </w:pPr>
      <w:bookmarkStart w:id="71" w:name="_Toc11385"/>
      <w:bookmarkStart w:id="72" w:name="_Toc415"/>
      <w:r>
        <w:t>推动绿色化转型</w:t>
      </w:r>
    </w:p>
    <w:p>
      <w:pPr>
        <w:pStyle w:val="51"/>
        <w:ind w:firstLine="560"/>
      </w:pPr>
      <w:r>
        <w:rPr>
          <w:rFonts w:hint="eastAsia"/>
        </w:rPr>
        <w:t>支持企业基于产品全生命周期理念，创建绿色制造体系，持续提升绿色制造水平，支持企业创建绿色工厂、开发绿色设计产品。鼓励企业采用先进的环保技术和管理方法，如清洁生产、循环经济、节能减排等，从源头减少污染和资源消耗。支持企业开展绿色供应链管理，优先选用环保材料和绿色包装，降低产品全生命周期的环境影响。建立和完善绿色制造标准和评价体系，引导企业按照国际国内先进标准进行绿色工厂建设和改造。鼓励桃江高新区</w:t>
      </w:r>
      <w:r>
        <w:t>积极探索绿色园区建设新模式和新路径</w:t>
      </w:r>
      <w:r>
        <w:rPr>
          <w:rFonts w:hint="eastAsia"/>
        </w:rPr>
        <w:t>，推进园区内工厂之间的统筹链接，实现工业园区产业和基础设施的绿色化。积极争创国家、省级重点用能行业能效“领跑者”企业，培育一批节水型企业。</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51"/>
              <w:ind w:firstLine="0" w:firstLineChars="0"/>
              <w:jc w:val="center"/>
              <w:rPr>
                <w:rFonts w:eastAsia="黑体"/>
                <w:spacing w:val="-3"/>
                <w:szCs w:val="28"/>
              </w:rPr>
            </w:pPr>
            <w:r>
              <w:rPr>
                <w:rFonts w:eastAsia="黑体"/>
                <w:spacing w:val="-3"/>
                <w:szCs w:val="28"/>
              </w:rPr>
              <w:t>专栏</w:t>
            </w:r>
            <w:r>
              <w:rPr>
                <w:rFonts w:hint="eastAsia" w:eastAsia="黑体"/>
                <w:spacing w:val="-3"/>
                <w:szCs w:val="28"/>
              </w:rPr>
              <w:t>8</w:t>
            </w:r>
            <w:r>
              <w:rPr>
                <w:rFonts w:eastAsia="黑体"/>
                <w:spacing w:val="-3"/>
                <w:szCs w:val="28"/>
              </w:rPr>
              <w:t xml:space="preserve"> 绿色制造体系培育重点任务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51"/>
              <w:ind w:firstLine="560"/>
            </w:pPr>
            <w:r>
              <w:t>重点引导福德电气、紫荆铸业等基础好、代表性强、供应链管理基础好的企业创</w:t>
            </w:r>
            <w:r>
              <w:rPr>
                <w:rFonts w:hint="eastAsia"/>
              </w:rPr>
              <w:t>建绿色工厂、绿色供应链，积极开发绿色设计产品，开展节能诊断，培育能效“领跑者”、水效“领跑者”、绿</w:t>
            </w:r>
            <w:r>
              <w:t>色制造系统解决方案供应商。到2030年，新增创建省级绿色工厂</w:t>
            </w:r>
            <w:r>
              <w:rPr>
                <w:rFonts w:hint="eastAsia"/>
              </w:rPr>
              <w:t>5家，</w:t>
            </w:r>
            <w:r>
              <w:t>绿色供应链</w:t>
            </w:r>
            <w:r>
              <w:rPr>
                <w:rFonts w:hint="eastAsia"/>
              </w:rPr>
              <w:t>项目1</w:t>
            </w:r>
            <w:r>
              <w:t>个</w:t>
            </w:r>
            <w:r>
              <w:rPr>
                <w:rFonts w:hint="eastAsia"/>
              </w:rPr>
              <w:t>，</w:t>
            </w:r>
            <w:r>
              <w:t>绿色设计产品</w:t>
            </w:r>
            <w:r>
              <w:rPr>
                <w:rFonts w:hint="eastAsia"/>
              </w:rPr>
              <w:t>2个，鼓励桃江高新区建设国家级绿色园区。</w:t>
            </w:r>
          </w:p>
        </w:tc>
      </w:tr>
    </w:tbl>
    <w:p>
      <w:pPr>
        <w:pStyle w:val="4"/>
      </w:pPr>
      <w:r>
        <w:t>推进服务化发展</w:t>
      </w:r>
    </w:p>
    <w:p>
      <w:pPr>
        <w:pStyle w:val="51"/>
        <w:ind w:firstLine="560"/>
      </w:pPr>
      <w:r>
        <w:t>推动制造业和服务业深度融合，引导企业由单一产品制造销售向服务型制造企业发展，打造</w:t>
      </w:r>
      <w:r>
        <w:rPr>
          <w:rFonts w:hint="eastAsia"/>
        </w:rPr>
        <w:t>“</w:t>
      </w:r>
      <w:r>
        <w:t>两业融合</w:t>
      </w:r>
      <w:r>
        <w:rPr>
          <w:rFonts w:hint="eastAsia"/>
        </w:rPr>
        <w:t>”</w:t>
      </w:r>
      <w:r>
        <w:t>试点企业，提升制造企业的营销能力与附加价值。重点支持轨道交通关键基础零部件、工程机械关键基础零部件、重大成套设备及其他智能设备产业领域龙</w:t>
      </w:r>
      <w:r>
        <w:rPr>
          <w:rFonts w:hint="eastAsia"/>
        </w:rPr>
        <w:t>头企业加速向“制造+服务”“产品+服务”转型，搭建产品交易、售后服务等多元化平台载体，由制造向集产品研发设计、模块化部</w:t>
      </w:r>
      <w:r>
        <w:t>件设计与组装、个性化定制、产品租赁、检验检测于一体的整体解决方案供应商、总承包商升级。</w:t>
      </w:r>
      <w:bookmarkEnd w:id="71"/>
      <w:bookmarkEnd w:id="72"/>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2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51"/>
              <w:ind w:firstLine="0" w:firstLineChars="0"/>
              <w:jc w:val="center"/>
              <w:rPr>
                <w:rFonts w:eastAsia="黑体"/>
                <w:spacing w:val="-3"/>
                <w:szCs w:val="28"/>
              </w:rPr>
            </w:pPr>
            <w:r>
              <w:rPr>
                <w:rFonts w:eastAsia="黑体"/>
                <w:spacing w:val="-3"/>
                <w:szCs w:val="28"/>
              </w:rPr>
              <w:t>专栏</w:t>
            </w:r>
            <w:r>
              <w:rPr>
                <w:rFonts w:hint="eastAsia" w:eastAsia="黑体"/>
                <w:spacing w:val="-3"/>
                <w:szCs w:val="28"/>
              </w:rPr>
              <w:t>9</w:t>
            </w:r>
            <w:r>
              <w:rPr>
                <w:rFonts w:eastAsia="黑体"/>
                <w:spacing w:val="-3"/>
                <w:szCs w:val="28"/>
              </w:rPr>
              <w:t xml:space="preserve"> 服务型制造示范创建重点任务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22" w:type="dxa"/>
            <w:tcBorders>
              <w:top w:val="single" w:color="auto" w:sz="4" w:space="0"/>
              <w:left w:val="single" w:color="auto" w:sz="4" w:space="0"/>
              <w:bottom w:val="single" w:color="auto" w:sz="4" w:space="0"/>
              <w:right w:val="single" w:color="auto" w:sz="4" w:space="0"/>
              <w:tl2br w:val="nil"/>
              <w:tr2bl w:val="nil"/>
            </w:tcBorders>
            <w:noWrap/>
            <w:vAlign w:val="center"/>
          </w:tcPr>
          <w:p>
            <w:pPr>
              <w:pStyle w:val="51"/>
              <w:ind w:firstLine="560"/>
              <w:rPr>
                <w:b/>
                <w:bCs/>
              </w:rPr>
            </w:pPr>
            <w:r>
              <w:rPr>
                <w:rFonts w:hint="eastAsia"/>
              </w:rPr>
              <w:t>全面落实《湖南省“两业融合共进”行动方案（2024—2027年）》，鼓励新兴管件、金沙重工、福德电气、紫荆铸业等骨干企业发展总集成总承包和系统解决方案，发展装备工业设计、设备制造与安装调试、远程运维、故障诊断、数据处理等服务，提高全生命周期增值服务在装备价值中的比重。</w:t>
            </w:r>
          </w:p>
        </w:tc>
      </w:tr>
      <w:bookmarkEnd w:id="59"/>
      <w:bookmarkEnd w:id="65"/>
    </w:tbl>
    <w:p>
      <w:pPr>
        <w:pStyle w:val="4"/>
      </w:pPr>
      <w:bookmarkStart w:id="73" w:name="_Toc13178"/>
      <w:bookmarkStart w:id="74" w:name="_Toc28430"/>
      <w:r>
        <w:t>推进安全化发展</w:t>
      </w:r>
    </w:p>
    <w:p>
      <w:pPr>
        <w:pStyle w:val="51"/>
        <w:ind w:firstLine="560"/>
      </w:pPr>
      <w:r>
        <w:rPr>
          <w:rFonts w:hint="eastAsia"/>
        </w:rPr>
        <w:t>深化“平安企业”“平安园区”创建，建立项目安全准入清单，健全安全风险分级管控和隐患排查治理双重预防机制，推进全县安全生产治理体系和治理能力现代化。落实企业安全生产主体责任，强化安全生产教育培训，做好做实应急预案，严格规范“三同时”审查，实现“零事故”目标。加强先进装备制造产业发展安全风险评估和管控，做好桃江高新区企业准入管理与安全风险防范，配备应急事故池等公共设施和应急救援物资。建设安全监管信息共享平台，实现集约化、可视化安全监管信息共享，提升园区智慧化安全管理水平，实现园区安全高质量发展。</w:t>
      </w:r>
      <w:bookmarkEnd w:id="73"/>
      <w:bookmarkEnd w:id="74"/>
    </w:p>
    <w:p>
      <w:pPr>
        <w:widowControl/>
        <w:spacing w:line="240" w:lineRule="auto"/>
        <w:jc w:val="left"/>
        <w:rPr>
          <w:rFonts w:ascii="Times New Roman" w:hAnsi="Times New Roman" w:eastAsia="黑体"/>
          <w:kern w:val="44"/>
          <w:sz w:val="36"/>
          <w:szCs w:val="36"/>
        </w:rPr>
      </w:pPr>
      <w:r>
        <w:rPr>
          <w:rFonts w:ascii="Times New Roman" w:hAnsi="Times New Roman"/>
        </w:rPr>
        <w:br w:type="page"/>
      </w:r>
    </w:p>
    <w:p>
      <w:pPr>
        <w:pStyle w:val="2"/>
        <w:rPr>
          <w:rFonts w:ascii="Times New Roman" w:hAnsi="Times New Roman"/>
        </w:rPr>
      </w:pPr>
      <w:bookmarkStart w:id="75" w:name="_Toc182908020"/>
      <w:r>
        <w:rPr>
          <w:rFonts w:ascii="Times New Roman" w:hAnsi="Times New Roman"/>
        </w:rPr>
        <w:t>保障措施</w:t>
      </w:r>
      <w:bookmarkEnd w:id="75"/>
    </w:p>
    <w:p>
      <w:pPr>
        <w:pStyle w:val="3"/>
      </w:pPr>
      <w:bookmarkStart w:id="76" w:name="_Toc4503"/>
      <w:bookmarkStart w:id="77" w:name="_Toc179649673"/>
      <w:bookmarkStart w:id="78" w:name="_Toc182908021"/>
      <w:bookmarkStart w:id="79" w:name="_Toc167719116"/>
      <w:bookmarkStart w:id="80" w:name="_Toc170996536"/>
      <w:r>
        <w:t>强化组织领导</w:t>
      </w:r>
      <w:bookmarkEnd w:id="76"/>
      <w:bookmarkEnd w:id="77"/>
      <w:bookmarkEnd w:id="78"/>
      <w:bookmarkEnd w:id="79"/>
      <w:bookmarkEnd w:id="80"/>
    </w:p>
    <w:p>
      <w:pPr>
        <w:pStyle w:val="51"/>
        <w:ind w:firstLine="560"/>
      </w:pPr>
      <w:r>
        <w:t>成立桃江县先进装备制造业</w:t>
      </w:r>
      <w:r>
        <w:rPr>
          <w:rFonts w:hint="eastAsia"/>
        </w:rPr>
        <w:t>产业链办公室</w:t>
      </w:r>
      <w:r>
        <w:t>，由县委书记任</w:t>
      </w:r>
      <w:r>
        <w:rPr>
          <w:rFonts w:hint="eastAsia"/>
        </w:rPr>
        <w:t>链长</w:t>
      </w:r>
      <w:r>
        <w:t>，</w:t>
      </w:r>
      <w:r>
        <w:rPr>
          <w:rFonts w:hint="eastAsia"/>
        </w:rPr>
        <w:t>分管工业副县长任副链长，</w:t>
      </w:r>
      <w:r>
        <w:t>县科工局</w:t>
      </w:r>
      <w:r>
        <w:rPr>
          <w:rFonts w:hint="eastAsia"/>
        </w:rPr>
        <w:t>负责日常工作</w:t>
      </w:r>
      <w:r>
        <w:t>。</w:t>
      </w:r>
      <w:r>
        <w:rPr>
          <w:rFonts w:hint="eastAsia"/>
        </w:rPr>
        <w:t>产业链</w:t>
      </w:r>
      <w:r>
        <w:t>办公室主要负责先进装备制造业配套基地建设有关政策文件的制定与落实、重大工作的推进与调度。各相关部门按职责分工、分头推进、密切配合，积极研究解决规划实施中出现的新情况、新问题，结合实际，按照本规划确定的主要任务，认真组织实施。建立全县装备制造产业发展部门间联席会议机制，统筹协调解决装备制造发展中遇到的问题，形成资源共享、协同推进的工作格局。广泛开展宣传培训活动，提高全社会对先进装备制造发展的认识，调动社会各方面参与的主动性、积极性，为实施装备制造产业创造良好社会环境和舆论氛围。</w:t>
      </w:r>
    </w:p>
    <w:p>
      <w:pPr>
        <w:pStyle w:val="3"/>
      </w:pPr>
      <w:bookmarkStart w:id="81" w:name="_Toc9868"/>
      <w:bookmarkStart w:id="82" w:name="_Toc182908022"/>
      <w:bookmarkStart w:id="83" w:name="_Toc167719117"/>
      <w:bookmarkStart w:id="84" w:name="_Toc170996537"/>
      <w:bookmarkStart w:id="85" w:name="_Toc179649674"/>
      <w:r>
        <w:t>加强政策引导</w:t>
      </w:r>
      <w:bookmarkEnd w:id="81"/>
      <w:bookmarkEnd w:id="82"/>
    </w:p>
    <w:p>
      <w:pPr>
        <w:pStyle w:val="51"/>
        <w:ind w:firstLine="560"/>
      </w:pPr>
      <w:r>
        <w:t>积极推动政策出台落地，桃江县要针对全县先进装备制造产业出台针对性强、支持力度大的专项政策，通过设立专项扶持措施，为产业的持续壮大与转型升级提供强有力的政策保障。加强政策跟踪落实。衔接用好用活中央各部委、湖南省各类专项支持政策。按规定落实好高新技术企业税收优惠、企业研究开发费用税前加计扣除、科技型中小企业研发费用100%加计扣除等促进企业技术创新的支持政策。加大对市场主体扶持力度，落实企业奖补政策，放大财税激励作用，加快释放政策红利。加强对《湖南省打造国家重要先进制造业高地若干财政支持政策》的宣传引导，涵盖税收优惠、金融支持、技术创新、人才培养、国际合作与交流等多个方面，为桃江县先进装备制造产业的发展提供全方位的支持和保障。</w:t>
      </w:r>
    </w:p>
    <w:p>
      <w:pPr>
        <w:pStyle w:val="3"/>
      </w:pPr>
      <w:bookmarkStart w:id="86" w:name="_Toc24160"/>
      <w:bookmarkStart w:id="87" w:name="_Toc182908023"/>
      <w:r>
        <w:t>强化</w:t>
      </w:r>
      <w:bookmarkEnd w:id="83"/>
      <w:bookmarkEnd w:id="84"/>
      <w:r>
        <w:t>项目</w:t>
      </w:r>
      <w:bookmarkEnd w:id="85"/>
      <w:r>
        <w:t>建设</w:t>
      </w:r>
      <w:bookmarkEnd w:id="86"/>
      <w:bookmarkEnd w:id="87"/>
    </w:p>
    <w:p>
      <w:pPr>
        <w:pStyle w:val="51"/>
        <w:ind w:firstLine="560"/>
      </w:pPr>
      <w:r>
        <w:t>强化项目储备，项目建设单位和各级职能部门需密切关注国家政策导向，结合</w:t>
      </w:r>
      <w:r>
        <w:rPr>
          <w:rFonts w:hint="eastAsia"/>
        </w:rPr>
        <w:t>县委、县政府</w:t>
      </w:r>
      <w:r>
        <w:t>的工作报告、发展规划等，筛选和策划具有前瞻性和可行性的重大项目。强化项目资金支持，县直部门在各自业务政策范围内积极争取中央、省财政资金，支持先进装备制造产业项目建设。加快项目建设。对于已签约项目，加快推进交通、通信、电力等基础设施建设，提高产业配套能力和服务水平，推动项目尽快落地投产。</w:t>
      </w:r>
    </w:p>
    <w:p>
      <w:pPr>
        <w:pStyle w:val="3"/>
      </w:pPr>
      <w:bookmarkStart w:id="88" w:name="_Toc26939"/>
      <w:bookmarkStart w:id="89" w:name="_Toc179649669"/>
      <w:bookmarkStart w:id="90" w:name="_Toc182908024"/>
      <w:r>
        <w:t>提升要素保障</w:t>
      </w:r>
      <w:bookmarkEnd w:id="88"/>
      <w:bookmarkEnd w:id="89"/>
      <w:bookmarkEnd w:id="90"/>
    </w:p>
    <w:p>
      <w:pPr>
        <w:pStyle w:val="51"/>
        <w:ind w:firstLine="562"/>
      </w:pPr>
      <w:r>
        <w:rPr>
          <w:b/>
          <w:bCs/>
          <w:lang w:val="en-GB"/>
        </w:rPr>
        <w:t>创新土地供给方式。</w:t>
      </w:r>
      <w:r>
        <w:t>用好土地价格差异，改变传统的工业用地一次性出让供地制度，探索弹性出让、先租后让、租让结合、长期租赁、租税互抵等模式，有效降低企业用地成本。</w:t>
      </w:r>
    </w:p>
    <w:p>
      <w:pPr>
        <w:pStyle w:val="51"/>
        <w:ind w:firstLine="562"/>
      </w:pPr>
      <w:r>
        <w:rPr>
          <w:b/>
          <w:bCs/>
        </w:rPr>
        <w:t>强化资金要素保障。</w:t>
      </w:r>
      <w:r>
        <w:t>落实扶持政策，认真贯彻落实国家、省、市、县支持先进装备产业发展的相关政策，每年筛选一批企业和项目给予重点支持，提高企业转型升级积极性，推动产业加快转型。建立重点企业和重大投资项目推介机制，每年向金融部门推介10个以上优质企业和项目，精准对接重点企业融资需求。鼓励企业直接融资，对在主板、中小板、新三板及区域性股权市场上市、挂牌或市场化债转股的企业，按规定给予奖补。</w:t>
      </w:r>
    </w:p>
    <w:p>
      <w:pPr>
        <w:pStyle w:val="51"/>
        <w:ind w:firstLine="562"/>
        <w:rPr>
          <w:b/>
          <w:bCs/>
        </w:rPr>
      </w:pPr>
      <w:r>
        <w:rPr>
          <w:b/>
          <w:bCs/>
        </w:rPr>
        <w:t>加大人才培养力度。</w:t>
      </w:r>
      <w:r>
        <w:t>开展产教对接，建立重点企业人才培育机制，制定重点企业人才需求和引才政策两个清单，绘制重点企业人才图谱，实施企业家素质提升和蓝领工匠培育行动，引进和培育一批先进装备制造产业发展所需的企业管理人才和专业技术人员。</w:t>
      </w:r>
    </w:p>
    <w:p>
      <w:pPr>
        <w:pStyle w:val="51"/>
        <w:ind w:firstLine="560"/>
      </w:pPr>
    </w:p>
    <w:sectPr>
      <w:headerReference r:id="rId7" w:type="default"/>
      <w:pgSz w:w="11906" w:h="16838"/>
      <w:pgMar w:top="1440" w:right="1800" w:bottom="1440" w:left="1800" w:header="851" w:footer="850"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sz w:val="21"/>
        <w:szCs w:val="21"/>
        <w:lang w:val="zh-CN"/>
      </w:rPr>
      <w:id w:val="-498506385"/>
    </w:sdtPr>
    <w:sdtEndPr>
      <w:rPr>
        <w:rFonts w:ascii="宋体" w:hAnsi="宋体" w:eastAsia="宋体"/>
        <w:sz w:val="21"/>
        <w:szCs w:val="21"/>
        <w:lang w:val="zh-CN"/>
      </w:rPr>
    </w:sdtEndPr>
    <w:sdtContent>
      <w:p>
        <w:pPr>
          <w:pStyle w:val="14"/>
          <w:jc w:val="center"/>
          <w:rPr>
            <w:rFonts w:hint="eastAsia" w:ascii="宋体" w:hAnsi="宋体" w:eastAsia="宋体"/>
            <w:sz w:val="21"/>
            <w:szCs w:val="21"/>
            <w:lang w:val="zh-CN"/>
          </w:rPr>
        </w:pPr>
        <w:r>
          <w:rPr>
            <w:rFonts w:ascii="宋体" w:hAnsi="宋体" w:eastAsia="宋体"/>
            <w:sz w:val="21"/>
            <w:szCs w:val="21"/>
            <w:lang w:val="zh-CN"/>
          </w:rPr>
          <w:fldChar w:fldCharType="begin"/>
        </w:r>
        <w:r>
          <w:rPr>
            <w:rFonts w:ascii="宋体" w:hAnsi="宋体" w:eastAsia="宋体"/>
            <w:sz w:val="21"/>
            <w:szCs w:val="21"/>
            <w:lang w:val="zh-CN"/>
          </w:rPr>
          <w:instrText xml:space="preserve">PAGE   \* MERGEFORMAT</w:instrText>
        </w:r>
        <w:r>
          <w:rPr>
            <w:rFonts w:ascii="宋体" w:hAnsi="宋体" w:eastAsia="宋体"/>
            <w:sz w:val="21"/>
            <w:szCs w:val="21"/>
            <w:lang w:val="zh-CN"/>
          </w:rPr>
          <w:fldChar w:fldCharType="separate"/>
        </w:r>
        <w:r>
          <w:rPr>
            <w:rFonts w:ascii="宋体" w:hAnsi="宋体" w:eastAsia="宋体"/>
            <w:sz w:val="21"/>
            <w:szCs w:val="21"/>
            <w:lang w:val="zh-CN"/>
          </w:rPr>
          <w:t>2</w:t>
        </w:r>
        <w:r>
          <w:rPr>
            <w:rFonts w:ascii="宋体" w:hAnsi="宋体" w:eastAsia="宋体"/>
            <w:sz w:val="21"/>
            <w:szCs w:val="21"/>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桃江县先进装备制造                                    产业规划（</w:t>
    </w:r>
    <w:r>
      <w:t>2024—2035年）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桃江县先进装备制造                                    产业规划（</w:t>
    </w:r>
    <w:r>
      <w:t>2024—2035年）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C1E27"/>
    <w:multiLevelType w:val="multilevel"/>
    <w:tmpl w:val="088C1E2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95D2A1C"/>
    <w:multiLevelType w:val="multilevel"/>
    <w:tmpl w:val="195D2A1C"/>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F582D69"/>
    <w:multiLevelType w:val="multilevel"/>
    <w:tmpl w:val="1F582D69"/>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3"/>
      <w:isLgl/>
      <w:suff w:val="space"/>
      <w:lvlText w:val="%1.%2"/>
      <w:lvlJc w:val="left"/>
      <w:pPr>
        <w:ind w:left="0" w:firstLine="0"/>
      </w:pPr>
      <w:rPr>
        <w:rFonts w:hint="default" w:ascii="Times New Roman" w:hAnsi="Times New Roman" w:cs="Times New Roman"/>
        <w:b w:val="0"/>
        <w:bCs/>
      </w:rPr>
    </w:lvl>
    <w:lvl w:ilvl="2" w:tentative="0">
      <w:start w:val="1"/>
      <w:numFmt w:val="decimal"/>
      <w:pStyle w:val="4"/>
      <w:isLgl/>
      <w:suff w:val="space"/>
      <w:lvlText w:val="%1.%2.%3"/>
      <w:lvlJc w:val="left"/>
      <w:pPr>
        <w:ind w:left="0" w:firstLine="0"/>
      </w:pPr>
      <w:rPr>
        <w:rFonts w:hint="default" w:ascii="Times New Roman" w:hAnsi="Times New Roman" w:cs="Times New Roman"/>
      </w:rPr>
    </w:lvl>
    <w:lvl w:ilvl="3" w:tentative="0">
      <w:start w:val="1"/>
      <w:numFmt w:val="decimal"/>
      <w:pStyle w:val="5"/>
      <w:isLgl/>
      <w:suff w:val="space"/>
      <w:lvlText w:val="%1.%2.%3.%4"/>
      <w:lvlJc w:val="left"/>
      <w:pPr>
        <w:ind w:left="0" w:firstLine="0"/>
      </w:pPr>
      <w:rPr>
        <w:rFonts w:hint="eastAsia"/>
        <w:b w:val="0"/>
        <w:bCs/>
      </w:rPr>
    </w:lvl>
    <w:lvl w:ilvl="4" w:tentative="0">
      <w:start w:val="1"/>
      <w:numFmt w:val="none"/>
      <w:suff w:val="nothing"/>
      <w:lvlText w:val=""/>
      <w:lvlJc w:val="left"/>
      <w:pPr>
        <w:ind w:left="0" w:firstLine="0"/>
      </w:pPr>
      <w:rPr>
        <w:rFonts w:hint="eastAsia"/>
      </w:rPr>
    </w:lvl>
    <w:lvl w:ilvl="5" w:tentative="0">
      <w:start w:val="1"/>
      <w:numFmt w:val="decimal"/>
      <w:lvlRestart w:val="2"/>
      <w:pStyle w:val="49"/>
      <w:isLgl/>
      <w:suff w:val="space"/>
      <w:lvlText w:val="图%1.%2-%6"/>
      <w:lvlJc w:val="left"/>
      <w:pPr>
        <w:ind w:left="567" w:firstLine="0"/>
      </w:pPr>
      <w:rPr>
        <w:rFonts w:hint="eastAsia"/>
        <w:b w:val="0"/>
        <w:bCs w:val="0"/>
      </w:rPr>
    </w:lvl>
    <w:lvl w:ilvl="6" w:tentative="0">
      <w:start w:val="1"/>
      <w:numFmt w:val="decimal"/>
      <w:lvlRestart w:val="2"/>
      <w:pStyle w:val="50"/>
      <w:isLgl/>
      <w:suff w:val="space"/>
      <w:lvlText w:val="表%1.%2-%7"/>
      <w:lvlJc w:val="left"/>
      <w:pPr>
        <w:ind w:left="0" w:firstLine="0"/>
      </w:pPr>
      <w:rPr>
        <w:rFonts w:hint="eastAsia"/>
        <w:b w:val="0"/>
        <w:bCs/>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66354CE7"/>
    <w:multiLevelType w:val="multilevel"/>
    <w:tmpl w:val="66354CE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E837885"/>
    <w:multiLevelType w:val="multilevel"/>
    <w:tmpl w:val="6E837885"/>
    <w:lvl w:ilvl="0" w:tentative="0">
      <w:start w:val="1"/>
      <w:numFmt w:val="decimal"/>
      <w:lvlText w:val="%1、"/>
      <w:lvlJc w:val="left"/>
      <w:pPr>
        <w:ind w:left="360" w:hanging="36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4"/>
  </w:num>
  <w:num w:numId="3">
    <w:abstractNumId w:val="3"/>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ZjMDk1ZWUwZDM2OWNjYWM3OGUyYzhkYjBiMzFmZmYifQ=="/>
  </w:docVars>
  <w:rsids>
    <w:rsidRoot w:val="0062538C"/>
    <w:rsid w:val="00002AFB"/>
    <w:rsid w:val="0000645A"/>
    <w:rsid w:val="0000683F"/>
    <w:rsid w:val="000077A2"/>
    <w:rsid w:val="00011D5F"/>
    <w:rsid w:val="00011E3D"/>
    <w:rsid w:val="00012B8A"/>
    <w:rsid w:val="00013E20"/>
    <w:rsid w:val="00014086"/>
    <w:rsid w:val="00014C5F"/>
    <w:rsid w:val="0002537E"/>
    <w:rsid w:val="000314ED"/>
    <w:rsid w:val="000325E0"/>
    <w:rsid w:val="00033325"/>
    <w:rsid w:val="00051D4A"/>
    <w:rsid w:val="00053EAC"/>
    <w:rsid w:val="00054391"/>
    <w:rsid w:val="000556D7"/>
    <w:rsid w:val="00057AE2"/>
    <w:rsid w:val="00061C2B"/>
    <w:rsid w:val="00064369"/>
    <w:rsid w:val="0006482A"/>
    <w:rsid w:val="00064F51"/>
    <w:rsid w:val="00065699"/>
    <w:rsid w:val="00065F26"/>
    <w:rsid w:val="00071759"/>
    <w:rsid w:val="000731F1"/>
    <w:rsid w:val="00074188"/>
    <w:rsid w:val="00076F54"/>
    <w:rsid w:val="00077068"/>
    <w:rsid w:val="00080058"/>
    <w:rsid w:val="00082389"/>
    <w:rsid w:val="000879A7"/>
    <w:rsid w:val="00092BE2"/>
    <w:rsid w:val="000A4466"/>
    <w:rsid w:val="000A554B"/>
    <w:rsid w:val="000B21B2"/>
    <w:rsid w:val="000B37B8"/>
    <w:rsid w:val="000B5D1B"/>
    <w:rsid w:val="000B7482"/>
    <w:rsid w:val="000C0499"/>
    <w:rsid w:val="000C26E0"/>
    <w:rsid w:val="000C2FDD"/>
    <w:rsid w:val="000C708B"/>
    <w:rsid w:val="000D163E"/>
    <w:rsid w:val="000D1704"/>
    <w:rsid w:val="000E25B1"/>
    <w:rsid w:val="000E3BBC"/>
    <w:rsid w:val="000F3EE7"/>
    <w:rsid w:val="000F4893"/>
    <w:rsid w:val="000F6691"/>
    <w:rsid w:val="00100DFD"/>
    <w:rsid w:val="00101CC6"/>
    <w:rsid w:val="001028DC"/>
    <w:rsid w:val="00106EAC"/>
    <w:rsid w:val="00112E07"/>
    <w:rsid w:val="00115F02"/>
    <w:rsid w:val="001229A1"/>
    <w:rsid w:val="0012570D"/>
    <w:rsid w:val="00132C3C"/>
    <w:rsid w:val="00136CCF"/>
    <w:rsid w:val="00137782"/>
    <w:rsid w:val="00140371"/>
    <w:rsid w:val="001443B7"/>
    <w:rsid w:val="0014449A"/>
    <w:rsid w:val="00150ED7"/>
    <w:rsid w:val="001522EC"/>
    <w:rsid w:val="001542A5"/>
    <w:rsid w:val="00163D8D"/>
    <w:rsid w:val="001763C8"/>
    <w:rsid w:val="00181047"/>
    <w:rsid w:val="001860CC"/>
    <w:rsid w:val="001906A5"/>
    <w:rsid w:val="00191228"/>
    <w:rsid w:val="00191F02"/>
    <w:rsid w:val="001929BA"/>
    <w:rsid w:val="00194B9F"/>
    <w:rsid w:val="00195E88"/>
    <w:rsid w:val="001A0C2F"/>
    <w:rsid w:val="001A5437"/>
    <w:rsid w:val="001A66B5"/>
    <w:rsid w:val="001B3ADC"/>
    <w:rsid w:val="001B3B5F"/>
    <w:rsid w:val="001B5105"/>
    <w:rsid w:val="001B601E"/>
    <w:rsid w:val="001B7E84"/>
    <w:rsid w:val="001C3320"/>
    <w:rsid w:val="001C6734"/>
    <w:rsid w:val="001D1A83"/>
    <w:rsid w:val="001D6285"/>
    <w:rsid w:val="001D6B72"/>
    <w:rsid w:val="001F1E9C"/>
    <w:rsid w:val="001F2664"/>
    <w:rsid w:val="00202B40"/>
    <w:rsid w:val="00202C05"/>
    <w:rsid w:val="00203F09"/>
    <w:rsid w:val="00205A04"/>
    <w:rsid w:val="00206981"/>
    <w:rsid w:val="00210536"/>
    <w:rsid w:val="002105E5"/>
    <w:rsid w:val="00213606"/>
    <w:rsid w:val="0021768F"/>
    <w:rsid w:val="00223A86"/>
    <w:rsid w:val="00223C65"/>
    <w:rsid w:val="00224892"/>
    <w:rsid w:val="00225D0D"/>
    <w:rsid w:val="00233723"/>
    <w:rsid w:val="00236F29"/>
    <w:rsid w:val="00237667"/>
    <w:rsid w:val="00240F08"/>
    <w:rsid w:val="00246CDA"/>
    <w:rsid w:val="00251190"/>
    <w:rsid w:val="00251D4D"/>
    <w:rsid w:val="0025274B"/>
    <w:rsid w:val="00252924"/>
    <w:rsid w:val="002530E4"/>
    <w:rsid w:val="0025489F"/>
    <w:rsid w:val="0025493D"/>
    <w:rsid w:val="00254EC9"/>
    <w:rsid w:val="00256EE5"/>
    <w:rsid w:val="00257598"/>
    <w:rsid w:val="0026477A"/>
    <w:rsid w:val="002649E2"/>
    <w:rsid w:val="002672AC"/>
    <w:rsid w:val="0027034D"/>
    <w:rsid w:val="00271B52"/>
    <w:rsid w:val="00272C5B"/>
    <w:rsid w:val="002752E4"/>
    <w:rsid w:val="002808B2"/>
    <w:rsid w:val="0028215E"/>
    <w:rsid w:val="0028226C"/>
    <w:rsid w:val="00284100"/>
    <w:rsid w:val="0028444B"/>
    <w:rsid w:val="00285FB8"/>
    <w:rsid w:val="00286285"/>
    <w:rsid w:val="0029393F"/>
    <w:rsid w:val="00293C69"/>
    <w:rsid w:val="00294600"/>
    <w:rsid w:val="002A28E0"/>
    <w:rsid w:val="002A3BDD"/>
    <w:rsid w:val="002A4668"/>
    <w:rsid w:val="002A5264"/>
    <w:rsid w:val="002B3139"/>
    <w:rsid w:val="002B52AB"/>
    <w:rsid w:val="002B7403"/>
    <w:rsid w:val="002C1A48"/>
    <w:rsid w:val="002C2B4D"/>
    <w:rsid w:val="002C366F"/>
    <w:rsid w:val="002C5A94"/>
    <w:rsid w:val="002D03FD"/>
    <w:rsid w:val="002D2C22"/>
    <w:rsid w:val="002D2F6A"/>
    <w:rsid w:val="002D3DE2"/>
    <w:rsid w:val="002D5A80"/>
    <w:rsid w:val="002D702A"/>
    <w:rsid w:val="002E26C5"/>
    <w:rsid w:val="002F11B4"/>
    <w:rsid w:val="0030190F"/>
    <w:rsid w:val="003028A3"/>
    <w:rsid w:val="00304D00"/>
    <w:rsid w:val="003077C9"/>
    <w:rsid w:val="003172F3"/>
    <w:rsid w:val="00320FDC"/>
    <w:rsid w:val="0032117B"/>
    <w:rsid w:val="003240B6"/>
    <w:rsid w:val="003246A5"/>
    <w:rsid w:val="00324E68"/>
    <w:rsid w:val="0032546D"/>
    <w:rsid w:val="0032602B"/>
    <w:rsid w:val="003260AD"/>
    <w:rsid w:val="003306B7"/>
    <w:rsid w:val="00330AF6"/>
    <w:rsid w:val="003316EE"/>
    <w:rsid w:val="00336CE1"/>
    <w:rsid w:val="0033764E"/>
    <w:rsid w:val="003427EC"/>
    <w:rsid w:val="00342FF2"/>
    <w:rsid w:val="003446C4"/>
    <w:rsid w:val="00345030"/>
    <w:rsid w:val="00347F31"/>
    <w:rsid w:val="00351B35"/>
    <w:rsid w:val="00356654"/>
    <w:rsid w:val="00357041"/>
    <w:rsid w:val="00357415"/>
    <w:rsid w:val="00361080"/>
    <w:rsid w:val="00361DA8"/>
    <w:rsid w:val="003657E3"/>
    <w:rsid w:val="00373673"/>
    <w:rsid w:val="003737E3"/>
    <w:rsid w:val="00376007"/>
    <w:rsid w:val="00380D41"/>
    <w:rsid w:val="003874A9"/>
    <w:rsid w:val="0038784D"/>
    <w:rsid w:val="003905C1"/>
    <w:rsid w:val="00393544"/>
    <w:rsid w:val="00393BAD"/>
    <w:rsid w:val="003A45CE"/>
    <w:rsid w:val="003B34AD"/>
    <w:rsid w:val="003B478E"/>
    <w:rsid w:val="003B55B0"/>
    <w:rsid w:val="003D0205"/>
    <w:rsid w:val="003D1048"/>
    <w:rsid w:val="003D2ABB"/>
    <w:rsid w:val="003D38A4"/>
    <w:rsid w:val="003D51FB"/>
    <w:rsid w:val="003D76C4"/>
    <w:rsid w:val="003E2157"/>
    <w:rsid w:val="003E379A"/>
    <w:rsid w:val="003E42DC"/>
    <w:rsid w:val="003E48B7"/>
    <w:rsid w:val="003E4F65"/>
    <w:rsid w:val="003E5374"/>
    <w:rsid w:val="003F0FD2"/>
    <w:rsid w:val="003F2CB3"/>
    <w:rsid w:val="003F6297"/>
    <w:rsid w:val="003F7A9D"/>
    <w:rsid w:val="00400DCC"/>
    <w:rsid w:val="00406D30"/>
    <w:rsid w:val="00410979"/>
    <w:rsid w:val="00411998"/>
    <w:rsid w:val="00411DC2"/>
    <w:rsid w:val="00413A96"/>
    <w:rsid w:val="00414AC9"/>
    <w:rsid w:val="00416D5D"/>
    <w:rsid w:val="004172D1"/>
    <w:rsid w:val="00420A70"/>
    <w:rsid w:val="00423510"/>
    <w:rsid w:val="00423B35"/>
    <w:rsid w:val="00424C08"/>
    <w:rsid w:val="004251BB"/>
    <w:rsid w:val="00426E2F"/>
    <w:rsid w:val="004270DF"/>
    <w:rsid w:val="00427D49"/>
    <w:rsid w:val="00431024"/>
    <w:rsid w:val="004352C1"/>
    <w:rsid w:val="00436D7B"/>
    <w:rsid w:val="00440E98"/>
    <w:rsid w:val="00441900"/>
    <w:rsid w:val="004423D7"/>
    <w:rsid w:val="00446BE1"/>
    <w:rsid w:val="00447830"/>
    <w:rsid w:val="00450A9A"/>
    <w:rsid w:val="00451D33"/>
    <w:rsid w:val="004551B2"/>
    <w:rsid w:val="004576E6"/>
    <w:rsid w:val="004631DA"/>
    <w:rsid w:val="004664B1"/>
    <w:rsid w:val="00474DBE"/>
    <w:rsid w:val="00483A62"/>
    <w:rsid w:val="00486244"/>
    <w:rsid w:val="004871AE"/>
    <w:rsid w:val="004876AE"/>
    <w:rsid w:val="004907E7"/>
    <w:rsid w:val="00490A53"/>
    <w:rsid w:val="0049111C"/>
    <w:rsid w:val="00492F40"/>
    <w:rsid w:val="004A2F54"/>
    <w:rsid w:val="004A44BE"/>
    <w:rsid w:val="004A7D95"/>
    <w:rsid w:val="004B05FE"/>
    <w:rsid w:val="004B5E1C"/>
    <w:rsid w:val="004C2DDC"/>
    <w:rsid w:val="004C30C2"/>
    <w:rsid w:val="004C387F"/>
    <w:rsid w:val="004C4EBD"/>
    <w:rsid w:val="004C7B46"/>
    <w:rsid w:val="004C7E83"/>
    <w:rsid w:val="004D1E11"/>
    <w:rsid w:val="004E0300"/>
    <w:rsid w:val="004E0898"/>
    <w:rsid w:val="004E7801"/>
    <w:rsid w:val="004F07ED"/>
    <w:rsid w:val="004F0E8C"/>
    <w:rsid w:val="005001A9"/>
    <w:rsid w:val="00501376"/>
    <w:rsid w:val="005023D1"/>
    <w:rsid w:val="005045E9"/>
    <w:rsid w:val="00507766"/>
    <w:rsid w:val="00507959"/>
    <w:rsid w:val="005122F8"/>
    <w:rsid w:val="00517F40"/>
    <w:rsid w:val="00520452"/>
    <w:rsid w:val="00522312"/>
    <w:rsid w:val="0052272C"/>
    <w:rsid w:val="005241CF"/>
    <w:rsid w:val="00531593"/>
    <w:rsid w:val="005340EB"/>
    <w:rsid w:val="005343B3"/>
    <w:rsid w:val="00535F2B"/>
    <w:rsid w:val="00536A31"/>
    <w:rsid w:val="005429FA"/>
    <w:rsid w:val="0054407E"/>
    <w:rsid w:val="00544F0A"/>
    <w:rsid w:val="00551060"/>
    <w:rsid w:val="00553C14"/>
    <w:rsid w:val="00554623"/>
    <w:rsid w:val="00556BA0"/>
    <w:rsid w:val="00560E1B"/>
    <w:rsid w:val="0056316C"/>
    <w:rsid w:val="00565BAC"/>
    <w:rsid w:val="00565BCB"/>
    <w:rsid w:val="0056773A"/>
    <w:rsid w:val="00567B72"/>
    <w:rsid w:val="00570628"/>
    <w:rsid w:val="0057205C"/>
    <w:rsid w:val="005776DC"/>
    <w:rsid w:val="00580721"/>
    <w:rsid w:val="00581E84"/>
    <w:rsid w:val="00583865"/>
    <w:rsid w:val="00583F10"/>
    <w:rsid w:val="00591BF8"/>
    <w:rsid w:val="00592684"/>
    <w:rsid w:val="0059552E"/>
    <w:rsid w:val="0059647B"/>
    <w:rsid w:val="005A7526"/>
    <w:rsid w:val="005B6370"/>
    <w:rsid w:val="005D2662"/>
    <w:rsid w:val="005D4A22"/>
    <w:rsid w:val="005D5009"/>
    <w:rsid w:val="005D764E"/>
    <w:rsid w:val="005E0A7F"/>
    <w:rsid w:val="005E14A6"/>
    <w:rsid w:val="005E3654"/>
    <w:rsid w:val="005E7722"/>
    <w:rsid w:val="005E7BDF"/>
    <w:rsid w:val="005F18ED"/>
    <w:rsid w:val="005F2E06"/>
    <w:rsid w:val="005F5765"/>
    <w:rsid w:val="005F6099"/>
    <w:rsid w:val="00603FEC"/>
    <w:rsid w:val="00610501"/>
    <w:rsid w:val="00610B51"/>
    <w:rsid w:val="0062232E"/>
    <w:rsid w:val="006237D4"/>
    <w:rsid w:val="0062424D"/>
    <w:rsid w:val="0062538C"/>
    <w:rsid w:val="0062768B"/>
    <w:rsid w:val="00627F3C"/>
    <w:rsid w:val="00630541"/>
    <w:rsid w:val="00630D1C"/>
    <w:rsid w:val="00630E6A"/>
    <w:rsid w:val="0063502E"/>
    <w:rsid w:val="006353AA"/>
    <w:rsid w:val="006356CC"/>
    <w:rsid w:val="00642472"/>
    <w:rsid w:val="006433B2"/>
    <w:rsid w:val="00645A6B"/>
    <w:rsid w:val="00647B27"/>
    <w:rsid w:val="00647C65"/>
    <w:rsid w:val="00651E7E"/>
    <w:rsid w:val="006523EA"/>
    <w:rsid w:val="00656289"/>
    <w:rsid w:val="006575FB"/>
    <w:rsid w:val="006600D5"/>
    <w:rsid w:val="006603BC"/>
    <w:rsid w:val="00662FA4"/>
    <w:rsid w:val="00673AA4"/>
    <w:rsid w:val="00674E7F"/>
    <w:rsid w:val="00674FE0"/>
    <w:rsid w:val="00680809"/>
    <w:rsid w:val="006811E6"/>
    <w:rsid w:val="006819B3"/>
    <w:rsid w:val="0068311B"/>
    <w:rsid w:val="00684ECA"/>
    <w:rsid w:val="00686119"/>
    <w:rsid w:val="00686336"/>
    <w:rsid w:val="006876E6"/>
    <w:rsid w:val="00692B55"/>
    <w:rsid w:val="00694F57"/>
    <w:rsid w:val="0069647D"/>
    <w:rsid w:val="00696D86"/>
    <w:rsid w:val="006A1B00"/>
    <w:rsid w:val="006B2499"/>
    <w:rsid w:val="006B6DA3"/>
    <w:rsid w:val="006C27F3"/>
    <w:rsid w:val="006C296C"/>
    <w:rsid w:val="006C6312"/>
    <w:rsid w:val="006C659B"/>
    <w:rsid w:val="006D5510"/>
    <w:rsid w:val="006D6905"/>
    <w:rsid w:val="006E1D61"/>
    <w:rsid w:val="006E349C"/>
    <w:rsid w:val="006E3845"/>
    <w:rsid w:val="006E4CE6"/>
    <w:rsid w:val="006E5979"/>
    <w:rsid w:val="006E6013"/>
    <w:rsid w:val="006F0BDC"/>
    <w:rsid w:val="006F4A93"/>
    <w:rsid w:val="00700722"/>
    <w:rsid w:val="00700CDA"/>
    <w:rsid w:val="00701932"/>
    <w:rsid w:val="00703667"/>
    <w:rsid w:val="00711807"/>
    <w:rsid w:val="00712B7A"/>
    <w:rsid w:val="007134A3"/>
    <w:rsid w:val="00713BCC"/>
    <w:rsid w:val="007152A7"/>
    <w:rsid w:val="00716852"/>
    <w:rsid w:val="0072416B"/>
    <w:rsid w:val="00724FED"/>
    <w:rsid w:val="007255A6"/>
    <w:rsid w:val="007342BF"/>
    <w:rsid w:val="00740D45"/>
    <w:rsid w:val="00740EB1"/>
    <w:rsid w:val="00744C19"/>
    <w:rsid w:val="00747921"/>
    <w:rsid w:val="00750E92"/>
    <w:rsid w:val="007531AF"/>
    <w:rsid w:val="007558FB"/>
    <w:rsid w:val="007572FB"/>
    <w:rsid w:val="00761CFA"/>
    <w:rsid w:val="00767B31"/>
    <w:rsid w:val="00773175"/>
    <w:rsid w:val="00776A4D"/>
    <w:rsid w:val="007805D4"/>
    <w:rsid w:val="00783D5F"/>
    <w:rsid w:val="00785106"/>
    <w:rsid w:val="00785E55"/>
    <w:rsid w:val="007A1C73"/>
    <w:rsid w:val="007A205E"/>
    <w:rsid w:val="007A422B"/>
    <w:rsid w:val="007B1A19"/>
    <w:rsid w:val="007B3334"/>
    <w:rsid w:val="007B4B0A"/>
    <w:rsid w:val="007C01EB"/>
    <w:rsid w:val="007C3C85"/>
    <w:rsid w:val="007C5AB2"/>
    <w:rsid w:val="007C7B0C"/>
    <w:rsid w:val="007D0778"/>
    <w:rsid w:val="007E3D76"/>
    <w:rsid w:val="007E3FC7"/>
    <w:rsid w:val="007E4F4A"/>
    <w:rsid w:val="007F1C9A"/>
    <w:rsid w:val="007F53CE"/>
    <w:rsid w:val="00802001"/>
    <w:rsid w:val="008222C8"/>
    <w:rsid w:val="008240D9"/>
    <w:rsid w:val="008261E4"/>
    <w:rsid w:val="00826DFE"/>
    <w:rsid w:val="0083154A"/>
    <w:rsid w:val="0083778D"/>
    <w:rsid w:val="00837A14"/>
    <w:rsid w:val="008451B5"/>
    <w:rsid w:val="008461CA"/>
    <w:rsid w:val="008476FF"/>
    <w:rsid w:val="00850C49"/>
    <w:rsid w:val="00851037"/>
    <w:rsid w:val="00851E61"/>
    <w:rsid w:val="008522F4"/>
    <w:rsid w:val="0085561C"/>
    <w:rsid w:val="00860091"/>
    <w:rsid w:val="00861574"/>
    <w:rsid w:val="00861AA8"/>
    <w:rsid w:val="00861C96"/>
    <w:rsid w:val="00865967"/>
    <w:rsid w:val="00866D3E"/>
    <w:rsid w:val="008707FD"/>
    <w:rsid w:val="00871680"/>
    <w:rsid w:val="00872802"/>
    <w:rsid w:val="00877958"/>
    <w:rsid w:val="00880241"/>
    <w:rsid w:val="008814D1"/>
    <w:rsid w:val="00886973"/>
    <w:rsid w:val="0089409A"/>
    <w:rsid w:val="00894B99"/>
    <w:rsid w:val="008956DE"/>
    <w:rsid w:val="0089795A"/>
    <w:rsid w:val="00897BB2"/>
    <w:rsid w:val="008A5265"/>
    <w:rsid w:val="008A6AFE"/>
    <w:rsid w:val="008A7A63"/>
    <w:rsid w:val="008B004C"/>
    <w:rsid w:val="008B4341"/>
    <w:rsid w:val="008B45BF"/>
    <w:rsid w:val="008B65C8"/>
    <w:rsid w:val="008B7B87"/>
    <w:rsid w:val="008C36CB"/>
    <w:rsid w:val="008C45CF"/>
    <w:rsid w:val="008C49AD"/>
    <w:rsid w:val="008C5EF4"/>
    <w:rsid w:val="008D6084"/>
    <w:rsid w:val="008D65E1"/>
    <w:rsid w:val="008D7E5D"/>
    <w:rsid w:val="008E188B"/>
    <w:rsid w:val="008E20AA"/>
    <w:rsid w:val="008E3807"/>
    <w:rsid w:val="008E45B9"/>
    <w:rsid w:val="008F1685"/>
    <w:rsid w:val="008F2E15"/>
    <w:rsid w:val="008F4528"/>
    <w:rsid w:val="008F4C00"/>
    <w:rsid w:val="008F69CA"/>
    <w:rsid w:val="00903AC6"/>
    <w:rsid w:val="009047A3"/>
    <w:rsid w:val="009108AB"/>
    <w:rsid w:val="0091147B"/>
    <w:rsid w:val="0091405A"/>
    <w:rsid w:val="0092402D"/>
    <w:rsid w:val="00925388"/>
    <w:rsid w:val="00927DD5"/>
    <w:rsid w:val="009358EB"/>
    <w:rsid w:val="00935A3A"/>
    <w:rsid w:val="009415D8"/>
    <w:rsid w:val="00945E43"/>
    <w:rsid w:val="00952118"/>
    <w:rsid w:val="00953802"/>
    <w:rsid w:val="009566ED"/>
    <w:rsid w:val="00956DF4"/>
    <w:rsid w:val="00961E1D"/>
    <w:rsid w:val="009625BD"/>
    <w:rsid w:val="00964872"/>
    <w:rsid w:val="00964BE3"/>
    <w:rsid w:val="00967E7D"/>
    <w:rsid w:val="0097243E"/>
    <w:rsid w:val="00972A8A"/>
    <w:rsid w:val="00972E07"/>
    <w:rsid w:val="00974B48"/>
    <w:rsid w:val="00977374"/>
    <w:rsid w:val="00981538"/>
    <w:rsid w:val="00982207"/>
    <w:rsid w:val="00982CB9"/>
    <w:rsid w:val="0098404C"/>
    <w:rsid w:val="009847C6"/>
    <w:rsid w:val="00986A35"/>
    <w:rsid w:val="00992740"/>
    <w:rsid w:val="00994052"/>
    <w:rsid w:val="00995EAB"/>
    <w:rsid w:val="009A0B74"/>
    <w:rsid w:val="009A3528"/>
    <w:rsid w:val="009A3657"/>
    <w:rsid w:val="009A3873"/>
    <w:rsid w:val="009A49A3"/>
    <w:rsid w:val="009B3DEA"/>
    <w:rsid w:val="009B5403"/>
    <w:rsid w:val="009B5910"/>
    <w:rsid w:val="009B661E"/>
    <w:rsid w:val="009B7C8D"/>
    <w:rsid w:val="009B7E4E"/>
    <w:rsid w:val="009C5CBD"/>
    <w:rsid w:val="009D2EA2"/>
    <w:rsid w:val="009D4287"/>
    <w:rsid w:val="009D6C8E"/>
    <w:rsid w:val="009E3A84"/>
    <w:rsid w:val="009E3BB4"/>
    <w:rsid w:val="009F2165"/>
    <w:rsid w:val="00A03508"/>
    <w:rsid w:val="00A035A6"/>
    <w:rsid w:val="00A03F6D"/>
    <w:rsid w:val="00A048ED"/>
    <w:rsid w:val="00A04AD0"/>
    <w:rsid w:val="00A10D33"/>
    <w:rsid w:val="00A1156C"/>
    <w:rsid w:val="00A157D8"/>
    <w:rsid w:val="00A16A0D"/>
    <w:rsid w:val="00A17EA7"/>
    <w:rsid w:val="00A27249"/>
    <w:rsid w:val="00A3112A"/>
    <w:rsid w:val="00A322D3"/>
    <w:rsid w:val="00A43F7B"/>
    <w:rsid w:val="00A537BC"/>
    <w:rsid w:val="00A61373"/>
    <w:rsid w:val="00A618AA"/>
    <w:rsid w:val="00A62DCF"/>
    <w:rsid w:val="00A65961"/>
    <w:rsid w:val="00A66A1C"/>
    <w:rsid w:val="00A7052E"/>
    <w:rsid w:val="00A70C90"/>
    <w:rsid w:val="00A71053"/>
    <w:rsid w:val="00A7402E"/>
    <w:rsid w:val="00A74BBE"/>
    <w:rsid w:val="00A7547F"/>
    <w:rsid w:val="00A76075"/>
    <w:rsid w:val="00A76682"/>
    <w:rsid w:val="00A81086"/>
    <w:rsid w:val="00A848FE"/>
    <w:rsid w:val="00A85BB2"/>
    <w:rsid w:val="00A87585"/>
    <w:rsid w:val="00A93117"/>
    <w:rsid w:val="00A9569B"/>
    <w:rsid w:val="00A96C0F"/>
    <w:rsid w:val="00AA21AC"/>
    <w:rsid w:val="00AA24F2"/>
    <w:rsid w:val="00AA50A6"/>
    <w:rsid w:val="00AA5A4D"/>
    <w:rsid w:val="00AA68BE"/>
    <w:rsid w:val="00AA6BCF"/>
    <w:rsid w:val="00AA7211"/>
    <w:rsid w:val="00AA7390"/>
    <w:rsid w:val="00AA798D"/>
    <w:rsid w:val="00AB1F77"/>
    <w:rsid w:val="00AB2918"/>
    <w:rsid w:val="00AB295D"/>
    <w:rsid w:val="00AB48FA"/>
    <w:rsid w:val="00AB5D43"/>
    <w:rsid w:val="00AC2057"/>
    <w:rsid w:val="00AC5CB2"/>
    <w:rsid w:val="00AC6491"/>
    <w:rsid w:val="00AC6589"/>
    <w:rsid w:val="00AD637D"/>
    <w:rsid w:val="00AD6852"/>
    <w:rsid w:val="00AD72A4"/>
    <w:rsid w:val="00AE0A59"/>
    <w:rsid w:val="00AE27B5"/>
    <w:rsid w:val="00AE69CF"/>
    <w:rsid w:val="00AF7D6D"/>
    <w:rsid w:val="00B01470"/>
    <w:rsid w:val="00B01C4C"/>
    <w:rsid w:val="00B07824"/>
    <w:rsid w:val="00B10553"/>
    <w:rsid w:val="00B228F8"/>
    <w:rsid w:val="00B231A0"/>
    <w:rsid w:val="00B246B4"/>
    <w:rsid w:val="00B25927"/>
    <w:rsid w:val="00B36D46"/>
    <w:rsid w:val="00B406A7"/>
    <w:rsid w:val="00B47C93"/>
    <w:rsid w:val="00B47E83"/>
    <w:rsid w:val="00B51924"/>
    <w:rsid w:val="00B519A9"/>
    <w:rsid w:val="00B52154"/>
    <w:rsid w:val="00B52CA8"/>
    <w:rsid w:val="00B53415"/>
    <w:rsid w:val="00B54A23"/>
    <w:rsid w:val="00B572DA"/>
    <w:rsid w:val="00B61E20"/>
    <w:rsid w:val="00B67ACA"/>
    <w:rsid w:val="00B70AE4"/>
    <w:rsid w:val="00B75E78"/>
    <w:rsid w:val="00B76BE9"/>
    <w:rsid w:val="00B777A6"/>
    <w:rsid w:val="00B77D33"/>
    <w:rsid w:val="00B80A5F"/>
    <w:rsid w:val="00B83043"/>
    <w:rsid w:val="00B84F3C"/>
    <w:rsid w:val="00B904DD"/>
    <w:rsid w:val="00B96D78"/>
    <w:rsid w:val="00BA3071"/>
    <w:rsid w:val="00BA330B"/>
    <w:rsid w:val="00BA59E1"/>
    <w:rsid w:val="00BA600E"/>
    <w:rsid w:val="00BB03C1"/>
    <w:rsid w:val="00BB4BB4"/>
    <w:rsid w:val="00BB4BEE"/>
    <w:rsid w:val="00BB4CDC"/>
    <w:rsid w:val="00BB6200"/>
    <w:rsid w:val="00BB6E73"/>
    <w:rsid w:val="00BC2343"/>
    <w:rsid w:val="00BC6244"/>
    <w:rsid w:val="00BD0121"/>
    <w:rsid w:val="00BD1B55"/>
    <w:rsid w:val="00BD3908"/>
    <w:rsid w:val="00BE2DFA"/>
    <w:rsid w:val="00BE3D18"/>
    <w:rsid w:val="00BE3F7D"/>
    <w:rsid w:val="00BE5988"/>
    <w:rsid w:val="00BE59B6"/>
    <w:rsid w:val="00BF2FEE"/>
    <w:rsid w:val="00BF482D"/>
    <w:rsid w:val="00BF58E7"/>
    <w:rsid w:val="00BF66F4"/>
    <w:rsid w:val="00C01DFB"/>
    <w:rsid w:val="00C05C31"/>
    <w:rsid w:val="00C06505"/>
    <w:rsid w:val="00C11368"/>
    <w:rsid w:val="00C1224B"/>
    <w:rsid w:val="00C1766F"/>
    <w:rsid w:val="00C2484C"/>
    <w:rsid w:val="00C30894"/>
    <w:rsid w:val="00C32A86"/>
    <w:rsid w:val="00C358C6"/>
    <w:rsid w:val="00C450FC"/>
    <w:rsid w:val="00C46A40"/>
    <w:rsid w:val="00C50145"/>
    <w:rsid w:val="00C52C46"/>
    <w:rsid w:val="00C52F87"/>
    <w:rsid w:val="00C54482"/>
    <w:rsid w:val="00C567B5"/>
    <w:rsid w:val="00C600EC"/>
    <w:rsid w:val="00C6119D"/>
    <w:rsid w:val="00C64F2F"/>
    <w:rsid w:val="00C672FD"/>
    <w:rsid w:val="00C704DE"/>
    <w:rsid w:val="00C76ED8"/>
    <w:rsid w:val="00C80B77"/>
    <w:rsid w:val="00C83782"/>
    <w:rsid w:val="00C83B9B"/>
    <w:rsid w:val="00C9163F"/>
    <w:rsid w:val="00C921A4"/>
    <w:rsid w:val="00C949CC"/>
    <w:rsid w:val="00C94A9D"/>
    <w:rsid w:val="00C951F2"/>
    <w:rsid w:val="00C957F4"/>
    <w:rsid w:val="00CA5804"/>
    <w:rsid w:val="00CA5F71"/>
    <w:rsid w:val="00CB4C5B"/>
    <w:rsid w:val="00CC2511"/>
    <w:rsid w:val="00CD1B58"/>
    <w:rsid w:val="00CD4466"/>
    <w:rsid w:val="00CD59B5"/>
    <w:rsid w:val="00CE0A86"/>
    <w:rsid w:val="00CE0C16"/>
    <w:rsid w:val="00CE3E6F"/>
    <w:rsid w:val="00CE4AD8"/>
    <w:rsid w:val="00CE4EB6"/>
    <w:rsid w:val="00CE5AD7"/>
    <w:rsid w:val="00CF1639"/>
    <w:rsid w:val="00CF4549"/>
    <w:rsid w:val="00D00AF4"/>
    <w:rsid w:val="00D02B41"/>
    <w:rsid w:val="00D02BE3"/>
    <w:rsid w:val="00D04E06"/>
    <w:rsid w:val="00D0561B"/>
    <w:rsid w:val="00D06311"/>
    <w:rsid w:val="00D0762E"/>
    <w:rsid w:val="00D11793"/>
    <w:rsid w:val="00D15279"/>
    <w:rsid w:val="00D23271"/>
    <w:rsid w:val="00D23FD6"/>
    <w:rsid w:val="00D25427"/>
    <w:rsid w:val="00D270D2"/>
    <w:rsid w:val="00D27618"/>
    <w:rsid w:val="00D36189"/>
    <w:rsid w:val="00D45A5A"/>
    <w:rsid w:val="00D47C9F"/>
    <w:rsid w:val="00D521A5"/>
    <w:rsid w:val="00D5430C"/>
    <w:rsid w:val="00D60841"/>
    <w:rsid w:val="00D6172D"/>
    <w:rsid w:val="00D67883"/>
    <w:rsid w:val="00D72030"/>
    <w:rsid w:val="00D73D76"/>
    <w:rsid w:val="00D7437E"/>
    <w:rsid w:val="00D81320"/>
    <w:rsid w:val="00D81F88"/>
    <w:rsid w:val="00D83C1E"/>
    <w:rsid w:val="00D86ED3"/>
    <w:rsid w:val="00D9004A"/>
    <w:rsid w:val="00D912C6"/>
    <w:rsid w:val="00D932ED"/>
    <w:rsid w:val="00D93628"/>
    <w:rsid w:val="00D9430D"/>
    <w:rsid w:val="00D9501E"/>
    <w:rsid w:val="00D969AE"/>
    <w:rsid w:val="00D971C9"/>
    <w:rsid w:val="00DA0621"/>
    <w:rsid w:val="00DA0CE0"/>
    <w:rsid w:val="00DA5E8F"/>
    <w:rsid w:val="00DA7222"/>
    <w:rsid w:val="00DB0227"/>
    <w:rsid w:val="00DB0B6C"/>
    <w:rsid w:val="00DB163C"/>
    <w:rsid w:val="00DB2339"/>
    <w:rsid w:val="00DB3996"/>
    <w:rsid w:val="00DB4462"/>
    <w:rsid w:val="00DB7EC6"/>
    <w:rsid w:val="00DC0C21"/>
    <w:rsid w:val="00DC0D0A"/>
    <w:rsid w:val="00DC4701"/>
    <w:rsid w:val="00DD18E3"/>
    <w:rsid w:val="00DD50CC"/>
    <w:rsid w:val="00DE279E"/>
    <w:rsid w:val="00DE4B17"/>
    <w:rsid w:val="00DE5BAA"/>
    <w:rsid w:val="00DF1FA4"/>
    <w:rsid w:val="00DF22DE"/>
    <w:rsid w:val="00DF47A1"/>
    <w:rsid w:val="00DF51DB"/>
    <w:rsid w:val="00DF625A"/>
    <w:rsid w:val="00E00909"/>
    <w:rsid w:val="00E01491"/>
    <w:rsid w:val="00E01F7D"/>
    <w:rsid w:val="00E0376D"/>
    <w:rsid w:val="00E03B03"/>
    <w:rsid w:val="00E041A0"/>
    <w:rsid w:val="00E0454B"/>
    <w:rsid w:val="00E14133"/>
    <w:rsid w:val="00E14F47"/>
    <w:rsid w:val="00E15B66"/>
    <w:rsid w:val="00E23E36"/>
    <w:rsid w:val="00E26035"/>
    <w:rsid w:val="00E3727A"/>
    <w:rsid w:val="00E41BB8"/>
    <w:rsid w:val="00E45B24"/>
    <w:rsid w:val="00E47DEA"/>
    <w:rsid w:val="00E52580"/>
    <w:rsid w:val="00E6176D"/>
    <w:rsid w:val="00E62D04"/>
    <w:rsid w:val="00E6357F"/>
    <w:rsid w:val="00E716CE"/>
    <w:rsid w:val="00E72499"/>
    <w:rsid w:val="00E7410E"/>
    <w:rsid w:val="00E75900"/>
    <w:rsid w:val="00E769A0"/>
    <w:rsid w:val="00E80128"/>
    <w:rsid w:val="00E80831"/>
    <w:rsid w:val="00E81EC0"/>
    <w:rsid w:val="00E820E3"/>
    <w:rsid w:val="00E85F44"/>
    <w:rsid w:val="00E8674F"/>
    <w:rsid w:val="00E91FAA"/>
    <w:rsid w:val="00E92177"/>
    <w:rsid w:val="00E93252"/>
    <w:rsid w:val="00E94D0C"/>
    <w:rsid w:val="00E961C6"/>
    <w:rsid w:val="00EA2E0B"/>
    <w:rsid w:val="00EA3792"/>
    <w:rsid w:val="00EA5EB5"/>
    <w:rsid w:val="00EA7FB7"/>
    <w:rsid w:val="00EB0EFE"/>
    <w:rsid w:val="00EB6765"/>
    <w:rsid w:val="00EB793D"/>
    <w:rsid w:val="00EC6A54"/>
    <w:rsid w:val="00EC72B6"/>
    <w:rsid w:val="00EC7691"/>
    <w:rsid w:val="00ED0D81"/>
    <w:rsid w:val="00ED6171"/>
    <w:rsid w:val="00ED7CD3"/>
    <w:rsid w:val="00EE10B5"/>
    <w:rsid w:val="00EE3479"/>
    <w:rsid w:val="00EE6F9D"/>
    <w:rsid w:val="00EF1F98"/>
    <w:rsid w:val="00EF5090"/>
    <w:rsid w:val="00EF648D"/>
    <w:rsid w:val="00F009A3"/>
    <w:rsid w:val="00F05B8C"/>
    <w:rsid w:val="00F11741"/>
    <w:rsid w:val="00F11A67"/>
    <w:rsid w:val="00F11DC2"/>
    <w:rsid w:val="00F124AE"/>
    <w:rsid w:val="00F1757E"/>
    <w:rsid w:val="00F1776C"/>
    <w:rsid w:val="00F244D8"/>
    <w:rsid w:val="00F2578B"/>
    <w:rsid w:val="00F26546"/>
    <w:rsid w:val="00F26825"/>
    <w:rsid w:val="00F26FDB"/>
    <w:rsid w:val="00F2750C"/>
    <w:rsid w:val="00F2779F"/>
    <w:rsid w:val="00F34C7E"/>
    <w:rsid w:val="00F3523C"/>
    <w:rsid w:val="00F42E14"/>
    <w:rsid w:val="00F453C7"/>
    <w:rsid w:val="00F478A1"/>
    <w:rsid w:val="00F53552"/>
    <w:rsid w:val="00F54CFB"/>
    <w:rsid w:val="00F56A3C"/>
    <w:rsid w:val="00F575EF"/>
    <w:rsid w:val="00F57CBA"/>
    <w:rsid w:val="00F65F7E"/>
    <w:rsid w:val="00F66D2E"/>
    <w:rsid w:val="00F73926"/>
    <w:rsid w:val="00F739CB"/>
    <w:rsid w:val="00F74051"/>
    <w:rsid w:val="00F740E6"/>
    <w:rsid w:val="00F768DC"/>
    <w:rsid w:val="00F81D40"/>
    <w:rsid w:val="00F832D4"/>
    <w:rsid w:val="00F87126"/>
    <w:rsid w:val="00F9025F"/>
    <w:rsid w:val="00F9317D"/>
    <w:rsid w:val="00FA0709"/>
    <w:rsid w:val="00FA41D2"/>
    <w:rsid w:val="00FA468C"/>
    <w:rsid w:val="00FA5EAE"/>
    <w:rsid w:val="00FA6FAE"/>
    <w:rsid w:val="00FA73AA"/>
    <w:rsid w:val="00FB23CD"/>
    <w:rsid w:val="00FC232A"/>
    <w:rsid w:val="00FC3F08"/>
    <w:rsid w:val="00FC63D7"/>
    <w:rsid w:val="00FC6C93"/>
    <w:rsid w:val="00FD1FCF"/>
    <w:rsid w:val="00FD25EB"/>
    <w:rsid w:val="00FD2762"/>
    <w:rsid w:val="00FD31E4"/>
    <w:rsid w:val="00FD4D54"/>
    <w:rsid w:val="00FE2A4A"/>
    <w:rsid w:val="00FE2EFD"/>
    <w:rsid w:val="00FE4BB7"/>
    <w:rsid w:val="00FE6D9C"/>
    <w:rsid w:val="00FE7EDD"/>
    <w:rsid w:val="00FF11DE"/>
    <w:rsid w:val="00FF2172"/>
    <w:rsid w:val="00FF2670"/>
    <w:rsid w:val="00FF2E1A"/>
    <w:rsid w:val="00FF3F22"/>
    <w:rsid w:val="01E71FEE"/>
    <w:rsid w:val="15B730B0"/>
    <w:rsid w:val="286E29A6"/>
    <w:rsid w:val="2B7655A8"/>
    <w:rsid w:val="47F3511B"/>
    <w:rsid w:val="51C5054E"/>
    <w:rsid w:val="51E514F9"/>
    <w:rsid w:val="5DA0409A"/>
    <w:rsid w:val="6D796141"/>
    <w:rsid w:val="7B4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center"/>
    </w:pPr>
    <w:rPr>
      <w:rFonts w:ascii="仿宋" w:hAnsi="仿宋" w:eastAsia="仿宋" w:cs="Times New Roman"/>
      <w:color w:val="000000" w:themeColor="text1"/>
      <w:sz w:val="28"/>
      <w:szCs w:val="28"/>
      <w:lang w:val="en-US" w:eastAsia="zh-CN" w:bidi="ar-SA"/>
      <w14:textFill>
        <w14:solidFill>
          <w14:schemeClr w14:val="tx1"/>
        </w14:solidFill>
      </w14:textFill>
    </w:rPr>
  </w:style>
  <w:style w:type="paragraph" w:styleId="2">
    <w:name w:val="heading 1"/>
    <w:basedOn w:val="1"/>
    <w:next w:val="1"/>
    <w:qFormat/>
    <w:uiPriority w:val="0"/>
    <w:pPr>
      <w:keepNext/>
      <w:keepLines/>
      <w:numPr>
        <w:ilvl w:val="0"/>
        <w:numId w:val="1"/>
      </w:numPr>
      <w:spacing w:line="720" w:lineRule="exact"/>
      <w:outlineLvl w:val="0"/>
    </w:pPr>
    <w:rPr>
      <w:rFonts w:eastAsia="黑体"/>
      <w:kern w:val="44"/>
      <w:sz w:val="36"/>
      <w:szCs w:val="36"/>
      <w:lang w:val="en-GB"/>
    </w:rPr>
  </w:style>
  <w:style w:type="paragraph" w:styleId="3">
    <w:name w:val="heading 2"/>
    <w:basedOn w:val="1"/>
    <w:next w:val="4"/>
    <w:link w:val="26"/>
    <w:qFormat/>
    <w:uiPriority w:val="0"/>
    <w:pPr>
      <w:keepNext/>
      <w:keepLines/>
      <w:numPr>
        <w:ilvl w:val="1"/>
        <w:numId w:val="1"/>
      </w:numPr>
      <w:spacing w:line="720" w:lineRule="exact"/>
      <w:jc w:val="left"/>
      <w:outlineLvl w:val="1"/>
    </w:pPr>
    <w:rPr>
      <w:rFonts w:ascii="Times New Roman" w:hAnsi="Times New Roman" w:eastAsia="黑体"/>
      <w:color w:val="auto"/>
      <w:sz w:val="32"/>
      <w:szCs w:val="32"/>
    </w:rPr>
  </w:style>
  <w:style w:type="paragraph" w:styleId="4">
    <w:name w:val="heading 3"/>
    <w:basedOn w:val="1"/>
    <w:next w:val="1"/>
    <w:link w:val="27"/>
    <w:qFormat/>
    <w:uiPriority w:val="0"/>
    <w:pPr>
      <w:keepNext/>
      <w:keepLines/>
      <w:numPr>
        <w:ilvl w:val="2"/>
        <w:numId w:val="1"/>
      </w:numPr>
      <w:adjustRightInd w:val="0"/>
      <w:snapToGrid w:val="0"/>
      <w:spacing w:line="720" w:lineRule="exact"/>
      <w:jc w:val="both"/>
      <w:outlineLvl w:val="2"/>
    </w:pPr>
    <w:rPr>
      <w:rFonts w:ascii="Times New Roman" w:hAnsi="Times New Roman" w:eastAsia="黑体"/>
      <w:snapToGrid w:val="0"/>
      <w:color w:val="auto"/>
      <w:sz w:val="30"/>
      <w:szCs w:val="32"/>
    </w:rPr>
  </w:style>
  <w:style w:type="paragraph" w:styleId="5">
    <w:name w:val="heading 4"/>
    <w:basedOn w:val="1"/>
    <w:next w:val="1"/>
    <w:link w:val="28"/>
    <w:qFormat/>
    <w:uiPriority w:val="0"/>
    <w:pPr>
      <w:numPr>
        <w:ilvl w:val="3"/>
        <w:numId w:val="1"/>
      </w:numPr>
      <w:adjustRightInd w:val="0"/>
      <w:snapToGrid w:val="0"/>
      <w:spacing w:line="600" w:lineRule="exact"/>
      <w:jc w:val="both"/>
      <w:outlineLvl w:val="3"/>
    </w:pPr>
    <w:rPr>
      <w:rFonts w:ascii="Times New Roman" w:hAnsi="Times New Roman" w:eastAsia="黑体"/>
      <w:bCs/>
      <w:color w:val="auto"/>
      <w:kern w:val="2"/>
      <w:lang w:eastAsia="zh-Hans"/>
    </w:rPr>
  </w:style>
  <w:style w:type="paragraph" w:styleId="6">
    <w:name w:val="heading 5"/>
    <w:basedOn w:val="1"/>
    <w:next w:val="1"/>
    <w:link w:val="29"/>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 w:val="24"/>
      <w:szCs w:val="24"/>
    </w:rPr>
  </w:style>
  <w:style w:type="paragraph" w:styleId="7">
    <w:name w:val="heading 6"/>
    <w:basedOn w:val="1"/>
    <w:next w:val="1"/>
    <w:link w:val="30"/>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8">
    <w:name w:val="heading 7"/>
    <w:basedOn w:val="1"/>
    <w:next w:val="1"/>
    <w:link w:val="31"/>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2"/>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3"/>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64"/>
    <w:semiHidden/>
    <w:unhideWhenUsed/>
    <w:qFormat/>
    <w:uiPriority w:val="99"/>
    <w:pPr>
      <w:jc w:val="left"/>
    </w:pPr>
  </w:style>
  <w:style w:type="paragraph" w:styleId="12">
    <w:name w:val="Body Text"/>
    <w:basedOn w:val="1"/>
    <w:next w:val="13"/>
    <w:link w:val="72"/>
    <w:unhideWhenUsed/>
    <w:qFormat/>
    <w:uiPriority w:val="1"/>
    <w:pPr>
      <w:spacing w:after="120" w:line="360" w:lineRule="auto"/>
      <w:ind w:firstLine="560" w:firstLineChars="200"/>
      <w:jc w:val="both"/>
    </w:pPr>
  </w:style>
  <w:style w:type="paragraph" w:styleId="13">
    <w:name w:val="toc 5"/>
    <w:basedOn w:val="1"/>
    <w:next w:val="1"/>
    <w:semiHidden/>
    <w:unhideWhenUsed/>
    <w:qFormat/>
    <w:uiPriority w:val="39"/>
    <w:pPr>
      <w:ind w:left="1680" w:leftChars="800"/>
    </w:pPr>
  </w:style>
  <w:style w:type="paragraph" w:styleId="14">
    <w:name w:val="footer"/>
    <w:basedOn w:val="1"/>
    <w:link w:val="44"/>
    <w:unhideWhenUsed/>
    <w:qFormat/>
    <w:uiPriority w:val="0"/>
    <w:pPr>
      <w:tabs>
        <w:tab w:val="center" w:pos="4153"/>
        <w:tab w:val="right" w:pos="8306"/>
      </w:tabs>
      <w:snapToGrid w:val="0"/>
      <w:jc w:val="left"/>
    </w:pPr>
    <w:rPr>
      <w:sz w:val="18"/>
      <w:szCs w:val="18"/>
    </w:rPr>
  </w:style>
  <w:style w:type="paragraph" w:styleId="15">
    <w:name w:val="header"/>
    <w:basedOn w:val="1"/>
    <w:link w:val="43"/>
    <w:unhideWhenUsed/>
    <w:qFormat/>
    <w:uiPriority w:val="0"/>
    <w:pPr>
      <w:pBdr>
        <w:bottom w:val="thickThinSmallGap" w:color="auto" w:sz="18" w:space="4"/>
      </w:pBdr>
      <w:tabs>
        <w:tab w:val="center" w:pos="4153"/>
        <w:tab w:val="right" w:pos="8306"/>
      </w:tabs>
      <w:adjustRightInd w:val="0"/>
      <w:snapToGrid w:val="0"/>
      <w:spacing w:line="240" w:lineRule="auto"/>
      <w:jc w:val="left"/>
    </w:pPr>
    <w:rPr>
      <w:rFonts w:ascii="Times New Roman" w:hAnsi="Times New Roman"/>
      <w:snapToGrid w:val="0"/>
      <w:color w:val="auto"/>
      <w:sz w:val="21"/>
      <w:szCs w:val="21"/>
    </w:rPr>
  </w:style>
  <w:style w:type="paragraph" w:styleId="16">
    <w:name w:val="toc 1"/>
    <w:basedOn w:val="1"/>
    <w:next w:val="1"/>
    <w:qFormat/>
    <w:uiPriority w:val="39"/>
    <w:pPr>
      <w:jc w:val="both"/>
    </w:pPr>
    <w:rPr>
      <w:rFonts w:ascii="Times New Roman" w:hAnsi="Times New Roman" w:eastAsia="黑体"/>
      <w:b/>
      <w:color w:val="auto"/>
      <w:kern w:val="2"/>
      <w:sz w:val="24"/>
      <w:szCs w:val="24"/>
    </w:rPr>
  </w:style>
  <w:style w:type="paragraph" w:styleId="17">
    <w:name w:val="Subtitle"/>
    <w:basedOn w:val="1"/>
    <w:next w:val="1"/>
    <w:link w:val="35"/>
    <w:qFormat/>
    <w:uiPriority w:val="11"/>
    <w:pPr>
      <w:spacing w:after="160"/>
    </w:pPr>
    <w:rPr>
      <w:rFonts w:asciiTheme="majorHAnsi" w:hAnsiTheme="majorHAnsi" w:eastAsiaTheme="majorEastAsia" w:cstheme="majorBidi"/>
      <w:color w:val="595959" w:themeColor="text1" w:themeTint="A6"/>
      <w:spacing w:val="15"/>
      <w14:textFill>
        <w14:solidFill>
          <w14:schemeClr w14:val="tx1">
            <w14:lumMod w14:val="65000"/>
            <w14:lumOff w14:val="35000"/>
          </w14:schemeClr>
        </w14:solidFill>
      </w14:textFill>
    </w:rPr>
  </w:style>
  <w:style w:type="paragraph" w:styleId="18">
    <w:name w:val="toc 2"/>
    <w:basedOn w:val="1"/>
    <w:next w:val="1"/>
    <w:unhideWhenUsed/>
    <w:qFormat/>
    <w:uiPriority w:val="39"/>
    <w:pPr>
      <w:ind w:left="200" w:leftChars="200"/>
    </w:pPr>
    <w:rPr>
      <w:rFonts w:eastAsia="黑体"/>
      <w:sz w:val="24"/>
    </w:rPr>
  </w:style>
  <w:style w:type="paragraph" w:styleId="19">
    <w:name w:val="Normal (Web)"/>
    <w:basedOn w:val="1"/>
    <w:unhideWhenUsed/>
    <w:qFormat/>
    <w:uiPriority w:val="99"/>
    <w:pPr>
      <w:widowControl/>
      <w:spacing w:before="100" w:beforeAutospacing="1" w:after="100" w:afterAutospacing="1" w:line="240" w:lineRule="auto"/>
      <w:jc w:val="left"/>
    </w:pPr>
    <w:rPr>
      <w:rFonts w:ascii="宋体" w:hAnsi="宋体" w:eastAsia="宋体" w:cs="宋体"/>
      <w:color w:val="auto"/>
      <w:sz w:val="24"/>
      <w:szCs w:val="24"/>
    </w:rPr>
  </w:style>
  <w:style w:type="paragraph" w:styleId="20">
    <w:name w:val="Title"/>
    <w:basedOn w:val="1"/>
    <w:next w:val="1"/>
    <w:link w:val="34"/>
    <w:qFormat/>
    <w:uiPriority w:val="0"/>
    <w:pPr>
      <w:spacing w:after="80"/>
      <w:contextualSpacing/>
    </w:pPr>
    <w:rPr>
      <w:rFonts w:asciiTheme="majorHAnsi" w:hAnsiTheme="majorHAnsi" w:eastAsiaTheme="majorEastAsia" w:cstheme="majorBidi"/>
      <w:spacing w:val="-10"/>
      <w:kern w:val="28"/>
      <w:sz w:val="56"/>
      <w:szCs w:val="56"/>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22"/>
  </w:style>
  <w:style w:type="character" w:styleId="25">
    <w:name w:val="Hyperlink"/>
    <w:basedOn w:val="23"/>
    <w:unhideWhenUsed/>
    <w:qFormat/>
    <w:uiPriority w:val="99"/>
    <w:rPr>
      <w:color w:val="0000FF"/>
      <w:u w:val="single"/>
    </w:rPr>
  </w:style>
  <w:style w:type="character" w:customStyle="1" w:styleId="26">
    <w:name w:val="标题 2 字符"/>
    <w:basedOn w:val="23"/>
    <w:link w:val="3"/>
    <w:qFormat/>
    <w:uiPriority w:val="0"/>
    <w:rPr>
      <w:rFonts w:eastAsia="黑体"/>
      <w:sz w:val="32"/>
      <w:szCs w:val="32"/>
    </w:rPr>
  </w:style>
  <w:style w:type="character" w:customStyle="1" w:styleId="27">
    <w:name w:val="标题 3 字符"/>
    <w:basedOn w:val="23"/>
    <w:link w:val="4"/>
    <w:qFormat/>
    <w:uiPriority w:val="0"/>
    <w:rPr>
      <w:rFonts w:eastAsia="黑体"/>
      <w:snapToGrid w:val="0"/>
      <w:sz w:val="30"/>
      <w:szCs w:val="32"/>
    </w:rPr>
  </w:style>
  <w:style w:type="character" w:customStyle="1" w:styleId="28">
    <w:name w:val="标题 4 字符"/>
    <w:basedOn w:val="23"/>
    <w:link w:val="5"/>
    <w:qFormat/>
    <w:uiPriority w:val="0"/>
    <w:rPr>
      <w:rFonts w:eastAsia="黑体"/>
      <w:bCs/>
      <w:sz w:val="28"/>
      <w:szCs w:val="28"/>
      <w:lang w:eastAsia="zh-Hans"/>
    </w:rPr>
  </w:style>
  <w:style w:type="character" w:customStyle="1" w:styleId="29">
    <w:name w:val="标题 5 字符"/>
    <w:basedOn w:val="23"/>
    <w:link w:val="6"/>
    <w:semiHidden/>
    <w:qFormat/>
    <w:uiPriority w:val="9"/>
    <w:rPr>
      <w:rFonts w:asciiTheme="minorHAnsi" w:hAnsiTheme="minorHAnsi" w:eastAsiaTheme="minorEastAsia" w:cstheme="majorBidi"/>
      <w:color w:val="104862" w:themeColor="accent1" w:themeShade="BF"/>
      <w:sz w:val="24"/>
      <w:szCs w:val="24"/>
    </w:rPr>
  </w:style>
  <w:style w:type="character" w:customStyle="1" w:styleId="30">
    <w:name w:val="标题 6 字符"/>
    <w:basedOn w:val="23"/>
    <w:link w:val="7"/>
    <w:semiHidden/>
    <w:qFormat/>
    <w:uiPriority w:val="9"/>
    <w:rPr>
      <w:rFonts w:asciiTheme="minorHAnsi" w:hAnsiTheme="minorHAnsi" w:eastAsiaTheme="minorEastAsia" w:cstheme="majorBidi"/>
      <w:b/>
      <w:bCs/>
      <w:color w:val="104862" w:themeColor="accent1" w:themeShade="BF"/>
    </w:rPr>
  </w:style>
  <w:style w:type="character" w:customStyle="1" w:styleId="31">
    <w:name w:val="标题 7 字符"/>
    <w:basedOn w:val="23"/>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32">
    <w:name w:val="标题 8 字符"/>
    <w:basedOn w:val="23"/>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9 字符"/>
    <w:basedOn w:val="23"/>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字符"/>
    <w:basedOn w:val="23"/>
    <w:link w:val="20"/>
    <w:qFormat/>
    <w:uiPriority w:val="0"/>
    <w:rPr>
      <w:rFonts w:asciiTheme="majorHAnsi" w:hAnsiTheme="majorHAnsi" w:eastAsiaTheme="majorEastAsia" w:cstheme="majorBidi"/>
      <w:spacing w:val="-10"/>
      <w:kern w:val="28"/>
      <w:sz w:val="56"/>
      <w:szCs w:val="56"/>
    </w:rPr>
  </w:style>
  <w:style w:type="character" w:customStyle="1" w:styleId="35">
    <w:name w:val="副标题 字符"/>
    <w:basedOn w:val="23"/>
    <w:link w:val="17"/>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after="160"/>
    </w:pPr>
    <w:rPr>
      <w:i/>
      <w:iCs/>
      <w:color w:val="404040" w:themeColor="text1" w:themeTint="BF"/>
      <w14:textFill>
        <w14:solidFill>
          <w14:schemeClr w14:val="tx1">
            <w14:lumMod w14:val="75000"/>
            <w14:lumOff w14:val="25000"/>
          </w14:schemeClr>
        </w14:solidFill>
      </w14:textFill>
    </w:rPr>
  </w:style>
  <w:style w:type="character" w:customStyle="1" w:styleId="37">
    <w:name w:val="引用 字符"/>
    <w:basedOn w:val="23"/>
    <w:link w:val="36"/>
    <w:qFormat/>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34"/>
    <w:pPr>
      <w:ind w:left="720"/>
      <w:contextualSpacing/>
    </w:pPr>
  </w:style>
  <w:style w:type="character" w:customStyle="1" w:styleId="39">
    <w:name w:val="明显强调1"/>
    <w:basedOn w:val="23"/>
    <w:qFormat/>
    <w:uiPriority w:val="21"/>
    <w:rPr>
      <w:i/>
      <w:iCs/>
      <w:color w:val="104862" w:themeColor="accent1" w:themeShade="BF"/>
    </w:rPr>
  </w:style>
  <w:style w:type="paragraph" w:styleId="40">
    <w:name w:val="Intense Quote"/>
    <w:basedOn w:val="1"/>
    <w:next w:val="1"/>
    <w:link w:val="41"/>
    <w:qFormat/>
    <w:uiPriority w:val="30"/>
    <w:pPr>
      <w:pBdr>
        <w:top w:val="single" w:color="0F4761" w:themeColor="accent1" w:themeShade="BF" w:sz="4" w:space="10"/>
        <w:bottom w:val="single" w:color="0F4761" w:themeColor="accent1" w:themeShade="BF" w:sz="4" w:space="10"/>
      </w:pBdr>
      <w:spacing w:before="360" w:after="360"/>
      <w:ind w:left="864" w:right="864"/>
    </w:pPr>
    <w:rPr>
      <w:i/>
      <w:iCs/>
      <w:color w:val="104862" w:themeColor="accent1" w:themeShade="BF"/>
    </w:rPr>
  </w:style>
  <w:style w:type="character" w:customStyle="1" w:styleId="41">
    <w:name w:val="明显引用 字符"/>
    <w:basedOn w:val="23"/>
    <w:link w:val="40"/>
    <w:qFormat/>
    <w:uiPriority w:val="30"/>
    <w:rPr>
      <w:i/>
      <w:iCs/>
      <w:color w:val="104862" w:themeColor="accent1" w:themeShade="BF"/>
    </w:rPr>
  </w:style>
  <w:style w:type="character" w:customStyle="1" w:styleId="42">
    <w:name w:val="明显参考1"/>
    <w:basedOn w:val="23"/>
    <w:qFormat/>
    <w:uiPriority w:val="32"/>
    <w:rPr>
      <w:b/>
      <w:bCs/>
      <w:smallCaps/>
      <w:color w:val="104862" w:themeColor="accent1" w:themeShade="BF"/>
      <w:spacing w:val="5"/>
    </w:rPr>
  </w:style>
  <w:style w:type="character" w:customStyle="1" w:styleId="43">
    <w:name w:val="页眉 字符"/>
    <w:basedOn w:val="23"/>
    <w:link w:val="15"/>
    <w:qFormat/>
    <w:uiPriority w:val="0"/>
    <w:rPr>
      <w:rFonts w:eastAsia="仿宋"/>
      <w:snapToGrid w:val="0"/>
      <w:kern w:val="0"/>
      <w:sz w:val="21"/>
      <w:szCs w:val="21"/>
    </w:rPr>
  </w:style>
  <w:style w:type="character" w:customStyle="1" w:styleId="44">
    <w:name w:val="页脚 字符"/>
    <w:basedOn w:val="23"/>
    <w:link w:val="14"/>
    <w:qFormat/>
    <w:uiPriority w:val="0"/>
    <w:rPr>
      <w:sz w:val="18"/>
      <w:szCs w:val="18"/>
    </w:rPr>
  </w:style>
  <w:style w:type="paragraph" w:customStyle="1" w:styleId="45">
    <w:name w:val="封面标题"/>
    <w:basedOn w:val="1"/>
    <w:link w:val="46"/>
    <w:qFormat/>
    <w:uiPriority w:val="0"/>
    <w:pPr>
      <w:adjustRightInd w:val="0"/>
      <w:snapToGrid w:val="0"/>
    </w:pPr>
    <w:rPr>
      <w:rFonts w:ascii="Times New Roman" w:hAnsi="Times New Roman" w:eastAsia="黑体"/>
      <w:snapToGrid w:val="0"/>
      <w:color w:val="auto"/>
      <w:sz w:val="52"/>
      <w:szCs w:val="52"/>
    </w:rPr>
  </w:style>
  <w:style w:type="character" w:customStyle="1" w:styleId="46">
    <w:name w:val="封面标题 字符"/>
    <w:basedOn w:val="23"/>
    <w:link w:val="45"/>
    <w:qFormat/>
    <w:uiPriority w:val="0"/>
    <w:rPr>
      <w:rFonts w:eastAsia="黑体"/>
      <w:snapToGrid w:val="0"/>
      <w:kern w:val="0"/>
      <w:sz w:val="52"/>
      <w:szCs w:val="52"/>
    </w:rPr>
  </w:style>
  <w:style w:type="paragraph" w:customStyle="1" w:styleId="47">
    <w:name w:val="封面时间"/>
    <w:basedOn w:val="1"/>
    <w:link w:val="48"/>
    <w:qFormat/>
    <w:uiPriority w:val="0"/>
    <w:pPr>
      <w:adjustRightInd w:val="0"/>
      <w:snapToGrid w:val="0"/>
    </w:pPr>
    <w:rPr>
      <w:rFonts w:ascii="Times New Roman" w:hAnsi="Times New Roman" w:eastAsia="黑体"/>
      <w:snapToGrid w:val="0"/>
      <w:color w:val="auto"/>
      <w:sz w:val="36"/>
      <w:szCs w:val="36"/>
    </w:rPr>
  </w:style>
  <w:style w:type="character" w:customStyle="1" w:styleId="48">
    <w:name w:val="封面时间 字符"/>
    <w:basedOn w:val="23"/>
    <w:link w:val="47"/>
    <w:qFormat/>
    <w:uiPriority w:val="0"/>
    <w:rPr>
      <w:rFonts w:eastAsia="黑体"/>
      <w:snapToGrid w:val="0"/>
      <w:kern w:val="0"/>
      <w:sz w:val="36"/>
      <w:szCs w:val="36"/>
    </w:rPr>
  </w:style>
  <w:style w:type="paragraph" w:customStyle="1" w:styleId="49">
    <w:name w:val="图标题"/>
    <w:basedOn w:val="1"/>
    <w:link w:val="56"/>
    <w:qFormat/>
    <w:uiPriority w:val="0"/>
    <w:pPr>
      <w:widowControl/>
      <w:numPr>
        <w:ilvl w:val="5"/>
        <w:numId w:val="1"/>
      </w:numPr>
      <w:spacing w:line="240" w:lineRule="auto"/>
      <w:ind w:left="0"/>
      <w:outlineLvl w:val="5"/>
    </w:pPr>
    <w:rPr>
      <w:rFonts w:ascii="Times New Roman" w:hAnsi="Times New Roman" w:eastAsia="黑体"/>
      <w:color w:val="auto"/>
      <w:sz w:val="24"/>
      <w:szCs w:val="24"/>
    </w:rPr>
  </w:style>
  <w:style w:type="paragraph" w:customStyle="1" w:styleId="50">
    <w:name w:val="表标题"/>
    <w:basedOn w:val="1"/>
    <w:link w:val="53"/>
    <w:qFormat/>
    <w:uiPriority w:val="0"/>
    <w:pPr>
      <w:numPr>
        <w:ilvl w:val="6"/>
        <w:numId w:val="1"/>
      </w:numPr>
      <w:outlineLvl w:val="5"/>
    </w:pPr>
    <w:rPr>
      <w:rFonts w:ascii="Times New Roman" w:hAnsi="Times New Roman" w:eastAsia="黑体"/>
      <w:color w:val="auto"/>
      <w:kern w:val="2"/>
      <w:sz w:val="24"/>
      <w:szCs w:val="22"/>
      <w:lang w:val="zh-CN"/>
    </w:rPr>
  </w:style>
  <w:style w:type="paragraph" w:customStyle="1" w:styleId="51">
    <w:name w:val="报告正文"/>
    <w:basedOn w:val="1"/>
    <w:link w:val="52"/>
    <w:qFormat/>
    <w:uiPriority w:val="0"/>
    <w:pPr>
      <w:spacing w:line="600" w:lineRule="exact"/>
      <w:ind w:firstLine="600" w:firstLineChars="200"/>
      <w:jc w:val="both"/>
    </w:pPr>
    <w:rPr>
      <w:rFonts w:ascii="Times New Roman" w:hAnsi="Times New Roman"/>
      <w:color w:val="auto"/>
      <w:kern w:val="2"/>
      <w:szCs w:val="24"/>
    </w:rPr>
  </w:style>
  <w:style w:type="character" w:customStyle="1" w:styleId="52">
    <w:name w:val="报告正文 字符"/>
    <w:basedOn w:val="23"/>
    <w:link w:val="51"/>
    <w:qFormat/>
    <w:locked/>
    <w:uiPriority w:val="0"/>
    <w:rPr>
      <w:rFonts w:eastAsia="仿宋"/>
      <w:kern w:val="2"/>
      <w:sz w:val="28"/>
      <w:szCs w:val="24"/>
    </w:rPr>
  </w:style>
  <w:style w:type="character" w:customStyle="1" w:styleId="53">
    <w:name w:val="表标题 字符"/>
    <w:basedOn w:val="23"/>
    <w:link w:val="50"/>
    <w:qFormat/>
    <w:uiPriority w:val="0"/>
    <w:rPr>
      <w:rFonts w:eastAsia="黑体"/>
      <w:kern w:val="2"/>
      <w:sz w:val="24"/>
      <w:szCs w:val="22"/>
      <w:lang w:val="zh-CN"/>
    </w:rPr>
  </w:style>
  <w:style w:type="paragraph" w:customStyle="1" w:styleId="54">
    <w:name w:val="表格格式"/>
    <w:basedOn w:val="1"/>
    <w:link w:val="55"/>
    <w:qFormat/>
    <w:uiPriority w:val="0"/>
    <w:pPr>
      <w:topLinePunct/>
      <w:adjustRightInd w:val="0"/>
      <w:snapToGrid w:val="0"/>
      <w:spacing w:line="240" w:lineRule="auto"/>
    </w:pPr>
    <w:rPr>
      <w:rFonts w:ascii="Times New Roman" w:hAnsi="Times New Roman" w:cstheme="minorBidi"/>
      <w:color w:val="auto"/>
      <w:kern w:val="2"/>
      <w:sz w:val="21"/>
      <w:szCs w:val="21"/>
    </w:rPr>
  </w:style>
  <w:style w:type="character" w:customStyle="1" w:styleId="55">
    <w:name w:val="表格格式 字符"/>
    <w:basedOn w:val="23"/>
    <w:link w:val="54"/>
    <w:qFormat/>
    <w:uiPriority w:val="0"/>
    <w:rPr>
      <w:rFonts w:eastAsia="仿宋" w:cstheme="minorBidi"/>
      <w:sz w:val="21"/>
      <w:szCs w:val="21"/>
    </w:rPr>
  </w:style>
  <w:style w:type="character" w:customStyle="1" w:styleId="56">
    <w:name w:val="图标题 字符"/>
    <w:basedOn w:val="23"/>
    <w:link w:val="49"/>
    <w:qFormat/>
    <w:uiPriority w:val="0"/>
    <w:rPr>
      <w:rFonts w:eastAsia="黑体"/>
      <w:sz w:val="24"/>
      <w:szCs w:val="24"/>
    </w:rPr>
  </w:style>
  <w:style w:type="paragraph" w:customStyle="1" w:styleId="57">
    <w:name w:val="ql-align-justify"/>
    <w:basedOn w:val="1"/>
    <w:qFormat/>
    <w:uiPriority w:val="0"/>
    <w:pPr>
      <w:widowControl/>
      <w:spacing w:before="100" w:beforeAutospacing="1" w:after="100" w:afterAutospacing="1" w:line="240" w:lineRule="auto"/>
      <w:jc w:val="left"/>
    </w:pPr>
    <w:rPr>
      <w:rFonts w:ascii="宋体" w:hAnsi="宋体" w:eastAsia="宋体" w:cs="宋体"/>
      <w:color w:val="auto"/>
      <w:sz w:val="24"/>
      <w:szCs w:val="24"/>
    </w:rPr>
  </w:style>
  <w:style w:type="character" w:customStyle="1" w:styleId="58">
    <w:name w:val="bjh-p"/>
    <w:basedOn w:val="23"/>
    <w:qFormat/>
    <w:uiPriority w:val="0"/>
  </w:style>
  <w:style w:type="character" w:customStyle="1" w:styleId="59">
    <w:name w:val="未处理的提及1"/>
    <w:basedOn w:val="23"/>
    <w:semiHidden/>
    <w:unhideWhenUsed/>
    <w:qFormat/>
    <w:uiPriority w:val="99"/>
    <w:rPr>
      <w:color w:val="605E5C"/>
      <w:shd w:val="clear" w:color="auto" w:fill="E1DFDD"/>
    </w:rPr>
  </w:style>
  <w:style w:type="paragraph" w:customStyle="1" w:styleId="60">
    <w:name w:val="_Style 55"/>
    <w:basedOn w:val="1"/>
    <w:next w:val="38"/>
    <w:link w:val="61"/>
    <w:qFormat/>
    <w:uiPriority w:val="34"/>
    <w:pPr>
      <w:spacing w:line="240" w:lineRule="auto"/>
      <w:ind w:firstLine="420" w:firstLineChars="200"/>
      <w:jc w:val="both"/>
    </w:pPr>
    <w:rPr>
      <w:rFonts w:ascii="Times New Roman" w:hAnsi="Times New Roman" w:eastAsia="宋体"/>
      <w:color w:val="auto"/>
      <w:kern w:val="2"/>
      <w:sz w:val="21"/>
      <w:szCs w:val="24"/>
    </w:rPr>
  </w:style>
  <w:style w:type="character" w:customStyle="1" w:styleId="61">
    <w:name w:val="列出段落 Char"/>
    <w:link w:val="60"/>
    <w:qFormat/>
    <w:uiPriority w:val="34"/>
    <w:rPr>
      <w:kern w:val="2"/>
      <w:sz w:val="21"/>
      <w:szCs w:val="24"/>
    </w:rPr>
  </w:style>
  <w:style w:type="table" w:customStyle="1" w:styleId="62">
    <w:name w:val="Table Normal"/>
    <w:qFormat/>
    <w:uiPriority w:val="0"/>
    <w:tblPr>
      <w:tblCellMar>
        <w:top w:w="0" w:type="dxa"/>
        <w:left w:w="0" w:type="dxa"/>
        <w:bottom w:w="0" w:type="dxa"/>
        <w:right w:w="0" w:type="dxa"/>
      </w:tblCellMar>
    </w:tblPr>
  </w:style>
  <w:style w:type="paragraph" w:customStyle="1" w:styleId="63">
    <w:name w:val="修改表格"/>
    <w:basedOn w:val="1"/>
    <w:qFormat/>
    <w:uiPriority w:val="0"/>
    <w:pPr>
      <w:widowControl/>
      <w:spacing w:line="240" w:lineRule="auto"/>
      <w:jc w:val="left"/>
      <w:textAlignment w:val="center"/>
    </w:pPr>
    <w:rPr>
      <w:rFonts w:ascii="仿宋_GB2312" w:hAnsi="仿宋_GB2312"/>
      <w:color w:val="000000"/>
      <w:sz w:val="24"/>
      <w:szCs w:val="24"/>
    </w:rPr>
  </w:style>
  <w:style w:type="character" w:customStyle="1" w:styleId="64">
    <w:name w:val="批注文字 字符"/>
    <w:basedOn w:val="23"/>
    <w:link w:val="11"/>
    <w:semiHidden/>
    <w:qFormat/>
    <w:uiPriority w:val="99"/>
    <w:rPr>
      <w:rFonts w:ascii="仿宋" w:hAnsi="仿宋" w:eastAsia="仿宋"/>
      <w:color w:val="000000" w:themeColor="text1"/>
      <w:kern w:val="0"/>
      <w:sz w:val="28"/>
      <w:szCs w:val="28"/>
      <w14:textFill>
        <w14:solidFill>
          <w14:schemeClr w14:val="tx1"/>
        </w14:solidFill>
      </w14:textFill>
    </w:rPr>
  </w:style>
  <w:style w:type="character" w:customStyle="1" w:styleId="65">
    <w:name w:val="未处理的提及2"/>
    <w:basedOn w:val="23"/>
    <w:semiHidden/>
    <w:unhideWhenUsed/>
    <w:qFormat/>
    <w:uiPriority w:val="99"/>
    <w:rPr>
      <w:color w:val="605E5C"/>
      <w:shd w:val="clear" w:color="auto" w:fill="E1DFDD"/>
    </w:rPr>
  </w:style>
  <w:style w:type="paragraph" w:customStyle="1" w:styleId="66">
    <w:name w:val="art_p"/>
    <w:basedOn w:val="1"/>
    <w:qFormat/>
    <w:uiPriority w:val="0"/>
    <w:pPr>
      <w:widowControl/>
      <w:spacing w:before="100" w:beforeAutospacing="1" w:after="100" w:afterAutospacing="1" w:line="240" w:lineRule="auto"/>
      <w:jc w:val="left"/>
    </w:pPr>
    <w:rPr>
      <w:rFonts w:ascii="宋体" w:hAnsi="宋体" w:eastAsia="宋体" w:cs="宋体"/>
      <w:color w:val="auto"/>
      <w:sz w:val="24"/>
      <w:szCs w:val="24"/>
    </w:rPr>
  </w:style>
  <w:style w:type="paragraph" w:customStyle="1" w:styleId="67">
    <w:name w:val="marklang-paragraph"/>
    <w:basedOn w:val="1"/>
    <w:qFormat/>
    <w:uiPriority w:val="0"/>
    <w:pPr>
      <w:widowControl/>
      <w:spacing w:before="100" w:beforeAutospacing="1" w:after="100" w:afterAutospacing="1" w:line="240" w:lineRule="auto"/>
      <w:jc w:val="left"/>
    </w:pPr>
    <w:rPr>
      <w:rFonts w:ascii="宋体" w:hAnsi="宋体" w:eastAsia="宋体" w:cs="宋体"/>
      <w:color w:val="auto"/>
      <w:sz w:val="24"/>
      <w:szCs w:val="24"/>
    </w:rPr>
  </w:style>
  <w:style w:type="character" w:customStyle="1" w:styleId="68">
    <w:name w:val="cosd-citation-citationid"/>
    <w:basedOn w:val="23"/>
    <w:qFormat/>
    <w:uiPriority w:val="0"/>
  </w:style>
  <w:style w:type="paragraph" w:customStyle="1" w:styleId="69">
    <w:name w:val="Table Text"/>
    <w:basedOn w:val="1"/>
    <w:semiHidden/>
    <w:qFormat/>
    <w:uiPriority w:val="0"/>
    <w:rPr>
      <w:rFonts w:ascii="宋体" w:hAnsi="宋体" w:eastAsia="宋体" w:cs="宋体"/>
      <w:sz w:val="18"/>
      <w:szCs w:val="18"/>
      <w:lang w:eastAsia="en-US"/>
    </w:rPr>
  </w:style>
  <w:style w:type="paragraph" w:customStyle="1" w:styleId="70">
    <w:name w:val="表头4"/>
    <w:basedOn w:val="1"/>
    <w:qFormat/>
    <w:uiPriority w:val="0"/>
    <w:pPr>
      <w:spacing w:before="120" w:line="460" w:lineRule="exact"/>
    </w:pPr>
    <w:rPr>
      <w:rFonts w:ascii="黑体" w:hAnsi="Times New Roman" w:eastAsia="黑体"/>
      <w:color w:val="000000"/>
      <w:kern w:val="2"/>
      <w:sz w:val="24"/>
      <w:szCs w:val="24"/>
    </w:rPr>
  </w:style>
  <w:style w:type="character" w:customStyle="1" w:styleId="71">
    <w:name w:val="未处理的提及3"/>
    <w:basedOn w:val="23"/>
    <w:semiHidden/>
    <w:unhideWhenUsed/>
    <w:qFormat/>
    <w:uiPriority w:val="99"/>
    <w:rPr>
      <w:color w:val="605E5C"/>
      <w:shd w:val="clear" w:color="auto" w:fill="E1DFDD"/>
    </w:rPr>
  </w:style>
  <w:style w:type="character" w:customStyle="1" w:styleId="72">
    <w:name w:val="正文文本 字符"/>
    <w:basedOn w:val="23"/>
    <w:link w:val="12"/>
    <w:qFormat/>
    <w:uiPriority w:val="1"/>
    <w:rPr>
      <w:rFonts w:ascii="仿宋" w:hAnsi="仿宋" w:eastAsia="仿宋"/>
      <w:color w:val="000000" w:themeColor="text1"/>
      <w:sz w:val="28"/>
      <w:szCs w:val="28"/>
      <w14:textFill>
        <w14:solidFill>
          <w14:schemeClr w14:val="tx1"/>
        </w14:solidFill>
      </w14:textFill>
    </w:rPr>
  </w:style>
  <w:style w:type="character" w:customStyle="1" w:styleId="73">
    <w:name w:val="未处理的提及4"/>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package" Target="embeddings/Microsoft_Visio___1.vsdx"/><Relationship Id="rId18" Type="http://schemas.openxmlformats.org/officeDocument/2006/relationships/chart" Target="charts/chart4.xml"/><Relationship Id="rId17" Type="http://schemas.openxmlformats.org/officeDocument/2006/relationships/image" Target="media/image6.png"/><Relationship Id="rId16" Type="http://schemas.openxmlformats.org/officeDocument/2006/relationships/chart" Target="charts/chart3.xml"/><Relationship Id="rId15" Type="http://schemas.openxmlformats.org/officeDocument/2006/relationships/image" Target="media/image5.jpeg"/><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4">
                  <a:tint val="44000"/>
                </a:schemeClr>
              </a:solidFill>
              <a:ln w="19050">
                <a:solidFill>
                  <a:schemeClr val="lt1"/>
                </a:solidFill>
              </a:ln>
              <a:effectLst/>
            </c:spPr>
          </c:dPt>
          <c:dPt>
            <c:idx val="1"/>
            <c:bubble3D val="0"/>
            <c:spPr>
              <a:solidFill>
                <a:schemeClr val="accent4">
                  <a:tint val="58000"/>
                </a:schemeClr>
              </a:solidFill>
              <a:ln w="19050">
                <a:solidFill>
                  <a:schemeClr val="lt1"/>
                </a:solidFill>
              </a:ln>
              <a:effectLst/>
            </c:spPr>
          </c:dPt>
          <c:dPt>
            <c:idx val="2"/>
            <c:bubble3D val="0"/>
            <c:spPr>
              <a:solidFill>
                <a:schemeClr val="accent4">
                  <a:tint val="72000"/>
                </a:schemeClr>
              </a:solidFill>
              <a:ln w="19050">
                <a:solidFill>
                  <a:schemeClr val="lt1"/>
                </a:solidFill>
              </a:ln>
              <a:effectLst/>
            </c:spPr>
          </c:dPt>
          <c:dPt>
            <c:idx val="3"/>
            <c:bubble3D val="0"/>
            <c:spPr>
              <a:solidFill>
                <a:schemeClr val="accent4">
                  <a:tint val="86000"/>
                </a:schemeClr>
              </a:solidFill>
              <a:ln w="19050">
                <a:solidFill>
                  <a:schemeClr val="lt1"/>
                </a:solidFill>
              </a:ln>
              <a:effectLst/>
            </c:spPr>
          </c:dPt>
          <c:dPt>
            <c:idx val="4"/>
            <c:bubble3D val="0"/>
            <c:spPr>
              <a:solidFill>
                <a:schemeClr val="accent4"/>
              </a:solidFill>
              <a:ln w="19050">
                <a:solidFill>
                  <a:schemeClr val="lt1"/>
                </a:solidFill>
              </a:ln>
              <a:effectLst/>
            </c:spPr>
          </c:dPt>
          <c:dPt>
            <c:idx val="5"/>
            <c:bubble3D val="0"/>
            <c:spPr>
              <a:solidFill>
                <a:schemeClr val="accent4">
                  <a:shade val="86000"/>
                </a:schemeClr>
              </a:solidFill>
              <a:ln w="19050">
                <a:solidFill>
                  <a:schemeClr val="lt1"/>
                </a:solidFill>
              </a:ln>
              <a:effectLst/>
            </c:spPr>
          </c:dPt>
          <c:dPt>
            <c:idx val="6"/>
            <c:bubble3D val="0"/>
            <c:spPr>
              <a:solidFill>
                <a:schemeClr val="accent4">
                  <a:shade val="72000"/>
                </a:schemeClr>
              </a:solidFill>
              <a:ln w="19050">
                <a:solidFill>
                  <a:schemeClr val="lt1"/>
                </a:solidFill>
              </a:ln>
              <a:effectLst/>
            </c:spPr>
          </c:dPt>
          <c:dPt>
            <c:idx val="7"/>
            <c:bubble3D val="0"/>
            <c:spPr>
              <a:solidFill>
                <a:schemeClr val="accent4">
                  <a:shade val="58000"/>
                </a:schemeClr>
              </a:solidFill>
              <a:ln w="19050">
                <a:solidFill>
                  <a:schemeClr val="lt1"/>
                </a:solidFill>
              </a:ln>
              <a:effectLst/>
            </c:spPr>
          </c:dPt>
          <c:dPt>
            <c:idx val="8"/>
            <c:bubble3D val="0"/>
            <c:spPr>
              <a:solidFill>
                <a:schemeClr val="accent4">
                  <a:shade val="44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施工准备</c:v>
                </c:pt>
                <c:pt idx="1">
                  <c:v>工程建设及其他费用</c:v>
                </c:pt>
                <c:pt idx="2">
                  <c:v>其他机电设备</c:v>
                </c:pt>
                <c:pt idx="3">
                  <c:v>通信及信号系统</c:v>
                </c:pt>
                <c:pt idx="4">
                  <c:v>车辆购置</c:v>
                </c:pt>
                <c:pt idx="5">
                  <c:v>车辆段</c:v>
                </c:pt>
                <c:pt idx="6">
                  <c:v>供电系统</c:v>
                </c:pt>
                <c:pt idx="7">
                  <c:v>轨道工程</c:v>
                </c:pt>
                <c:pt idx="8">
                  <c:v>土建工程</c:v>
                </c:pt>
              </c:strCache>
            </c:strRef>
          </c:cat>
          <c:val>
            <c:numRef>
              <c:f>Sheet1!$B$2:$B$10</c:f>
              <c:numCache>
                <c:formatCode>0%</c:formatCode>
                <c:ptCount val="9"/>
                <c:pt idx="0">
                  <c:v>0.02</c:v>
                </c:pt>
                <c:pt idx="1">
                  <c:v>0.22</c:v>
                </c:pt>
                <c:pt idx="2">
                  <c:v>0.12</c:v>
                </c:pt>
                <c:pt idx="3">
                  <c:v>0.06</c:v>
                </c:pt>
                <c:pt idx="4">
                  <c:v>0.1</c:v>
                </c:pt>
                <c:pt idx="5">
                  <c:v>0.05</c:v>
                </c:pt>
                <c:pt idx="6">
                  <c:v>0.02</c:v>
                </c:pt>
                <c:pt idx="7">
                  <c:v>0.02</c:v>
                </c:pt>
                <c:pt idx="8">
                  <c:v>0.39</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Sheet1!$B$1</c:f>
              <c:strCache>
                <c:ptCount val="1"/>
                <c:pt idx="0">
                  <c:v>铁路机车（万台）</c:v>
                </c:pt>
              </c:strCache>
            </c:strRef>
          </c:tx>
          <c:spPr>
            <a:solidFill>
              <a:schemeClr val="accent4">
                <a:shade val="65000"/>
              </a:schemeClr>
            </a:solidFill>
            <a:ln>
              <a:noFill/>
            </a:ln>
            <a:effectLst/>
          </c:spPr>
          <c:invertIfNegative val="0"/>
          <c:dLbls>
            <c:delete val="1"/>
          </c:dLbls>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Sheet1!$B$2:$B$10</c:f>
              <c:numCache>
                <c:formatCode>General</c:formatCode>
                <c:ptCount val="9"/>
                <c:pt idx="0">
                  <c:v>2.1</c:v>
                </c:pt>
                <c:pt idx="1">
                  <c:v>2.2</c:v>
                </c:pt>
                <c:pt idx="2">
                  <c:v>2.2</c:v>
                </c:pt>
                <c:pt idx="3">
                  <c:v>2.1</c:v>
                </c:pt>
                <c:pt idx="4">
                  <c:v>2.2</c:v>
                </c:pt>
                <c:pt idx="5">
                  <c:v>2.2</c:v>
                </c:pt>
                <c:pt idx="6">
                  <c:v>2.2</c:v>
                </c:pt>
                <c:pt idx="7">
                  <c:v>2.2</c:v>
                </c:pt>
                <c:pt idx="8">
                  <c:v>2.24</c:v>
                </c:pt>
              </c:numCache>
            </c:numRef>
          </c:val>
        </c:ser>
        <c:ser>
          <c:idx val="1"/>
          <c:order val="1"/>
          <c:tx>
            <c:strRef>
              <c:f>Sheet1!$C$1</c:f>
              <c:strCache>
                <c:ptCount val="1"/>
                <c:pt idx="0">
                  <c:v>铁路客车（万辆）</c:v>
                </c:pt>
              </c:strCache>
            </c:strRef>
          </c:tx>
          <c:spPr>
            <a:solidFill>
              <a:schemeClr val="accent4"/>
            </a:solidFill>
            <a:ln>
              <a:noFill/>
            </a:ln>
            <a:effectLst/>
          </c:spPr>
          <c:invertIfNegative val="0"/>
          <c:dLbls>
            <c:delete val="1"/>
          </c:dLbls>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Sheet1!$C$2:$C$10</c:f>
              <c:numCache>
                <c:formatCode>General</c:formatCode>
                <c:ptCount val="9"/>
                <c:pt idx="0">
                  <c:v>6.8</c:v>
                </c:pt>
                <c:pt idx="1">
                  <c:v>7</c:v>
                </c:pt>
                <c:pt idx="2">
                  <c:v>6.9</c:v>
                </c:pt>
                <c:pt idx="3">
                  <c:v>7.2</c:v>
                </c:pt>
                <c:pt idx="4">
                  <c:v>7.2</c:v>
                </c:pt>
                <c:pt idx="5">
                  <c:v>7.5</c:v>
                </c:pt>
                <c:pt idx="6">
                  <c:v>7.5</c:v>
                </c:pt>
                <c:pt idx="7">
                  <c:v>7.5</c:v>
                </c:pt>
                <c:pt idx="8">
                  <c:v>7.4</c:v>
                </c:pt>
              </c:numCache>
            </c:numRef>
          </c:val>
        </c:ser>
        <c:ser>
          <c:idx val="2"/>
          <c:order val="2"/>
          <c:tx>
            <c:strRef>
              <c:f>Sheet1!$D$1</c:f>
              <c:strCache>
                <c:ptCount val="1"/>
                <c:pt idx="0">
                  <c:v>铁路货车（万辆）</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Sheet1!$D$2:$D$10</c:f>
              <c:numCache>
                <c:formatCode>General</c:formatCode>
                <c:ptCount val="9"/>
                <c:pt idx="0">
                  <c:v>76.9</c:v>
                </c:pt>
                <c:pt idx="1">
                  <c:v>76.5</c:v>
                </c:pt>
                <c:pt idx="2">
                  <c:v>80.9</c:v>
                </c:pt>
                <c:pt idx="3">
                  <c:v>83.9</c:v>
                </c:pt>
                <c:pt idx="4">
                  <c:v>87.7</c:v>
                </c:pt>
                <c:pt idx="5">
                  <c:v>91.2</c:v>
                </c:pt>
                <c:pt idx="6">
                  <c:v>96.6</c:v>
                </c:pt>
                <c:pt idx="7">
                  <c:v>99.7</c:v>
                </c:pt>
                <c:pt idx="8">
                  <c:v>100.5</c:v>
                </c:pt>
              </c:numCache>
            </c:numRef>
          </c:val>
        </c:ser>
        <c:dLbls>
          <c:showLegendKey val="0"/>
          <c:showVal val="0"/>
          <c:showCatName val="0"/>
          <c:showSerName val="0"/>
          <c:showPercent val="0"/>
          <c:showBubbleSize val="0"/>
        </c:dLbls>
        <c:gapWidth val="219"/>
        <c:overlap val="-27"/>
        <c:axId val="1022652608"/>
        <c:axId val="1022651888"/>
      </c:barChart>
      <c:catAx>
        <c:axId val="10226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2651888"/>
        <c:crosses val="autoZero"/>
        <c:auto val="1"/>
        <c:lblAlgn val="ctr"/>
        <c:lblOffset val="100"/>
        <c:noMultiLvlLbl val="0"/>
      </c:catAx>
      <c:valAx>
        <c:axId val="102265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2652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钢材及铸造件</c:v>
                </c:pt>
                <c:pt idx="1">
                  <c:v>关键基础零部件</c:v>
                </c:pt>
                <c:pt idx="2">
                  <c:v>人力成本</c:v>
                </c:pt>
                <c:pt idx="3">
                  <c:v>制造费及其他费用</c:v>
                </c:pt>
              </c:strCache>
            </c:strRef>
          </c:cat>
          <c:val>
            <c:numRef>
              <c:f>Sheet1!$B$2:$B$5</c:f>
              <c:numCache>
                <c:formatCode>0%</c:formatCode>
                <c:ptCount val="4"/>
                <c:pt idx="0">
                  <c:v>0.25</c:v>
                </c:pt>
                <c:pt idx="1">
                  <c:v>0.5</c:v>
                </c:pt>
                <c:pt idx="2">
                  <c:v>0.1</c:v>
                </c:pt>
                <c:pt idx="3">
                  <c:v>0.15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c:v>
                </c:pt>
                <c:pt idx="1">
                  <c:v>2020</c:v>
                </c:pt>
                <c:pt idx="2">
                  <c:v>2021</c:v>
                </c:pt>
                <c:pt idx="3">
                  <c:v>2022</c:v>
                </c:pt>
                <c:pt idx="4">
                  <c:v>2023</c:v>
                </c:pt>
                <c:pt idx="5">
                  <c:v>2024E</c:v>
                </c:pt>
              </c:strCache>
            </c:strRef>
          </c:cat>
          <c:val>
            <c:numRef>
              <c:f>Sheet1!$B$2:$B$7</c:f>
              <c:numCache>
                <c:formatCode>General</c:formatCode>
                <c:ptCount val="6"/>
                <c:pt idx="0">
                  <c:v>35758</c:v>
                </c:pt>
                <c:pt idx="1">
                  <c:v>36311</c:v>
                </c:pt>
                <c:pt idx="2">
                  <c:v>40668</c:v>
                </c:pt>
                <c:pt idx="3">
                  <c:v>41953</c:v>
                </c:pt>
                <c:pt idx="4">
                  <c:v>44086</c:v>
                </c:pt>
                <c:pt idx="5">
                  <c:v>46200</c:v>
                </c:pt>
              </c:numCache>
            </c:numRef>
          </c:val>
        </c:ser>
        <c:dLbls>
          <c:showLegendKey val="0"/>
          <c:showVal val="1"/>
          <c:showCatName val="0"/>
          <c:showSerName val="0"/>
          <c:showPercent val="0"/>
          <c:showBubbleSize val="0"/>
        </c:dLbls>
        <c:gapWidth val="219"/>
        <c:overlap val="-27"/>
        <c:axId val="252500239"/>
        <c:axId val="252500599"/>
      </c:barChart>
      <c:catAx>
        <c:axId val="252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2500599"/>
        <c:crosses val="autoZero"/>
        <c:auto val="1"/>
        <c:lblAlgn val="ctr"/>
        <c:lblOffset val="100"/>
        <c:noMultiLvlLbl val="0"/>
      </c:catAx>
      <c:valAx>
        <c:axId val="252500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2500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4976</Words>
  <Characters>28365</Characters>
  <Lines>236</Lines>
  <Paragraphs>66</Paragraphs>
  <TotalTime>78</TotalTime>
  <ScaleCrop>false</ScaleCrop>
  <LinksUpToDate>false</LinksUpToDate>
  <CharactersWithSpaces>33275</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2024-11-19T14:45:00Z</dcterms:created>
  <dc:creator>Administrator</dc:creator>
  <cp:lastModifiedBy>great</cp:lastModifiedBy>
  <cp:lastPrinted>2024-11-19T16:26:00Z</cp:lastPrinted>
  <dcterms:modified xsi:type="dcterms:W3CDTF">2024-11-21T14:32:12Z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A6BE6149E2C74402BCC3F3C18BA15EC2_12</vt:lpwstr>
  </property>
</Properties>
</file>