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E8625">
      <w:pPr>
        <w:pStyle w:val="4"/>
      </w:pPr>
      <w:bookmarkStart w:id="0" w:name="_GoBack"/>
      <w:bookmarkEnd w:id="0"/>
    </w:p>
    <w:p w14:paraId="6137B848">
      <w:pPr>
        <w:widowControl/>
        <w:spacing w:line="594" w:lineRule="exact"/>
        <w:jc w:val="center"/>
        <w:rPr>
          <w:rFonts w:hint="eastAsia" w:eastAsia="方正小标宋简体"/>
          <w:kern w:val="0"/>
          <w:sz w:val="44"/>
          <w:szCs w:val="44"/>
        </w:rPr>
      </w:pPr>
    </w:p>
    <w:p w14:paraId="00BBE55A">
      <w:pPr>
        <w:widowControl/>
        <w:spacing w:line="594" w:lineRule="exact"/>
        <w:jc w:val="center"/>
        <w:rPr>
          <w:rFonts w:hint="eastAsia" w:eastAsia="方正小标宋简体"/>
          <w:kern w:val="0"/>
          <w:sz w:val="44"/>
          <w:szCs w:val="44"/>
        </w:rPr>
      </w:pPr>
    </w:p>
    <w:p w14:paraId="6986A9B2">
      <w:pPr>
        <w:widowControl/>
        <w:spacing w:line="594" w:lineRule="exact"/>
        <w:jc w:val="center"/>
        <w:rPr>
          <w:rFonts w:hint="eastAsia" w:eastAsia="方正小标宋简体"/>
          <w:kern w:val="0"/>
          <w:sz w:val="44"/>
          <w:szCs w:val="44"/>
        </w:rPr>
      </w:pPr>
    </w:p>
    <w:p w14:paraId="01B89927">
      <w:pPr>
        <w:widowControl/>
        <w:spacing w:line="594" w:lineRule="exact"/>
        <w:jc w:val="center"/>
        <w:rPr>
          <w:rFonts w:hint="eastAsia" w:eastAsia="方正小标宋简体"/>
          <w:kern w:val="0"/>
          <w:sz w:val="44"/>
          <w:szCs w:val="44"/>
        </w:rPr>
      </w:pPr>
    </w:p>
    <w:p w14:paraId="5037B116">
      <w:pPr>
        <w:widowControl/>
        <w:spacing w:line="594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202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eastAsia="方正小标宋简体"/>
          <w:kern w:val="0"/>
          <w:sz w:val="44"/>
          <w:szCs w:val="44"/>
        </w:rPr>
        <w:t>年度</w:t>
      </w:r>
      <w:r>
        <w:rPr>
          <w:rFonts w:eastAsia="方正小标宋简体"/>
          <w:kern w:val="0"/>
          <w:sz w:val="44"/>
          <w:szCs w:val="44"/>
        </w:rPr>
        <w:t>部门整体支出绩效报告</w:t>
      </w:r>
      <w:r>
        <w:rPr>
          <w:rFonts w:eastAsia="方正小标宋简体"/>
          <w:kern w:val="0"/>
          <w:sz w:val="44"/>
          <w:szCs w:val="44"/>
        </w:rPr>
        <w:br w:type="textWrapping"/>
      </w:r>
    </w:p>
    <w:p w14:paraId="0FB4CB8C">
      <w:pPr>
        <w:widowControl/>
        <w:spacing w:line="594" w:lineRule="exact"/>
        <w:jc w:val="center"/>
        <w:rPr>
          <w:rFonts w:eastAsia="方正小标宋简体"/>
          <w:kern w:val="0"/>
          <w:sz w:val="44"/>
          <w:szCs w:val="44"/>
        </w:rPr>
      </w:pPr>
    </w:p>
    <w:p w14:paraId="7A0A3C40">
      <w:pPr>
        <w:widowControl/>
        <w:spacing w:line="594" w:lineRule="exact"/>
        <w:jc w:val="center"/>
        <w:rPr>
          <w:rFonts w:eastAsia="方正小标宋简体"/>
          <w:kern w:val="0"/>
          <w:sz w:val="44"/>
          <w:szCs w:val="44"/>
        </w:rPr>
      </w:pPr>
    </w:p>
    <w:p w14:paraId="4E380257">
      <w:pPr>
        <w:widowControl/>
        <w:spacing w:line="594" w:lineRule="exact"/>
        <w:jc w:val="center"/>
        <w:rPr>
          <w:rFonts w:eastAsia="方正小标宋简体"/>
          <w:kern w:val="0"/>
          <w:sz w:val="44"/>
          <w:szCs w:val="44"/>
        </w:rPr>
      </w:pPr>
    </w:p>
    <w:p w14:paraId="5794DA02">
      <w:pPr>
        <w:widowControl/>
        <w:spacing w:line="594" w:lineRule="exact"/>
        <w:jc w:val="center"/>
        <w:rPr>
          <w:rFonts w:eastAsia="方正小标宋简体"/>
          <w:kern w:val="0"/>
          <w:sz w:val="44"/>
          <w:szCs w:val="44"/>
        </w:rPr>
      </w:pPr>
    </w:p>
    <w:p w14:paraId="13F4FE72">
      <w:pPr>
        <w:widowControl/>
        <w:spacing w:line="594" w:lineRule="exact"/>
        <w:jc w:val="center"/>
        <w:rPr>
          <w:rFonts w:hint="eastAsia" w:eastAsia="方正小标宋简体"/>
          <w:kern w:val="0"/>
          <w:sz w:val="44"/>
          <w:szCs w:val="44"/>
          <w:lang w:eastAsia="zh-CN"/>
        </w:rPr>
      </w:pPr>
      <w:r>
        <w:rPr>
          <w:rFonts w:hint="eastAsia" w:eastAsia="方正小标宋简体"/>
          <w:kern w:val="0"/>
          <w:sz w:val="44"/>
          <w:szCs w:val="44"/>
          <w:lang w:eastAsia="zh-CN"/>
        </w:rPr>
        <w:t>桃江县城市管理和综合执法局</w:t>
      </w:r>
    </w:p>
    <w:p w14:paraId="1B721A2A">
      <w:pPr>
        <w:widowControl/>
        <w:spacing w:line="594" w:lineRule="exact"/>
        <w:jc w:val="center"/>
        <w:rPr>
          <w:rFonts w:eastAsia="方正小标宋简体"/>
          <w:kern w:val="0"/>
          <w:sz w:val="44"/>
          <w:szCs w:val="44"/>
        </w:rPr>
      </w:pPr>
    </w:p>
    <w:p w14:paraId="78A3111E">
      <w:pPr>
        <w:widowControl/>
        <w:spacing w:line="594" w:lineRule="exact"/>
        <w:jc w:val="center"/>
        <w:rPr>
          <w:rFonts w:eastAsia="方正小标宋简体"/>
          <w:kern w:val="0"/>
          <w:sz w:val="44"/>
          <w:szCs w:val="44"/>
        </w:rPr>
      </w:pPr>
    </w:p>
    <w:p w14:paraId="20293894">
      <w:pPr>
        <w:widowControl/>
        <w:spacing w:line="594" w:lineRule="exact"/>
        <w:jc w:val="center"/>
        <w:rPr>
          <w:rFonts w:eastAsia="方正小标宋简体"/>
          <w:kern w:val="0"/>
          <w:sz w:val="44"/>
          <w:szCs w:val="44"/>
        </w:rPr>
      </w:pPr>
    </w:p>
    <w:p w14:paraId="5070123C">
      <w:pPr>
        <w:widowControl/>
        <w:spacing w:line="594" w:lineRule="exact"/>
        <w:jc w:val="center"/>
        <w:rPr>
          <w:rFonts w:eastAsia="方正小标宋简体"/>
          <w:kern w:val="0"/>
          <w:sz w:val="44"/>
          <w:szCs w:val="44"/>
        </w:rPr>
      </w:pPr>
    </w:p>
    <w:p w14:paraId="3EC0847A">
      <w:pPr>
        <w:widowControl/>
        <w:spacing w:line="594" w:lineRule="exact"/>
        <w:jc w:val="center"/>
        <w:rPr>
          <w:rFonts w:eastAsia="方正小标宋简体"/>
          <w:kern w:val="0"/>
          <w:sz w:val="44"/>
          <w:szCs w:val="44"/>
        </w:rPr>
      </w:pPr>
    </w:p>
    <w:p w14:paraId="0D8267BC">
      <w:pPr>
        <w:widowControl/>
        <w:spacing w:line="594" w:lineRule="exact"/>
        <w:jc w:val="center"/>
        <w:rPr>
          <w:rFonts w:eastAsia="方正小标宋简体"/>
          <w:kern w:val="0"/>
          <w:sz w:val="44"/>
          <w:szCs w:val="44"/>
        </w:rPr>
      </w:pPr>
    </w:p>
    <w:p w14:paraId="6600D96E">
      <w:pPr>
        <w:widowControl/>
        <w:spacing w:line="594" w:lineRule="exact"/>
        <w:jc w:val="center"/>
        <w:rPr>
          <w:rFonts w:eastAsia="方正小标宋简体"/>
          <w:kern w:val="0"/>
          <w:sz w:val="44"/>
          <w:szCs w:val="44"/>
        </w:rPr>
      </w:pPr>
    </w:p>
    <w:p w14:paraId="62721CC5">
      <w:pPr>
        <w:widowControl/>
        <w:spacing w:line="594" w:lineRule="exact"/>
        <w:jc w:val="center"/>
        <w:rPr>
          <w:rFonts w:eastAsia="方正小标宋简体"/>
          <w:kern w:val="0"/>
          <w:sz w:val="44"/>
          <w:szCs w:val="44"/>
        </w:rPr>
      </w:pPr>
    </w:p>
    <w:p w14:paraId="11CF5F42">
      <w:pPr>
        <w:widowControl/>
        <w:spacing w:line="594" w:lineRule="exact"/>
        <w:jc w:val="center"/>
        <w:rPr>
          <w:rFonts w:eastAsia="方正小标宋简体"/>
          <w:kern w:val="0"/>
          <w:sz w:val="44"/>
          <w:szCs w:val="44"/>
        </w:rPr>
      </w:pPr>
    </w:p>
    <w:p w14:paraId="2B530F49">
      <w:pPr>
        <w:widowControl/>
        <w:spacing w:line="594" w:lineRule="exact"/>
        <w:jc w:val="left"/>
        <w:rPr>
          <w:kern w:val="0"/>
          <w:szCs w:val="32"/>
        </w:rPr>
      </w:pPr>
      <w:r>
        <w:rPr>
          <w:kern w:val="0"/>
          <w:szCs w:val="32"/>
        </w:rPr>
        <w:t xml:space="preserve">   </w:t>
      </w:r>
    </w:p>
    <w:p w14:paraId="2D56CA53">
      <w:pPr>
        <w:widowControl/>
        <w:spacing w:line="594" w:lineRule="exact"/>
        <w:ind w:firstLine="640" w:firstLineChars="200"/>
        <w:rPr>
          <w:rFonts w:eastAsia="黑体"/>
          <w:bCs/>
          <w:kern w:val="0"/>
          <w:szCs w:val="32"/>
        </w:rPr>
      </w:pPr>
    </w:p>
    <w:p w14:paraId="41AD89AA">
      <w:pPr>
        <w:widowControl/>
        <w:spacing w:line="594" w:lineRule="exact"/>
        <w:ind w:firstLine="640" w:firstLineChars="200"/>
        <w:rPr>
          <w:rFonts w:hint="eastAsia" w:eastAsia="黑体"/>
          <w:bCs/>
          <w:kern w:val="0"/>
          <w:szCs w:val="32"/>
          <w:lang w:eastAsia="zh-CN"/>
        </w:rPr>
      </w:pPr>
    </w:p>
    <w:p w14:paraId="2DFA76D9">
      <w:pPr>
        <w:widowControl/>
        <w:spacing w:line="594" w:lineRule="exact"/>
        <w:ind w:firstLine="3200" w:firstLineChars="1000"/>
        <w:rPr>
          <w:rFonts w:hint="eastAsia" w:eastAsia="黑体"/>
          <w:bCs/>
          <w:kern w:val="0"/>
          <w:szCs w:val="32"/>
          <w:lang w:eastAsia="zh-CN"/>
        </w:rPr>
      </w:pPr>
      <w:r>
        <w:rPr>
          <w:rFonts w:hint="eastAsia" w:eastAsia="黑体"/>
          <w:bCs/>
          <w:kern w:val="0"/>
          <w:szCs w:val="32"/>
          <w:lang w:eastAsia="zh-CN"/>
        </w:rPr>
        <w:t>目</w:t>
      </w:r>
      <w:r>
        <w:rPr>
          <w:rFonts w:hint="eastAsia" w:eastAsia="黑体"/>
          <w:bCs/>
          <w:kern w:val="0"/>
          <w:szCs w:val="32"/>
          <w:lang w:val="en-US" w:eastAsia="zh-CN"/>
        </w:rPr>
        <w:t xml:space="preserve">    </w:t>
      </w:r>
      <w:r>
        <w:rPr>
          <w:rFonts w:hint="eastAsia" w:eastAsia="黑体"/>
          <w:bCs/>
          <w:kern w:val="0"/>
          <w:szCs w:val="32"/>
          <w:lang w:eastAsia="zh-CN"/>
        </w:rPr>
        <w:t>录</w:t>
      </w:r>
    </w:p>
    <w:p w14:paraId="2FA46B11">
      <w:pPr>
        <w:widowControl/>
        <w:spacing w:line="594" w:lineRule="exact"/>
        <w:ind w:firstLine="640" w:firstLineChars="200"/>
        <w:rPr>
          <w:rFonts w:eastAsia="黑体"/>
          <w:kern w:val="0"/>
          <w:szCs w:val="32"/>
        </w:rPr>
      </w:pPr>
      <w:r>
        <w:rPr>
          <w:rFonts w:eastAsia="黑体"/>
          <w:bCs/>
          <w:kern w:val="0"/>
          <w:szCs w:val="32"/>
        </w:rPr>
        <w:t xml:space="preserve"> 一、部门概况</w:t>
      </w:r>
    </w:p>
    <w:p w14:paraId="318E7F6A">
      <w:pPr>
        <w:widowControl/>
        <w:spacing w:line="594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（一）部门基本情况</w:t>
      </w:r>
    </w:p>
    <w:p w14:paraId="18EE40C2">
      <w:pPr>
        <w:widowControl/>
        <w:spacing w:line="594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（二）部门整体支出规模</w:t>
      </w:r>
    </w:p>
    <w:p w14:paraId="46CCAAA8">
      <w:pPr>
        <w:widowControl/>
        <w:spacing w:line="594" w:lineRule="exact"/>
        <w:ind w:firstLine="640" w:firstLineChars="200"/>
        <w:rPr>
          <w:kern w:val="0"/>
          <w:szCs w:val="32"/>
        </w:rPr>
      </w:pPr>
      <w:r>
        <w:rPr>
          <w:rFonts w:hint="eastAsia"/>
          <w:kern w:val="0"/>
          <w:szCs w:val="32"/>
          <w:lang w:eastAsia="zh-CN"/>
        </w:rPr>
        <w:t>（三）部门整体支出</w:t>
      </w:r>
      <w:r>
        <w:rPr>
          <w:kern w:val="0"/>
          <w:szCs w:val="32"/>
        </w:rPr>
        <w:t>使用方向和主要内容、涉及范围</w:t>
      </w:r>
    </w:p>
    <w:p w14:paraId="56F65296">
      <w:pPr>
        <w:widowControl/>
        <w:spacing w:line="594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（</w:t>
      </w:r>
      <w:r>
        <w:rPr>
          <w:rFonts w:hint="eastAsia"/>
          <w:kern w:val="0"/>
          <w:szCs w:val="32"/>
          <w:lang w:eastAsia="zh-CN"/>
        </w:rPr>
        <w:t>四</w:t>
      </w:r>
      <w:r>
        <w:rPr>
          <w:kern w:val="0"/>
          <w:szCs w:val="32"/>
        </w:rPr>
        <w:t>）绩效目标设立情况</w:t>
      </w:r>
    </w:p>
    <w:p w14:paraId="3FB6CC85">
      <w:pPr>
        <w:widowControl/>
        <w:spacing w:line="594" w:lineRule="exact"/>
        <w:ind w:firstLine="640" w:firstLineChars="200"/>
        <w:rPr>
          <w:kern w:val="0"/>
          <w:szCs w:val="32"/>
        </w:rPr>
      </w:pPr>
      <w:r>
        <w:rPr>
          <w:rFonts w:eastAsia="黑体"/>
          <w:bCs/>
          <w:kern w:val="0"/>
          <w:szCs w:val="32"/>
        </w:rPr>
        <w:t>二、部门整体支出管理及使用情况分析</w:t>
      </w:r>
    </w:p>
    <w:p w14:paraId="22DA9FF1">
      <w:pPr>
        <w:widowControl/>
        <w:spacing w:line="594" w:lineRule="exact"/>
        <w:ind w:firstLine="640" w:firstLineChars="200"/>
        <w:rPr>
          <w:kern w:val="0"/>
          <w:szCs w:val="32"/>
        </w:rPr>
      </w:pPr>
      <w:r>
        <w:rPr>
          <w:rFonts w:eastAsia="楷体_GB2312"/>
          <w:kern w:val="0"/>
          <w:szCs w:val="32"/>
        </w:rPr>
        <w:t>（</w:t>
      </w:r>
      <w:r>
        <w:rPr>
          <w:kern w:val="0"/>
          <w:szCs w:val="32"/>
        </w:rPr>
        <w:t>一）基本支出</w:t>
      </w:r>
    </w:p>
    <w:p w14:paraId="608EDCF9">
      <w:pPr>
        <w:widowControl/>
        <w:spacing w:line="594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（二）项目支出</w:t>
      </w:r>
    </w:p>
    <w:p w14:paraId="1D345B3E">
      <w:pPr>
        <w:widowControl/>
        <w:spacing w:line="594" w:lineRule="exact"/>
        <w:ind w:firstLine="640" w:firstLineChars="200"/>
        <w:rPr>
          <w:rFonts w:hint="eastAsia"/>
          <w:kern w:val="0"/>
          <w:szCs w:val="32"/>
          <w:lang w:eastAsia="zh-CN"/>
        </w:rPr>
      </w:pPr>
      <w:r>
        <w:rPr>
          <w:rFonts w:hint="eastAsia"/>
          <w:kern w:val="0"/>
          <w:szCs w:val="32"/>
          <w:lang w:val="en-US" w:eastAsia="zh-CN"/>
        </w:rPr>
        <w:t xml:space="preserve"> </w:t>
      </w:r>
      <w:r>
        <w:rPr>
          <w:rFonts w:hint="eastAsia"/>
          <w:kern w:val="0"/>
          <w:szCs w:val="32"/>
          <w:lang w:eastAsia="zh-CN"/>
        </w:rPr>
        <w:t>1.项目资金安排落实、总投入等情况分析。</w:t>
      </w:r>
    </w:p>
    <w:p w14:paraId="1AAE67B2">
      <w:pPr>
        <w:widowControl/>
        <w:spacing w:line="594" w:lineRule="exact"/>
        <w:ind w:firstLine="640" w:firstLineChars="200"/>
        <w:rPr>
          <w:rFonts w:hint="eastAsia"/>
          <w:kern w:val="0"/>
          <w:szCs w:val="32"/>
          <w:lang w:eastAsia="zh-CN"/>
        </w:rPr>
      </w:pPr>
      <w:r>
        <w:rPr>
          <w:rFonts w:hint="eastAsia"/>
          <w:kern w:val="0"/>
          <w:szCs w:val="32"/>
          <w:lang w:val="en-US" w:eastAsia="zh-CN"/>
        </w:rPr>
        <w:t xml:space="preserve"> 2.</w:t>
      </w:r>
      <w:r>
        <w:rPr>
          <w:rFonts w:hint="eastAsia"/>
          <w:kern w:val="0"/>
          <w:szCs w:val="32"/>
          <w:lang w:eastAsia="zh-CN"/>
        </w:rPr>
        <w:t>项目资金（财政资金）实际使用情况分析。</w:t>
      </w:r>
    </w:p>
    <w:p w14:paraId="2106388F">
      <w:pPr>
        <w:widowControl/>
        <w:spacing w:line="594" w:lineRule="exact"/>
        <w:ind w:firstLine="640" w:firstLineChars="200"/>
        <w:rPr>
          <w:rFonts w:hint="default" w:ascii="仿宋" w:hAnsi="仿宋" w:eastAsia="仿宋" w:cs="Tahoma"/>
          <w:kern w:val="0"/>
          <w:sz w:val="32"/>
          <w:szCs w:val="32"/>
          <w:lang w:val="en-US" w:eastAsia="zh-CN"/>
        </w:rPr>
      </w:pPr>
      <w:r>
        <w:rPr>
          <w:rFonts w:hint="eastAsia"/>
          <w:kern w:val="0"/>
          <w:szCs w:val="32"/>
          <w:lang w:val="en-US" w:eastAsia="zh-CN"/>
        </w:rPr>
        <w:t xml:space="preserve"> 3.</w:t>
      </w:r>
      <w:r>
        <w:rPr>
          <w:rFonts w:hint="eastAsia"/>
          <w:kern w:val="0"/>
          <w:szCs w:val="32"/>
          <w:lang w:eastAsia="zh-CN"/>
        </w:rPr>
        <w:t>项目资金管理情况分析。</w:t>
      </w:r>
    </w:p>
    <w:p w14:paraId="0EA21D62">
      <w:pPr>
        <w:widowControl/>
        <w:spacing w:line="594" w:lineRule="exact"/>
        <w:ind w:firstLine="640" w:firstLineChars="200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三、项目组织实施情况分析</w:t>
      </w:r>
    </w:p>
    <w:p w14:paraId="2FC1A898">
      <w:pPr>
        <w:widowControl/>
        <w:spacing w:line="594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（一）项目组织情况分析</w:t>
      </w:r>
    </w:p>
    <w:p w14:paraId="12CBB9E0">
      <w:pPr>
        <w:widowControl/>
        <w:spacing w:line="594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（二）项目管理情况分析</w:t>
      </w:r>
    </w:p>
    <w:p w14:paraId="09868C95">
      <w:pPr>
        <w:widowControl/>
        <w:spacing w:line="594" w:lineRule="exact"/>
        <w:ind w:firstLine="640" w:firstLineChars="200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四、部门整体支出绩效情况分析</w:t>
      </w:r>
    </w:p>
    <w:p w14:paraId="3C2BB52B">
      <w:pPr>
        <w:widowControl/>
        <w:spacing w:line="594" w:lineRule="exact"/>
        <w:ind w:firstLine="640" w:firstLineChars="200"/>
        <w:rPr>
          <w:rFonts w:hint="eastAsia"/>
          <w:kern w:val="0"/>
          <w:szCs w:val="32"/>
          <w:lang w:eastAsia="zh-CN"/>
        </w:rPr>
      </w:pPr>
      <w:r>
        <w:rPr>
          <w:rFonts w:hint="eastAsia"/>
          <w:kern w:val="0"/>
          <w:szCs w:val="32"/>
          <w:lang w:eastAsia="zh-CN"/>
        </w:rPr>
        <w:t>（一）</w:t>
      </w:r>
      <w:r>
        <w:rPr>
          <w:kern w:val="0"/>
          <w:szCs w:val="32"/>
        </w:rPr>
        <w:t>经济性</w:t>
      </w:r>
      <w:r>
        <w:rPr>
          <w:rFonts w:hint="eastAsia"/>
          <w:kern w:val="0"/>
          <w:szCs w:val="32"/>
          <w:lang w:eastAsia="zh-CN"/>
        </w:rPr>
        <w:t>分析</w:t>
      </w:r>
    </w:p>
    <w:p w14:paraId="062DB290">
      <w:pPr>
        <w:widowControl/>
        <w:spacing w:line="594" w:lineRule="exact"/>
        <w:ind w:firstLine="640" w:firstLineChars="200"/>
        <w:rPr>
          <w:rFonts w:hint="eastAsia" w:eastAsia="仿宋_GB2312"/>
          <w:bCs/>
          <w:kern w:val="0"/>
          <w:szCs w:val="32"/>
          <w:lang w:eastAsia="zh-CN"/>
        </w:rPr>
      </w:pPr>
      <w:r>
        <w:rPr>
          <w:rFonts w:hint="eastAsia"/>
          <w:kern w:val="0"/>
          <w:szCs w:val="32"/>
          <w:lang w:eastAsia="zh-CN"/>
        </w:rPr>
        <w:t>（二）</w:t>
      </w:r>
      <w:r>
        <w:rPr>
          <w:kern w:val="0"/>
          <w:szCs w:val="32"/>
        </w:rPr>
        <w:t>效率性</w:t>
      </w:r>
      <w:r>
        <w:rPr>
          <w:rFonts w:hint="eastAsia"/>
          <w:kern w:val="0"/>
          <w:szCs w:val="32"/>
          <w:lang w:eastAsia="zh-CN"/>
        </w:rPr>
        <w:t>分析</w:t>
      </w:r>
    </w:p>
    <w:p w14:paraId="06CB9CEC">
      <w:pPr>
        <w:widowControl/>
        <w:spacing w:line="594" w:lineRule="exact"/>
        <w:ind w:firstLine="640" w:firstLineChars="200"/>
        <w:rPr>
          <w:kern w:val="0"/>
          <w:szCs w:val="32"/>
        </w:rPr>
      </w:pPr>
      <w:r>
        <w:rPr>
          <w:rFonts w:eastAsia="黑体"/>
          <w:bCs/>
          <w:kern w:val="0"/>
          <w:szCs w:val="32"/>
        </w:rPr>
        <w:t>五、绩效评价工作开展情况</w:t>
      </w:r>
    </w:p>
    <w:p w14:paraId="62ADFD9A">
      <w:pPr>
        <w:widowControl/>
        <w:spacing w:line="594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（一）绩效评价目的。</w:t>
      </w:r>
    </w:p>
    <w:p w14:paraId="31E67574">
      <w:pPr>
        <w:widowControl/>
        <w:spacing w:line="594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（二）绩效评价工作过程，</w:t>
      </w:r>
    </w:p>
    <w:p w14:paraId="4DB1B203">
      <w:pPr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六、存在的主要问题</w:t>
      </w:r>
    </w:p>
    <w:p w14:paraId="598C44A8">
      <w:pPr>
        <w:widowControl/>
        <w:spacing w:line="594" w:lineRule="exact"/>
        <w:ind w:firstLine="640" w:firstLineChars="200"/>
        <w:rPr>
          <w:rFonts w:eastAsia="黑体"/>
          <w:bCs/>
          <w:kern w:val="0"/>
          <w:szCs w:val="32"/>
        </w:rPr>
      </w:pPr>
    </w:p>
    <w:p w14:paraId="743A64AD">
      <w:pPr>
        <w:widowControl/>
        <w:spacing w:line="594" w:lineRule="exact"/>
        <w:ind w:firstLine="640" w:firstLineChars="200"/>
        <w:rPr>
          <w:rFonts w:eastAsia="黑体"/>
          <w:kern w:val="0"/>
          <w:szCs w:val="32"/>
        </w:rPr>
      </w:pPr>
      <w:r>
        <w:rPr>
          <w:rFonts w:eastAsia="黑体"/>
          <w:bCs/>
          <w:kern w:val="0"/>
          <w:szCs w:val="32"/>
        </w:rPr>
        <w:t>一、部门概况</w:t>
      </w:r>
    </w:p>
    <w:p w14:paraId="01A6FAA4">
      <w:pPr>
        <w:spacing w:line="56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（一）部门基本情况</w:t>
      </w:r>
    </w:p>
    <w:p w14:paraId="0D39525A">
      <w:pPr>
        <w:spacing w:line="56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1、机构设置</w:t>
      </w:r>
    </w:p>
    <w:p w14:paraId="181ACCAC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全额拨款</w:t>
      </w:r>
      <w:r>
        <w:rPr>
          <w:rFonts w:hint="eastAsia" w:ascii="仿宋" w:hAnsi="仿宋" w:eastAsia="仿宋"/>
          <w:sz w:val="32"/>
          <w:szCs w:val="32"/>
          <w:lang w:eastAsia="zh-CN"/>
        </w:rPr>
        <w:t>行政</w:t>
      </w:r>
      <w:r>
        <w:rPr>
          <w:rFonts w:hint="eastAsia" w:ascii="仿宋" w:hAnsi="仿宋" w:eastAsia="仿宋"/>
          <w:sz w:val="32"/>
          <w:szCs w:val="32"/>
        </w:rPr>
        <w:t>单位1个：桃江县城市管理</w:t>
      </w:r>
      <w:r>
        <w:rPr>
          <w:rFonts w:hint="eastAsia" w:ascii="仿宋" w:hAnsi="仿宋" w:eastAsia="仿宋"/>
          <w:sz w:val="32"/>
          <w:szCs w:val="32"/>
          <w:lang w:eastAsia="zh-CN"/>
        </w:rPr>
        <w:t>和综合</w:t>
      </w:r>
      <w:r>
        <w:rPr>
          <w:rFonts w:hint="eastAsia" w:ascii="仿宋" w:hAnsi="仿宋" w:eastAsia="仿宋"/>
          <w:sz w:val="32"/>
          <w:szCs w:val="32"/>
        </w:rPr>
        <w:t>执法局</w:t>
      </w:r>
    </w:p>
    <w:p w14:paraId="24E6D01F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财政补助事业单位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个：桃江县路灯管理所</w:t>
      </w:r>
      <w:r>
        <w:rPr>
          <w:rFonts w:hint="eastAsia" w:ascii="仿宋" w:hAnsi="仿宋" w:eastAsia="仿宋"/>
          <w:sz w:val="32"/>
          <w:szCs w:val="32"/>
          <w:lang w:eastAsia="zh-CN"/>
        </w:rPr>
        <w:t>、桃江县城市管理综合执法大队、</w:t>
      </w:r>
      <w:r>
        <w:rPr>
          <w:rFonts w:hint="eastAsia" w:ascii="仿宋" w:hAnsi="仿宋" w:eastAsia="仿宋"/>
          <w:sz w:val="32"/>
          <w:szCs w:val="32"/>
        </w:rPr>
        <w:t>桃江县市政设施管理站、桃江县环境卫生</w:t>
      </w:r>
      <w:r>
        <w:rPr>
          <w:rFonts w:hint="eastAsia" w:ascii="仿宋" w:hAnsi="仿宋" w:eastAsia="仿宋"/>
          <w:sz w:val="32"/>
          <w:szCs w:val="32"/>
          <w:lang w:eastAsia="zh-CN"/>
        </w:rPr>
        <w:t>服务中心。其中</w:t>
      </w:r>
      <w:r>
        <w:rPr>
          <w:rFonts w:hint="eastAsia" w:ascii="仿宋" w:hAnsi="仿宋" w:eastAsia="仿宋"/>
          <w:sz w:val="32"/>
          <w:szCs w:val="32"/>
        </w:rPr>
        <w:t>桃江县市政设施管理站、桃江县</w:t>
      </w:r>
      <w:r>
        <w:rPr>
          <w:rFonts w:hint="eastAsia" w:ascii="仿宋" w:hAnsi="仿宋" w:eastAsia="仿宋"/>
          <w:sz w:val="32"/>
          <w:szCs w:val="32"/>
          <w:lang w:eastAsia="zh-CN"/>
        </w:rPr>
        <w:t>环境卫生服务中心、桃江县路灯管理所</w:t>
      </w:r>
      <w:r>
        <w:rPr>
          <w:rFonts w:hint="eastAsia" w:ascii="仿宋" w:hAnsi="仿宋" w:eastAsia="仿宋"/>
          <w:sz w:val="32"/>
          <w:szCs w:val="32"/>
        </w:rPr>
        <w:t>单独填报</w:t>
      </w:r>
      <w:r>
        <w:rPr>
          <w:rFonts w:hint="eastAsia" w:ascii="仿宋" w:hAnsi="仿宋" w:eastAsia="仿宋"/>
          <w:sz w:val="32"/>
          <w:szCs w:val="32"/>
          <w:lang w:eastAsia="zh-CN"/>
        </w:rPr>
        <w:t>预算、</w:t>
      </w:r>
      <w:r>
        <w:rPr>
          <w:rFonts w:hint="eastAsia" w:ascii="仿宋" w:hAnsi="仿宋" w:eastAsia="仿宋"/>
          <w:sz w:val="32"/>
          <w:szCs w:val="32"/>
        </w:rPr>
        <w:t>决算报表</w:t>
      </w:r>
      <w:r>
        <w:rPr>
          <w:rFonts w:hint="eastAsia" w:ascii="仿宋" w:hAnsi="仿宋" w:eastAsia="仿宋"/>
          <w:sz w:val="32"/>
          <w:szCs w:val="32"/>
          <w:lang w:eastAsia="zh-CN"/>
        </w:rPr>
        <w:t>，未在本整体支出绩效评价报告中反映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5DC708D6">
      <w:pPr>
        <w:spacing w:line="560" w:lineRule="exact"/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我局下设办公室、人事教育股、计划财务股、政策法规股、</w:t>
      </w:r>
      <w:r>
        <w:rPr>
          <w:rFonts w:hint="eastAsia" w:ascii="仿宋" w:hAnsi="仿宋" w:eastAsia="仿宋"/>
          <w:sz w:val="32"/>
          <w:szCs w:val="32"/>
          <w:lang w:eastAsia="zh-CN"/>
        </w:rPr>
        <w:t>行政审批服务</w:t>
      </w:r>
      <w:r>
        <w:rPr>
          <w:rFonts w:hint="eastAsia" w:ascii="仿宋" w:hAnsi="仿宋" w:eastAsia="仿宋"/>
          <w:sz w:val="32"/>
          <w:szCs w:val="32"/>
        </w:rPr>
        <w:t>股、督查股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个股室。</w:t>
      </w:r>
    </w:p>
    <w:p w14:paraId="73496B01">
      <w:pPr>
        <w:spacing w:line="56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2、人员构成</w:t>
      </w:r>
    </w:p>
    <w:p w14:paraId="3C4CEA87"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全额拨款行政人员：年初在职人数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7人，年末7人；</w:t>
      </w:r>
    </w:p>
    <w:p w14:paraId="1EC12E3E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财政补助</w:t>
      </w:r>
      <w:r>
        <w:rPr>
          <w:rFonts w:hint="eastAsia" w:ascii="仿宋" w:hAnsi="仿宋" w:eastAsia="仿宋"/>
          <w:sz w:val="32"/>
          <w:szCs w:val="32"/>
        </w:rPr>
        <w:t>事业人员：</w:t>
      </w:r>
      <w:r>
        <w:rPr>
          <w:rFonts w:hint="eastAsia" w:ascii="仿宋" w:hAnsi="仿宋" w:eastAsia="仿宋"/>
          <w:sz w:val="32"/>
          <w:szCs w:val="32"/>
          <w:lang w:eastAsia="zh-CN"/>
        </w:rPr>
        <w:t>年初</w:t>
      </w:r>
      <w:r>
        <w:rPr>
          <w:rFonts w:hint="eastAsia" w:ascii="仿宋" w:hAnsi="仿宋" w:eastAsia="仿宋"/>
          <w:sz w:val="32"/>
          <w:szCs w:val="32"/>
        </w:rPr>
        <w:t>在职人数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105人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年末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人，</w:t>
      </w:r>
      <w:r>
        <w:rPr>
          <w:rFonts w:hint="eastAsia" w:ascii="仿宋" w:hAnsi="仿宋" w:eastAsia="仿宋"/>
          <w:sz w:val="32"/>
          <w:szCs w:val="32"/>
        </w:rPr>
        <w:t>退休人员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/>
          <w:sz w:val="32"/>
          <w:szCs w:val="32"/>
        </w:rPr>
        <w:t>人。</w:t>
      </w:r>
    </w:p>
    <w:p w14:paraId="014D86B5">
      <w:pPr>
        <w:spacing w:line="560" w:lineRule="exact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/>
          <w:b/>
          <w:sz w:val="32"/>
          <w:szCs w:val="32"/>
        </w:rPr>
        <w:t>部门主要工作职责</w:t>
      </w:r>
    </w:p>
    <w:p w14:paraId="4B9BC0E7">
      <w:pPr>
        <w:tabs>
          <w:tab w:val="left" w:pos="600"/>
        </w:tabs>
        <w:spacing w:line="560" w:lineRule="exact"/>
        <w:ind w:firstLine="560" w:firstLineChars="200"/>
        <w:rPr>
          <w:rFonts w:hint="eastAsia" w:ascii="仿宋" w:hAnsi="仿宋" w:eastAsia="仿宋"/>
          <w:sz w:val="32"/>
        </w:rPr>
      </w:pPr>
      <w:r>
        <w:rPr>
          <w:rFonts w:hint="default" w:ascii="Calibri" w:hAnsi="Calibri" w:eastAsia="仿宋" w:cs="Calibri"/>
          <w:sz w:val="28"/>
          <w:lang w:val="en-US" w:eastAsia="zh-CN"/>
        </w:rPr>
        <w:t>①</w:t>
      </w:r>
      <w:r>
        <w:rPr>
          <w:rFonts w:hint="eastAsia" w:ascii="仿宋" w:hAnsi="仿宋" w:eastAsia="仿宋"/>
          <w:sz w:val="32"/>
        </w:rPr>
        <w:t>贯彻执行国家和地方关于城市管理法律、法规、规章和方针、政策。</w:t>
      </w:r>
    </w:p>
    <w:p w14:paraId="1722785D">
      <w:pPr>
        <w:tabs>
          <w:tab w:val="left" w:pos="600"/>
        </w:tabs>
        <w:spacing w:line="560" w:lineRule="exact"/>
        <w:ind w:firstLine="560" w:firstLineChars="200"/>
        <w:rPr>
          <w:rFonts w:hint="eastAsia" w:ascii="仿宋" w:hAnsi="仿宋" w:eastAsia="仿宋"/>
          <w:sz w:val="32"/>
        </w:rPr>
      </w:pPr>
      <w:r>
        <w:rPr>
          <w:rFonts w:hint="default" w:ascii="Calibri" w:hAnsi="Calibri" w:eastAsia="仿宋" w:cs="Calibri"/>
          <w:sz w:val="28"/>
          <w:lang w:val="en-US" w:eastAsia="zh-CN"/>
        </w:rPr>
        <w:t>②</w:t>
      </w:r>
      <w:r>
        <w:rPr>
          <w:rFonts w:hint="eastAsia" w:ascii="仿宋" w:hAnsi="仿宋" w:eastAsia="仿宋"/>
          <w:sz w:val="32"/>
        </w:rPr>
        <w:t>研究制定全县城市管理发展规划、年度计划，起草全县城市管理规范性文件及相关的政策、措施，经批准后组织实施；负责全县城市综合管理的组织、指挥、检查、监督、调度、协调和宣传工作。</w:t>
      </w:r>
    </w:p>
    <w:p w14:paraId="7E2ABCF4">
      <w:pPr>
        <w:tabs>
          <w:tab w:val="left" w:pos="600"/>
        </w:tabs>
        <w:spacing w:line="560" w:lineRule="exact"/>
        <w:ind w:firstLine="560" w:firstLineChars="200"/>
        <w:rPr>
          <w:rFonts w:hint="eastAsia" w:ascii="仿宋" w:hAnsi="仿宋" w:eastAsia="仿宋"/>
          <w:sz w:val="32"/>
        </w:rPr>
      </w:pPr>
      <w:r>
        <w:rPr>
          <w:rFonts w:hint="default" w:ascii="Calibri" w:hAnsi="Calibri" w:eastAsia="仿宋" w:cs="Calibri"/>
          <w:sz w:val="28"/>
          <w:lang w:val="en-US" w:eastAsia="zh-CN"/>
        </w:rPr>
        <w:t>③</w:t>
      </w:r>
      <w:r>
        <w:rPr>
          <w:rFonts w:hint="eastAsia" w:ascii="仿宋" w:hAnsi="仿宋" w:eastAsia="仿宋"/>
          <w:sz w:val="32"/>
        </w:rPr>
        <w:t>负责市容环境卫生、城市建筑垃圾、城市照明、城市绿化、城市道路、城市市政公用设施的监督和行政处罚权利；负责行使《桃江县城市管理相对集中行政处罚权实施办法》（桃政办发【2015】48号）规定的环境保护、城乡规划、工商行政管理方面的行政处罚和县人民政府授权的其他行政处罚。</w:t>
      </w:r>
    </w:p>
    <w:p w14:paraId="43DAC5C8">
      <w:pPr>
        <w:tabs>
          <w:tab w:val="left" w:pos="600"/>
        </w:tabs>
        <w:spacing w:line="560" w:lineRule="exact"/>
        <w:ind w:firstLine="560" w:firstLineChars="200"/>
        <w:rPr>
          <w:rFonts w:hint="eastAsia" w:ascii="仿宋" w:hAnsi="仿宋" w:eastAsia="仿宋"/>
          <w:sz w:val="32"/>
        </w:rPr>
      </w:pPr>
      <w:r>
        <w:rPr>
          <w:rFonts w:hint="default" w:ascii="Calibri" w:hAnsi="Calibri" w:eastAsia="仿宋" w:cs="Calibri"/>
          <w:sz w:val="28"/>
          <w:lang w:val="en-US" w:eastAsia="zh-CN"/>
        </w:rPr>
        <w:t>④</w:t>
      </w:r>
      <w:r>
        <w:rPr>
          <w:rFonts w:hint="eastAsia" w:ascii="仿宋" w:hAnsi="仿宋" w:eastAsia="仿宋"/>
          <w:sz w:val="32"/>
        </w:rPr>
        <w:t>负责路灯照明设施、市政设施、环卫设施的维护管理工作；负责县城洗车场、渣土消纳场、弃土场的管理工作。</w:t>
      </w:r>
    </w:p>
    <w:p w14:paraId="00591096">
      <w:pPr>
        <w:tabs>
          <w:tab w:val="left" w:pos="600"/>
        </w:tabs>
        <w:spacing w:line="560" w:lineRule="exact"/>
        <w:ind w:firstLine="560" w:firstLineChars="200"/>
        <w:rPr>
          <w:rFonts w:hint="eastAsia" w:ascii="仿宋" w:hAnsi="仿宋" w:eastAsia="仿宋"/>
          <w:sz w:val="32"/>
        </w:rPr>
      </w:pPr>
      <w:r>
        <w:rPr>
          <w:rFonts w:hint="default" w:ascii="Calibri" w:hAnsi="Calibri" w:eastAsia="仿宋" w:cs="Calibri"/>
          <w:sz w:val="28"/>
          <w:lang w:val="en-US" w:eastAsia="zh-CN"/>
        </w:rPr>
        <w:t>⑤</w:t>
      </w:r>
      <w:r>
        <w:rPr>
          <w:rFonts w:hint="eastAsia" w:ascii="仿宋" w:hAnsi="仿宋" w:eastAsia="仿宋"/>
          <w:sz w:val="32"/>
          <w:lang w:val="en-US" w:eastAsia="zh-CN"/>
        </w:rPr>
        <w:t>、</w:t>
      </w:r>
      <w:r>
        <w:rPr>
          <w:rFonts w:hint="eastAsia" w:ascii="仿宋" w:hAnsi="仿宋" w:eastAsia="仿宋"/>
          <w:sz w:val="32"/>
        </w:rPr>
        <w:t>负责依法组织征收渣土调配费、城市生活垃圾处理费、异地绿化费、城市道路临时占用费和挖掘修复费。</w:t>
      </w:r>
    </w:p>
    <w:p w14:paraId="38CBF880">
      <w:pPr>
        <w:tabs>
          <w:tab w:val="left" w:pos="600"/>
        </w:tabs>
        <w:spacing w:line="560" w:lineRule="exact"/>
        <w:ind w:firstLine="560" w:firstLineChars="200"/>
        <w:rPr>
          <w:rFonts w:hint="eastAsia" w:ascii="仿宋" w:hAnsi="仿宋" w:eastAsia="仿宋"/>
          <w:sz w:val="32"/>
        </w:rPr>
      </w:pPr>
      <w:r>
        <w:rPr>
          <w:rFonts w:hint="default" w:ascii="Calibri" w:hAnsi="Calibri" w:eastAsia="仿宋" w:cs="Calibri"/>
          <w:sz w:val="28"/>
          <w:lang w:val="en-US" w:eastAsia="zh-CN"/>
        </w:rPr>
        <w:t>⑥</w:t>
      </w:r>
      <w:r>
        <w:rPr>
          <w:rFonts w:hint="eastAsia" w:ascii="仿宋" w:hAnsi="仿宋" w:eastAsia="仿宋"/>
          <w:sz w:val="32"/>
        </w:rPr>
        <w:t>参与市政、环卫、路灯等城市基础设施建设项目的可行性研究、方案审查和工程竣工备案及城乡规划审查、实施和验收工作。</w:t>
      </w:r>
    </w:p>
    <w:p w14:paraId="123AFCAC">
      <w:pPr>
        <w:tabs>
          <w:tab w:val="left" w:pos="600"/>
        </w:tabs>
        <w:spacing w:line="560" w:lineRule="exact"/>
        <w:ind w:firstLine="560" w:firstLineChars="200"/>
        <w:rPr>
          <w:rFonts w:hint="eastAsia" w:ascii="仿宋" w:hAnsi="仿宋" w:eastAsia="仿宋"/>
          <w:sz w:val="32"/>
        </w:rPr>
      </w:pPr>
      <w:r>
        <w:rPr>
          <w:rFonts w:hint="default" w:ascii="Calibri" w:hAnsi="Calibri" w:eastAsia="仿宋" w:cs="Calibri"/>
          <w:sz w:val="28"/>
          <w:lang w:val="en-US" w:eastAsia="zh-CN"/>
        </w:rPr>
        <w:t>⑦</w:t>
      </w:r>
      <w:r>
        <w:rPr>
          <w:rFonts w:hint="eastAsia" w:ascii="仿宋" w:hAnsi="仿宋" w:eastAsia="仿宋"/>
          <w:sz w:val="32"/>
        </w:rPr>
        <w:t>负责县城规划区内的查违控违拆违监督管理工作，对违法建设进行制止和强制拆除；组织建设项目工程规划竣工验收。</w:t>
      </w:r>
    </w:p>
    <w:p w14:paraId="609097CA">
      <w:pPr>
        <w:spacing w:line="560" w:lineRule="exact"/>
        <w:ind w:firstLine="560" w:firstLineChars="200"/>
        <w:rPr>
          <w:kern w:val="0"/>
          <w:szCs w:val="32"/>
        </w:rPr>
      </w:pPr>
      <w:r>
        <w:rPr>
          <w:rFonts w:hint="default" w:ascii="Calibri" w:hAnsi="Calibri" w:eastAsia="仿宋" w:cs="Calibri"/>
          <w:sz w:val="28"/>
          <w:lang w:val="en-US" w:eastAsia="zh-CN"/>
        </w:rPr>
        <w:t>⑧</w:t>
      </w:r>
      <w:r>
        <w:rPr>
          <w:rFonts w:hint="eastAsia" w:ascii="仿宋" w:hAnsi="仿宋" w:eastAsia="仿宋"/>
          <w:sz w:val="32"/>
        </w:rPr>
        <w:t>承办县委、县人民政府交办的其他事项。</w:t>
      </w:r>
    </w:p>
    <w:p w14:paraId="0567686C">
      <w:pPr>
        <w:spacing w:line="560" w:lineRule="exact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b/>
          <w:sz w:val="32"/>
          <w:szCs w:val="32"/>
        </w:rPr>
        <w:t>）部门整体支出规模</w:t>
      </w:r>
    </w:p>
    <w:p w14:paraId="47B938D6">
      <w:pPr>
        <w:widowControl/>
        <w:spacing w:line="560" w:lineRule="exact"/>
        <w:ind w:firstLine="643" w:firstLineChars="200"/>
        <w:jc w:val="left"/>
        <w:rPr>
          <w:rFonts w:hint="eastAsia" w:ascii="楷体" w:hAnsi="楷体" w:eastAsia="楷体" w:cs="Tahoma"/>
          <w:b/>
          <w:kern w:val="0"/>
          <w:sz w:val="32"/>
          <w:szCs w:val="32"/>
        </w:rPr>
      </w:pPr>
      <w:r>
        <w:rPr>
          <w:rFonts w:hint="eastAsia" w:ascii="楷体" w:hAnsi="楷体" w:eastAsia="楷体" w:cs="Tahoma"/>
          <w:b/>
          <w:kern w:val="0"/>
          <w:sz w:val="32"/>
          <w:szCs w:val="32"/>
        </w:rPr>
        <w:t>1、收入</w:t>
      </w:r>
    </w:p>
    <w:p w14:paraId="22F07A80">
      <w:pPr>
        <w:widowControl/>
        <w:spacing w:line="560" w:lineRule="exact"/>
        <w:ind w:firstLine="640" w:firstLineChars="200"/>
        <w:jc w:val="left"/>
        <w:rPr>
          <w:rFonts w:hint="default" w:ascii="仿宋" w:hAnsi="仿宋" w:eastAsia="仿宋" w:cs="Tahoma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财政资金年初预算数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1476.84万元，预算调整数1989.52</w:t>
      </w:r>
      <w:r>
        <w:rPr>
          <w:rFonts w:hint="eastAsia" w:ascii="仿宋" w:hAnsi="仿宋" w:eastAsia="仿宋" w:cs="Tahoma"/>
          <w:kern w:val="0"/>
          <w:sz w:val="32"/>
          <w:szCs w:val="32"/>
        </w:rPr>
        <w:t>万元，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年末决算数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3466.36万元。</w:t>
      </w:r>
    </w:p>
    <w:p w14:paraId="2334FE79">
      <w:pPr>
        <w:widowControl/>
        <w:spacing w:line="560" w:lineRule="exact"/>
        <w:ind w:firstLine="643" w:firstLineChars="200"/>
        <w:jc w:val="left"/>
        <w:rPr>
          <w:rFonts w:hint="default" w:ascii="楷体" w:hAnsi="楷体" w:eastAsia="楷体" w:cs="Tahoma"/>
          <w:b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Tahoma"/>
          <w:b/>
          <w:kern w:val="0"/>
          <w:sz w:val="32"/>
          <w:szCs w:val="32"/>
        </w:rPr>
        <w:t>2、支出</w:t>
      </w:r>
    </w:p>
    <w:p w14:paraId="4A63E7A3"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Tahoma"/>
          <w:kern w:val="0"/>
          <w:sz w:val="32"/>
          <w:szCs w:val="32"/>
        </w:rPr>
        <w:t>基本支出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1184.30</w:t>
      </w:r>
      <w:r>
        <w:rPr>
          <w:rFonts w:hint="eastAsia" w:ascii="仿宋" w:hAnsi="仿宋" w:eastAsia="仿宋" w:cs="Tahoma"/>
          <w:kern w:val="0"/>
          <w:sz w:val="32"/>
          <w:szCs w:val="32"/>
        </w:rPr>
        <w:t>万元，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项目支出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2282.06万元，合计3466.36万元。</w:t>
      </w:r>
    </w:p>
    <w:p w14:paraId="034081F8">
      <w:pPr>
        <w:widowControl/>
        <w:numPr>
          <w:ilvl w:val="0"/>
          <w:numId w:val="1"/>
        </w:numPr>
        <w:spacing w:line="560" w:lineRule="exact"/>
        <w:ind w:left="6" w:leftChars="0" w:firstLine="640" w:firstLineChars="0"/>
        <w:jc w:val="left"/>
        <w:rPr>
          <w:rFonts w:hint="eastAsia" w:ascii="仿宋" w:hAnsi="仿宋" w:eastAsia="仿宋" w:cs="Tahom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ahoma"/>
          <w:b/>
          <w:bCs/>
          <w:kern w:val="0"/>
          <w:sz w:val="32"/>
          <w:szCs w:val="32"/>
          <w:lang w:val="en-US" w:eastAsia="zh-CN"/>
        </w:rPr>
        <w:t>部门整体支出使用方向及主要内容、涉及的范围</w:t>
      </w:r>
    </w:p>
    <w:p w14:paraId="34171733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Tahom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部门</w:t>
      </w:r>
      <w:r>
        <w:rPr>
          <w:rFonts w:hint="eastAsia" w:ascii="仿宋" w:hAnsi="仿宋" w:eastAsia="仿宋" w:cs="Tahoma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整体支出</w:t>
      </w:r>
      <w:r>
        <w:rPr>
          <w:rFonts w:hint="eastAsia" w:ascii="仿宋" w:hAnsi="仿宋" w:eastAsia="仿宋" w:cs="Tahom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" w:hAnsi="仿宋" w:eastAsia="仿宋" w:cs="Tahoma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基本支出</w:t>
      </w:r>
      <w:r>
        <w:rPr>
          <w:rFonts w:hint="eastAsia" w:ascii="仿宋" w:hAnsi="仿宋" w:eastAsia="仿宋" w:cs="Tahom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1184.30万元，主要用于人员工资福利支出及一般公务支出，</w:t>
      </w:r>
      <w:r>
        <w:rPr>
          <w:rFonts w:hint="eastAsia" w:ascii="仿宋" w:hAnsi="仿宋" w:eastAsia="仿宋" w:cs="Tahom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包含工资福利支出</w:t>
      </w:r>
      <w:r>
        <w:rPr>
          <w:rFonts w:hint="eastAsia" w:ascii="仿宋" w:hAnsi="仿宋" w:eastAsia="仿宋" w:cs="Tahom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1085.98</w:t>
      </w:r>
      <w:r>
        <w:rPr>
          <w:rFonts w:hint="eastAsia" w:ascii="仿宋" w:hAnsi="仿宋" w:eastAsia="仿宋" w:cs="Tahom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</w:t>
      </w:r>
      <w:r>
        <w:rPr>
          <w:rFonts w:hint="eastAsia" w:ascii="仿宋" w:hAnsi="仿宋" w:eastAsia="仿宋" w:cs="Tahoma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商品服务支出</w:t>
      </w:r>
      <w:r>
        <w:rPr>
          <w:rFonts w:hint="eastAsia" w:ascii="仿宋" w:hAnsi="仿宋" w:eastAsia="仿宋" w:cs="Tahom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95.83</w:t>
      </w:r>
      <w:r>
        <w:rPr>
          <w:rFonts w:hint="eastAsia" w:ascii="仿宋" w:hAnsi="仿宋" w:eastAsia="仿宋" w:cs="Tahom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万元、对个人和家庭的补助支出</w:t>
      </w:r>
      <w:r>
        <w:rPr>
          <w:rFonts w:hint="eastAsia" w:ascii="仿宋" w:hAnsi="仿宋" w:eastAsia="仿宋" w:cs="Tahom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2.49</w:t>
      </w:r>
      <w:r>
        <w:rPr>
          <w:rFonts w:hint="eastAsia" w:ascii="仿宋" w:hAnsi="仿宋" w:eastAsia="仿宋" w:cs="Tahom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Tahoma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Tahom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仿宋" w:hAnsi="仿宋" w:eastAsia="仿宋" w:cs="Tahoma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三公经费决算数为</w:t>
      </w:r>
      <w:r>
        <w:rPr>
          <w:rFonts w:hint="eastAsia" w:ascii="仿宋" w:hAnsi="仿宋" w:eastAsia="仿宋" w:cs="Tahom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9.606万元，其中公务用车运行维护9.54万元，用于部分执法执勤车的运行维护。公务接待费0.066万元，我局严格落实中央八项规定，</w:t>
      </w:r>
      <w:r>
        <w:rPr>
          <w:rFonts w:hint="eastAsia" w:ascii="仿宋" w:hAnsi="仿宋" w:eastAsia="仿宋" w:cs="Tahoma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公务接待支出</w:t>
      </w:r>
      <w:r>
        <w:rPr>
          <w:rFonts w:hint="eastAsia" w:ascii="仿宋" w:hAnsi="仿宋" w:eastAsia="仿宋" w:cs="Tahom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按《桃江县党政机关国内公务接待管理实施细则（桃办公发[2020]3号）文件相关规定严格执行。2023年人员减少了4人，2023年基本支出较2022年有所减少</w:t>
      </w:r>
      <w:r>
        <w:rPr>
          <w:rFonts w:hint="eastAsia" w:ascii="仿宋" w:hAnsi="仿宋" w:eastAsia="仿宋" w:cs="Tahom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3855B15">
      <w:pPr>
        <w:tabs>
          <w:tab w:val="left" w:pos="5175"/>
        </w:tabs>
        <w:spacing w:line="560" w:lineRule="exact"/>
        <w:ind w:firstLine="640" w:firstLineChars="200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ahoma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部门整体支出</w:t>
      </w:r>
      <w:r>
        <w:rPr>
          <w:rFonts w:hint="eastAsia" w:ascii="仿宋" w:hAnsi="仿宋" w:eastAsia="仿宋" w:cs="Tahom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中项目</w:t>
      </w:r>
      <w:r>
        <w:rPr>
          <w:rFonts w:hint="eastAsia" w:ascii="仿宋" w:hAnsi="仿宋" w:eastAsia="仿宋" w:cs="Tahoma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支出总投入</w:t>
      </w:r>
      <w:r>
        <w:rPr>
          <w:rFonts w:hint="eastAsia" w:ascii="仿宋" w:hAnsi="仿宋" w:eastAsia="仿宋" w:cs="Tahom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2282.06万元，</w:t>
      </w:r>
      <w:r>
        <w:rPr>
          <w:rFonts w:hint="eastAsia" w:ascii="仿宋" w:hAnsi="仿宋" w:eastAsia="仿宋" w:cs="Tahom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主要用</w:t>
      </w:r>
      <w:r>
        <w:rPr>
          <w:rFonts w:hint="eastAsia" w:ascii="仿宋" w:hAnsi="仿宋" w:eastAsia="仿宋" w:cs="Tahoma"/>
          <w:kern w:val="0"/>
          <w:sz w:val="32"/>
          <w:szCs w:val="32"/>
        </w:rPr>
        <w:t>于桃江县城市管理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和综合执法局</w:t>
      </w:r>
      <w:r>
        <w:rPr>
          <w:rFonts w:hint="eastAsia" w:ascii="仿宋" w:hAnsi="仿宋" w:eastAsia="仿宋" w:cs="Tahoma"/>
          <w:kern w:val="0"/>
          <w:sz w:val="32"/>
          <w:szCs w:val="32"/>
        </w:rPr>
        <w:t>及下属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城市管理综合执法大队</w:t>
      </w:r>
      <w:r>
        <w:rPr>
          <w:rFonts w:hint="eastAsia" w:ascii="仿宋" w:hAnsi="仿宋" w:eastAsia="仿宋" w:cs="Tahoma"/>
          <w:kern w:val="0"/>
          <w:sz w:val="32"/>
          <w:szCs w:val="32"/>
        </w:rPr>
        <w:t>开展城市管理事务而发生的各项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业务</w:t>
      </w:r>
      <w:r>
        <w:rPr>
          <w:rFonts w:hint="eastAsia" w:ascii="仿宋" w:hAnsi="仿宋" w:eastAsia="仿宋" w:cs="Tahoma"/>
          <w:kern w:val="0"/>
          <w:sz w:val="32"/>
          <w:szCs w:val="32"/>
        </w:rPr>
        <w:t>支出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。</w:t>
      </w:r>
    </w:p>
    <w:p w14:paraId="556D3342">
      <w:pPr>
        <w:numPr>
          <w:ilvl w:val="0"/>
          <w:numId w:val="0"/>
        </w:numPr>
        <w:tabs>
          <w:tab w:val="left" w:pos="5175"/>
        </w:tabs>
        <w:spacing w:line="560" w:lineRule="exact"/>
        <w:ind w:left="646" w:leftChars="0"/>
        <w:rPr>
          <w:rFonts w:hint="eastAsia" w:ascii="仿宋" w:hAnsi="仿宋" w:eastAsia="仿宋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eastAsia="zh-CN"/>
        </w:rPr>
        <w:t>（四）绩效目标设立情况</w:t>
      </w:r>
    </w:p>
    <w:p w14:paraId="443D306A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Tahoma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年度目标：一确保</w:t>
      </w:r>
      <w:r>
        <w:rPr>
          <w:rFonts w:hint="eastAsia" w:ascii="仿宋" w:hAnsi="仿宋" w:eastAsia="仿宋" w:cs="Tahom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112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名干职工及</w:t>
      </w:r>
      <w:r>
        <w:rPr>
          <w:rFonts w:hint="eastAsia" w:ascii="仿宋" w:hAnsi="仿宋" w:eastAsia="仿宋" w:cs="Tahom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名退休职工的工资福利发放到位，按时缴纳社会保障费用；二保质保量完成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本职工作；三完成七项基础工作及县委县政府的的重点工作考核任务；四是加强城市管理，创建卫生县城。</w:t>
      </w:r>
    </w:p>
    <w:p w14:paraId="141161E9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Tahoma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中长期目标：深化城市精细化管理，逐步推进城市管理精细化向网格化、信息化纵深发展，稳步提升城市管理和服务水平。</w:t>
      </w:r>
    </w:p>
    <w:p w14:paraId="5819DB91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二、部门整体支出管理及使用情况分析</w:t>
      </w:r>
    </w:p>
    <w:p w14:paraId="3392F091">
      <w:pPr>
        <w:widowControl/>
        <w:numPr>
          <w:ilvl w:val="0"/>
          <w:numId w:val="0"/>
        </w:numPr>
        <w:spacing w:line="56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（一）基本支出</w:t>
      </w:r>
    </w:p>
    <w:p w14:paraId="6275EF6B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" w:hAnsi="仿宋" w:eastAsia="仿宋" w:cs="Tahoma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基本支出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主要用于人员工资福利支出及一般公务支出，我局制定了《财务管理制度》《财务审批内控制度》，要求首先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应当保证本部门履行基本职能所需要的人员经费和公用经费，对其他弹性支出和专项支出应当严格控制。 人员支出必须严格按照国家政策规定和标准，逐项核定，没有政策规定的项目，不得列支。日常公用支出预算的编制应本着节约、从俭的原则编报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</w:rPr>
        <w:t>工资福利支出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lang w:val="en-US" w:eastAsia="zh-CN"/>
        </w:rPr>
        <w:t>1085.98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</w:rPr>
        <w:t>万元、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lang w:eastAsia="zh-CN"/>
        </w:rPr>
        <w:t>商品服务支出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lang w:val="en-US" w:eastAsia="zh-CN"/>
        </w:rPr>
        <w:t>95.83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</w:rPr>
        <w:t>万元、对个人和家庭的补助支出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lang w:val="en-US" w:eastAsia="zh-CN"/>
        </w:rPr>
        <w:t>2.49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</w:rPr>
        <w:t>万元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lang w:eastAsia="zh-CN"/>
        </w:rPr>
        <w:t>三公经费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决算数为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9.606万元，其中公务用车运行维护9.54万元，用于部分执法执勤车的运行维护。公务接待费0.066万元，我局严格落实中央八项规定，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公务接待支出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按《桃江县党政机关国内公务接待管理实施细则（桃办公发[2020]3号）文件相关规定严格执行。</w:t>
      </w:r>
    </w:p>
    <w:p w14:paraId="743FADD7">
      <w:pPr>
        <w:widowControl/>
        <w:numPr>
          <w:ilvl w:val="0"/>
          <w:numId w:val="0"/>
        </w:numPr>
        <w:spacing w:line="560" w:lineRule="exact"/>
        <w:ind w:firstLine="643" w:firstLineChars="200"/>
        <w:jc w:val="left"/>
        <w:rPr>
          <w:rFonts w:hint="eastAsia" w:ascii="仿宋" w:hAnsi="仿宋" w:eastAsia="仿宋" w:cs="Tahoma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Tahoma"/>
          <w:b/>
          <w:bCs/>
          <w:kern w:val="0"/>
          <w:sz w:val="32"/>
          <w:szCs w:val="32"/>
          <w:lang w:eastAsia="zh-CN"/>
        </w:rPr>
        <w:t>（二）项目支出</w:t>
      </w:r>
      <w:r>
        <w:rPr>
          <w:rFonts w:hint="eastAsia" w:ascii="仿宋" w:hAnsi="仿宋" w:eastAsia="仿宋" w:cs="Tahoma"/>
          <w:b/>
          <w:bCs/>
          <w:kern w:val="0"/>
          <w:sz w:val="32"/>
          <w:szCs w:val="32"/>
          <w:lang w:eastAsia="zh-CN"/>
        </w:rPr>
        <w:tab/>
      </w:r>
    </w:p>
    <w:p w14:paraId="574FA1A8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Tahoma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1.项目资金安排落实、总投入等情况分析。</w:t>
      </w:r>
    </w:p>
    <w:p w14:paraId="006A564D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Tahoma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部门整体支出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中项目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支出财政资金年初预算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237万元，年中追加2045.06万元，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总投入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2282.06万元，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主要项目如下：</w:t>
      </w:r>
    </w:p>
    <w:p w14:paraId="123F7990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城管协管专项经费：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120万元</w:t>
      </w:r>
    </w:p>
    <w:p w14:paraId="13B95039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专项整治经费：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140万元</w:t>
      </w:r>
    </w:p>
    <w:p w14:paraId="392E1243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 xml:space="preserve">城管执法工作专项经费：47万元 </w:t>
      </w:r>
    </w:p>
    <w:p w14:paraId="7D064C31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" w:hAnsi="仿宋" w:eastAsia="仿宋" w:cs="Tahoma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2023年非税体制结算：106.02万元</w:t>
      </w:r>
    </w:p>
    <w:p w14:paraId="25FAACD8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Tahoma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lang w:val="en-US" w:eastAsia="zh-CN"/>
        </w:rPr>
        <w:t>口袋公园提质项目：100万</w:t>
      </w:r>
    </w:p>
    <w:p w14:paraId="42C2F13B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" w:hAnsi="仿宋" w:eastAsia="仿宋" w:cs="Tahoma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lang w:eastAsia="zh-CN"/>
        </w:rPr>
        <w:t>公厕提质改造：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lang w:val="en-US" w:eastAsia="zh-CN"/>
        </w:rPr>
        <w:t>100万</w:t>
      </w:r>
    </w:p>
    <w:p w14:paraId="5CC3918B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Tahoma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lang w:eastAsia="zh-CN"/>
        </w:rPr>
        <w:t>鲇鱼港电排泵站提质改造：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lang w:val="en-US" w:eastAsia="zh-CN"/>
        </w:rPr>
        <w:t>482万元</w:t>
      </w:r>
    </w:p>
    <w:p w14:paraId="6B702B35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" w:hAnsi="仿宋" w:eastAsia="仿宋" w:cs="Tahoma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lang w:val="en-US" w:eastAsia="zh-CN"/>
        </w:rPr>
        <w:t>2022年市政、绿化维护费用：280万</w:t>
      </w:r>
    </w:p>
    <w:p w14:paraId="4BBC5D30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" w:hAnsi="仿宋" w:eastAsia="仿宋" w:cs="Tahoma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lang w:eastAsia="zh-CN"/>
        </w:rPr>
        <w:t>整治违法建设工作经费：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lang w:val="en-US" w:eastAsia="zh-CN"/>
        </w:rPr>
        <w:t>180万元</w:t>
      </w:r>
    </w:p>
    <w:p w14:paraId="57C3386F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" w:hAnsi="仿宋" w:eastAsia="仿宋" w:cs="Tahoma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lang w:val="en-US" w:eastAsia="zh-CN"/>
        </w:rPr>
        <w:t>2022年市容市貌专项整治建设经费：422万元</w:t>
      </w:r>
    </w:p>
    <w:p w14:paraId="1BDF6CD2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机关运行经费：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70万元</w:t>
      </w:r>
    </w:p>
    <w:p w14:paraId="641DB71A">
      <w:pPr>
        <w:pStyle w:val="2"/>
        <w:ind w:firstLine="640"/>
        <w:rPr>
          <w:rFonts w:hint="default" w:ascii="仿宋" w:hAnsi="仿宋" w:eastAsia="仿宋" w:cs="Tahoma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2023年全额事业人员绩效奖励：129.84万元</w:t>
      </w:r>
    </w:p>
    <w:p w14:paraId="562A73DE">
      <w:pPr>
        <w:pStyle w:val="2"/>
        <w:ind w:firstLine="640"/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其他：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105.2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万元</w:t>
      </w:r>
    </w:p>
    <w:p w14:paraId="1CA30356">
      <w:pPr>
        <w:pStyle w:val="2"/>
        <w:numPr>
          <w:ilvl w:val="0"/>
          <w:numId w:val="2"/>
        </w:numPr>
        <w:ind w:firstLine="640"/>
        <w:rPr>
          <w:rFonts w:hint="eastAsia" w:ascii="仿宋" w:hAnsi="仿宋" w:eastAsia="仿宋" w:cs="Tahoma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项目资金（财政资金）实际使用情况分析。</w:t>
      </w:r>
    </w:p>
    <w:p w14:paraId="6F711B48">
      <w:pPr>
        <w:pStyle w:val="2"/>
        <w:numPr>
          <w:ilvl w:val="0"/>
          <w:numId w:val="0"/>
        </w:numPr>
        <w:ind w:firstLine="640" w:firstLineChars="200"/>
        <w:rPr>
          <w:rFonts w:hint="default" w:ascii="仿宋" w:hAnsi="仿宋" w:eastAsia="仿宋" w:cs="Tahoma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2023年项目资金共计2282.06万元，其中工资福利支出129.84万元、商品和服务支出2152.22万元。</w:t>
      </w:r>
    </w:p>
    <w:p w14:paraId="03B80F25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Tahoma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项目资金管理情况分析。</w:t>
      </w:r>
    </w:p>
    <w:p w14:paraId="65A4A6E9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Tahoma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按照我局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《财务管理制度》《项目资金管理办法》规定项目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资金支出应紧密结合单位当年主要职责任务、工作目标及事业发展设想，并充分考虑单位财力，本着实事求是，从严从紧、区别轻重缓急，急事优先的原则按序安排支出事项。</w:t>
      </w:r>
    </w:p>
    <w:p w14:paraId="31A9D47F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 w:cs="Tahoma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三、项目组织实施情况分析</w:t>
      </w:r>
    </w:p>
    <w:p w14:paraId="74107B58">
      <w:pPr>
        <w:widowControl/>
        <w:spacing w:line="594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（一）项目组织情况分析</w:t>
      </w:r>
    </w:p>
    <w:p w14:paraId="2DBD850E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eastAsia="仿宋_GB2312"/>
          <w:kern w:val="0"/>
          <w:szCs w:val="32"/>
          <w:lang w:val="en-US" w:eastAsia="zh-CN"/>
        </w:rPr>
      </w:pPr>
      <w:r>
        <w:rPr>
          <w:rFonts w:hint="eastAsia"/>
          <w:color w:val="000000" w:themeColor="text1"/>
          <w:kern w:val="0"/>
          <w:szCs w:val="32"/>
          <w:lang w:eastAsia="zh-CN"/>
          <w14:textFill>
            <w14:solidFill>
              <w14:schemeClr w14:val="tx1"/>
            </w14:solidFill>
          </w14:textFill>
        </w:rPr>
        <w:t>我局项目为大多常年支出项目，其中非税体制结算根据上年度非税完成情况下拨预算指标，主要用于弥补单位经费不足。城管协管经费、专项整治经费为</w:t>
      </w:r>
      <w:r>
        <w:rPr>
          <w:rFonts w:hint="eastAsia" w:ascii="仿宋" w:hAnsi="仿宋" w:eastAsia="仿宋" w:cs="Tahoma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每年固定支出。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市政、绿化维护费用、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三级联动办整治违法建设工作经费、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市容市貌专项整治建设经费等为划拨经费，划拨给各二级机构完成各项目。鲇鱼港电排提质改造、口袋公园提质项目、公厕提质改造为一般债券安排的支出，支付或划拨用于指定项目建设。</w:t>
      </w:r>
    </w:p>
    <w:p w14:paraId="2402DE90">
      <w:pPr>
        <w:widowControl/>
        <w:numPr>
          <w:ilvl w:val="0"/>
          <w:numId w:val="0"/>
        </w:numPr>
        <w:spacing w:line="594" w:lineRule="exact"/>
        <w:ind w:left="646" w:leftChars="0"/>
        <w:rPr>
          <w:kern w:val="0"/>
          <w:szCs w:val="32"/>
        </w:rPr>
      </w:pPr>
      <w:r>
        <w:rPr>
          <w:rFonts w:hint="eastAsia"/>
          <w:kern w:val="0"/>
          <w:szCs w:val="32"/>
          <w:lang w:eastAsia="zh-CN"/>
        </w:rPr>
        <w:t>（二）</w:t>
      </w:r>
      <w:r>
        <w:rPr>
          <w:kern w:val="0"/>
          <w:szCs w:val="32"/>
        </w:rPr>
        <w:t>项目管理情况分析</w:t>
      </w:r>
    </w:p>
    <w:p w14:paraId="1C1481A9">
      <w:pPr>
        <w:pStyle w:val="5"/>
        <w:widowControl w:val="0"/>
        <w:shd w:val="clear" w:color="auto" w:fill="FFFFFF"/>
        <w:spacing w:line="560" w:lineRule="exact"/>
        <w:ind w:firstLine="640" w:firstLineChars="200"/>
        <w:jc w:val="both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为加强项目（专项）资金管理，我局制定了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《专项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资金管理办法》，对</w:t>
      </w:r>
      <w:r>
        <w:rPr>
          <w:rFonts w:hint="eastAsia" w:ascii="仿宋" w:hAnsi="仿宋" w:eastAsia="仿宋"/>
          <w:color w:val="000000"/>
          <w:sz w:val="32"/>
          <w:szCs w:val="32"/>
        </w:rPr>
        <w:t>县财政局下达的单位部门预算、城维费预算中的具有指定项目和用途的资金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加强管理</w:t>
      </w:r>
      <w:r>
        <w:rPr>
          <w:rFonts w:hint="eastAsia" w:ascii="仿宋" w:hAnsi="仿宋" w:eastAsia="仿宋"/>
          <w:color w:val="000000"/>
          <w:sz w:val="32"/>
          <w:szCs w:val="32"/>
        </w:rPr>
        <w:t>，项目从立项、执行、完工到运营的全过程接受县城市管理行政执法局及财政、审计等部门的管理和监督。</w:t>
      </w:r>
    </w:p>
    <w:p w14:paraId="4778F807">
      <w:pPr>
        <w:widowControl/>
        <w:spacing w:line="594" w:lineRule="exact"/>
        <w:ind w:firstLine="640" w:firstLineChars="200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四、部门整体支出绩效情况分析</w:t>
      </w:r>
    </w:p>
    <w:p w14:paraId="139B4DB4">
      <w:pPr>
        <w:widowControl/>
        <w:spacing w:line="594" w:lineRule="exact"/>
        <w:ind w:firstLine="643" w:firstLineChars="200"/>
        <w:rPr>
          <w:rFonts w:hint="eastAsia"/>
          <w:kern w:val="0"/>
          <w:szCs w:val="32"/>
          <w:lang w:eastAsia="zh-CN"/>
        </w:rPr>
      </w:pPr>
      <w:r>
        <w:rPr>
          <w:rFonts w:hint="eastAsia"/>
          <w:b/>
          <w:bCs/>
          <w:kern w:val="0"/>
          <w:szCs w:val="32"/>
          <w:lang w:eastAsia="zh-CN"/>
        </w:rPr>
        <w:t>（一）经济性分析</w:t>
      </w:r>
    </w:p>
    <w:p w14:paraId="1C2CAEC5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" w:hAnsi="仿宋" w:eastAsia="仿宋" w:cs="Tahoma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ahom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仿宋" w:hAnsi="仿宋" w:eastAsia="仿宋" w:cs="Tahom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工资福利支出</w:t>
      </w:r>
      <w:r>
        <w:rPr>
          <w:rFonts w:hint="eastAsia" w:ascii="仿宋" w:hAnsi="仿宋" w:eastAsia="仿宋" w:cs="Tahom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1085.98</w:t>
      </w:r>
      <w:r>
        <w:rPr>
          <w:rFonts w:hint="eastAsia" w:ascii="仿宋" w:hAnsi="仿宋" w:eastAsia="仿宋" w:cs="Tahom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</w:t>
      </w:r>
      <w:r>
        <w:rPr>
          <w:rFonts w:hint="eastAsia" w:ascii="仿宋" w:hAnsi="仿宋" w:eastAsia="仿宋" w:cs="Tahoma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商品服务支出</w:t>
      </w:r>
      <w:r>
        <w:rPr>
          <w:rFonts w:hint="eastAsia" w:ascii="仿宋" w:hAnsi="仿宋" w:eastAsia="仿宋" w:cs="Tahom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95.83</w:t>
      </w:r>
      <w:r>
        <w:rPr>
          <w:rFonts w:hint="eastAsia" w:ascii="仿宋" w:hAnsi="仿宋" w:eastAsia="仿宋" w:cs="Tahom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万元、对个人和家庭的补助支出</w:t>
      </w:r>
      <w:r>
        <w:rPr>
          <w:rFonts w:hint="eastAsia" w:ascii="仿宋" w:hAnsi="仿宋" w:eastAsia="仿宋" w:cs="Tahom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2.49</w:t>
      </w:r>
      <w:r>
        <w:rPr>
          <w:rFonts w:hint="eastAsia" w:ascii="仿宋" w:hAnsi="仿宋" w:eastAsia="仿宋" w:cs="Tahom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" w:hAnsi="仿宋" w:eastAsia="仿宋" w:cs="Tahoma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人员并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没有大的变动，支出与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2021年基本持平，2023年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三公经费决算数为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9.606万元，其中公务用车运行维护9.54万元，用于部分执法执勤车的运行维护。公务接待费0.066万元，我局严格落实中央八项规定，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公务接待支出</w:t>
      </w:r>
      <w:r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  <w:t>按《桃江县党政机关国内公务接待管理实施细则（桃办公发[2020]3号）文件相关规定严格执行。</w:t>
      </w:r>
    </w:p>
    <w:p w14:paraId="10DC93F4">
      <w:pPr>
        <w:widowControl/>
        <w:numPr>
          <w:ilvl w:val="0"/>
          <w:numId w:val="0"/>
        </w:numPr>
        <w:spacing w:line="594" w:lineRule="exact"/>
        <w:ind w:firstLine="643" w:firstLineChars="200"/>
        <w:rPr>
          <w:rFonts w:hint="eastAsia" w:ascii="仿宋" w:hAnsi="仿宋" w:eastAsia="仿宋" w:cs="Tahoma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ahoma"/>
          <w:b/>
          <w:bCs/>
          <w:kern w:val="0"/>
          <w:sz w:val="32"/>
          <w:szCs w:val="32"/>
          <w:lang w:val="en-US" w:eastAsia="zh-CN"/>
        </w:rPr>
        <w:t>（二）效率性分析</w:t>
      </w:r>
    </w:p>
    <w:p w14:paraId="4591FD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6" w:lineRule="exact"/>
        <w:ind w:firstLine="640" w:firstLineChars="200"/>
        <w:textAlignment w:val="auto"/>
        <w:rPr>
          <w:rFonts w:hint="eastAsia" w:ascii="仿宋" w:hAnsi="仿宋" w:eastAsia="仿宋" w:cs="Tahoma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val="en-US" w:eastAsia="zh-CN" w:bidi="ar-SA"/>
        </w:rPr>
        <w:t>重点工作</w:t>
      </w:r>
    </w:p>
    <w:p w14:paraId="76F0D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" w:hAnsi="仿宋" w:eastAsia="仿宋" w:cs="Tahoma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val="en-US" w:eastAsia="zh-CN" w:bidi="ar-SA"/>
        </w:rPr>
        <w:t>1.市容整治稳步推动。一是按期起草方案。于4月18日以县政府办名义，正式向全县相关部门和单位下发。二是整治成效明显。通过集中整治，共劝导、查处流动商贩占道经营16800余起，规范越门经营门店12000余家，拆除违规设置的帐篷2500个、横幅5973条、拱门气球1500余个，登记保全各类经营物品470余件，对城区装修门店未申报、未设置围挡责令整改260余起，规范公共场所乱晒乱挂现象1300余起，对城区沿线各单位外墙破损及存在的安全隐患进行登记排查380余项，拆除门店外地贴570余处。开展净道行动15次，“净道”行动拆除私设路障135处、清理违规占用公共停车位350余处，僵尸车辆90余辆，清理交通锥、水泥墩等各类障碍物800余件/次，规范人行道摩托车、电动车停车秩序2600余台/次；查处违停车辆28681台/次（其中，已审核15852台，驶离12829台）</w:t>
      </w:r>
    </w:p>
    <w:p w14:paraId="4B614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仿宋" w:hAnsi="仿宋" w:eastAsia="仿宋" w:cs="Tahoma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val="en-US" w:eastAsia="zh-CN" w:bidi="ar-SA"/>
        </w:rPr>
        <w:t>2.垃圾分类有效开展。一是建立工作机制。制定2023年垃圾分类实施方案，成立工作专班，明确工作职责；二是宣传有力。改编花鼓戏《补锅》得到了省级平台的推荐，开展了大型宣传活动50余场，发放倡议书3200余份、分类宣传手册7200余册、《益阳市生活垃圾分类管理条例》3100余份、环保袋8300余个、垃圾分类伞1680余把。三是完善设施。更换县城城区主次街道破损分类垃圾桶700余组，安装高标准分类收集厢房1座。四是加强治理。3月22日，对在城区违规投放垃圾行为实施首例处罚。共查处影响市容环境卫生、混投生活垃圾、乱倒生活垃圾、违规投放大件垃圾违法行为17起。五是效果明显。全市“第四届生活垃圾分类流动现场会暨2023年生活垃圾分类工作部署会”在我县召开。前三季度全市垃圾分类工作评比，我县排名靠前。</w:t>
      </w:r>
    </w:p>
    <w:p w14:paraId="0BFCE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/>
        <w:textAlignment w:val="auto"/>
        <w:rPr>
          <w:rFonts w:hint="eastAsia" w:ascii="仿宋" w:hAnsi="仿宋" w:eastAsia="仿宋" w:cs="Tahoma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val="en-US" w:eastAsia="zh-CN" w:bidi="ar-SA"/>
        </w:rPr>
        <w:t>3.违建整治强力推进。全年共开展拆违行动106次，拆除各类违法建设272处，拆除面积18507平方米，其中新发违建73处，面积4080.5平方米，存量违建199处,面积14426.5平方米，完成行政处罚案件7个，罚款金额210230元。</w:t>
      </w:r>
    </w:p>
    <w:p w14:paraId="06958C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6" w:lineRule="exact"/>
        <w:ind w:firstLine="640" w:firstLineChars="200"/>
        <w:textAlignment w:val="auto"/>
        <w:rPr>
          <w:rFonts w:hint="eastAsia" w:ascii="仿宋" w:hAnsi="仿宋" w:eastAsia="仿宋" w:cs="Tahoma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val="en-US" w:eastAsia="zh-CN" w:bidi="ar-SA"/>
        </w:rPr>
        <w:t>重点项目建设</w:t>
      </w:r>
    </w:p>
    <w:p w14:paraId="1AA680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仿宋" w:hAnsi="仿宋" w:eastAsia="仿宋" w:cs="Tahoma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val="en-US" w:eastAsia="zh-CN" w:bidi="ar-SA"/>
        </w:rPr>
        <w:t>1.县城公厕提质改造工作。对城区公厕破损情况进行摸底、调研，选定了10座急需提质改造的公厕提质增效，现已投入使用。</w:t>
      </w:r>
    </w:p>
    <w:p w14:paraId="6360F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" w:hAnsi="仿宋" w:eastAsia="仿宋" w:cs="Tahoma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val="en-US" w:eastAsia="zh-CN" w:bidi="ar-SA"/>
        </w:rPr>
        <w:t>2.县城第二轮垃圾外运和城区垃圾清运市场化工作。县城第二轮垃圾外运项目和城区垃圾清运市场化项目于8月底完成招标工作。9月1日，组织召开了县城区垃圾清运工作交接会议，并开始实施市场化运营。</w:t>
      </w:r>
    </w:p>
    <w:p w14:paraId="4DCE7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仿宋" w:hAnsi="仿宋" w:eastAsia="仿宋" w:cs="Tahoma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val="en-US" w:eastAsia="zh-CN" w:bidi="ar-SA"/>
        </w:rPr>
        <w:t>3.县城区“口袋公园”提质改造。提质改造资江北路花坛等10座“口袋公园”，种植花卉60万余株。</w:t>
      </w:r>
    </w:p>
    <w:p w14:paraId="33CD8D1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6" w:lineRule="exact"/>
        <w:ind w:firstLine="640" w:firstLineChars="200"/>
        <w:textAlignment w:val="auto"/>
        <w:rPr>
          <w:rFonts w:hint="default" w:ascii="仿宋" w:hAnsi="仿宋" w:eastAsia="仿宋" w:cs="Tahoma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val="en-US" w:eastAsia="zh-CN" w:bidi="ar-SA"/>
        </w:rPr>
        <w:t>4.亮化项目建设。城区新装小街小巷路灯149盏，建设西路27盏、太平路82盏。安装“桃江欢迎您”“我爱桃江”等城市灯光小品。完成獭溪河五座桥梁亮化。</w:t>
      </w:r>
    </w:p>
    <w:p w14:paraId="28847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" w:hAnsi="仿宋" w:eastAsia="仿宋" w:cs="Tahoma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ahoma"/>
          <w:kern w:val="0"/>
          <w:sz w:val="32"/>
          <w:szCs w:val="32"/>
          <w:lang w:val="en-US" w:eastAsia="zh-CN" w:bidi="ar-SA"/>
        </w:rPr>
        <w:t xml:space="preserve">5.县城市政相关项目。一是市政设施维护、绿化养护、桥梁维护项目，已完成立项批复、资金审批、财政评审、招标工作，12月底完成该项目；二是鲇鱼港污水提升泵站于4月1日正式投入运行。     </w:t>
      </w:r>
    </w:p>
    <w:p w14:paraId="65C110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7B98BA22">
      <w:pPr>
        <w:widowControl/>
        <w:spacing w:line="594" w:lineRule="exact"/>
        <w:ind w:firstLine="640" w:firstLineChars="200"/>
        <w:rPr>
          <w:kern w:val="0"/>
          <w:szCs w:val="32"/>
        </w:rPr>
      </w:pPr>
      <w:r>
        <w:rPr>
          <w:rFonts w:eastAsia="黑体"/>
          <w:bCs/>
          <w:kern w:val="0"/>
          <w:szCs w:val="32"/>
        </w:rPr>
        <w:t>五、绩效评价工作开展情况</w:t>
      </w:r>
    </w:p>
    <w:p w14:paraId="5F320005">
      <w:pPr>
        <w:ind w:firstLine="645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（一）绩效评价的目的</w:t>
      </w:r>
    </w:p>
    <w:p w14:paraId="21E5349F">
      <w:pPr>
        <w:ind w:firstLine="645"/>
        <w:rPr>
          <w:rFonts w:hint="eastAsia"/>
          <w:szCs w:val="32"/>
          <w:lang w:eastAsia="zh-CN"/>
        </w:rPr>
      </w:pPr>
      <w:r>
        <w:rPr>
          <w:szCs w:val="32"/>
        </w:rPr>
        <w:t>为认真贯彻落实十九大报告精神，强化财政支出绩效理念和部门责任意识，规范财政资金管理，提高财政资金使用效益，依据中央、省、市、县相关文件精神和工作要求</w:t>
      </w:r>
      <w:r>
        <w:rPr>
          <w:rFonts w:hint="eastAsia"/>
          <w:szCs w:val="32"/>
          <w:lang w:eastAsia="zh-CN"/>
        </w:rPr>
        <w:t>对年度财政资金使用情况及产生的效益进行评价。</w:t>
      </w:r>
    </w:p>
    <w:p w14:paraId="29678D22">
      <w:pPr>
        <w:numPr>
          <w:ilvl w:val="0"/>
          <w:numId w:val="3"/>
        </w:numPr>
        <w:ind w:firstLine="645"/>
        <w:rPr>
          <w:rFonts w:hint="eastAsia"/>
          <w:szCs w:val="32"/>
          <w:lang w:eastAsia="zh-CN"/>
        </w:rPr>
      </w:pPr>
      <w:r>
        <w:rPr>
          <w:rFonts w:hint="eastAsia"/>
          <w:szCs w:val="32"/>
          <w:lang w:eastAsia="zh-CN"/>
        </w:rPr>
        <w:t>绩效评价的过程</w:t>
      </w:r>
    </w:p>
    <w:p w14:paraId="56D78E06"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1、成立绩效评价领导小组。组长：</w:t>
      </w:r>
      <w:r>
        <w:rPr>
          <w:rFonts w:hint="eastAsia" w:ascii="仿宋" w:hAnsi="仿宋" w:eastAsia="仿宋"/>
          <w:sz w:val="32"/>
          <w:szCs w:val="32"/>
          <w:lang w:eastAsia="zh-CN"/>
        </w:rPr>
        <w:t>吴建强</w:t>
      </w:r>
      <w:r>
        <w:rPr>
          <w:rFonts w:hint="eastAsia" w:ascii="仿宋" w:hAnsi="仿宋" w:eastAsia="仿宋"/>
          <w:sz w:val="32"/>
          <w:szCs w:val="32"/>
        </w:rPr>
        <w:t xml:space="preserve"> 副组长：</w:t>
      </w:r>
      <w:r>
        <w:rPr>
          <w:rFonts w:hint="eastAsia" w:ascii="仿宋" w:hAnsi="仿宋" w:eastAsia="仿宋"/>
          <w:sz w:val="32"/>
          <w:szCs w:val="32"/>
          <w:lang w:eastAsia="zh-CN"/>
        </w:rPr>
        <w:t>覃国新、周科明、王军；</w:t>
      </w:r>
      <w:r>
        <w:rPr>
          <w:rFonts w:hint="eastAsia" w:ascii="仿宋" w:hAnsi="仿宋" w:eastAsia="仿宋"/>
          <w:sz w:val="32"/>
          <w:szCs w:val="32"/>
        </w:rPr>
        <w:t xml:space="preserve"> 成员：</w:t>
      </w:r>
      <w:r>
        <w:rPr>
          <w:rFonts w:hint="eastAsia" w:ascii="仿宋" w:hAnsi="仿宋" w:eastAsia="仿宋"/>
          <w:sz w:val="32"/>
          <w:szCs w:val="32"/>
          <w:lang w:eastAsia="zh-CN"/>
        </w:rPr>
        <w:t>杨君、王小千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曹智慧、贺庆、吴红军</w:t>
      </w:r>
      <w:r>
        <w:rPr>
          <w:rFonts w:hint="eastAsia" w:ascii="仿宋" w:hAnsi="仿宋" w:eastAsia="仿宋"/>
          <w:sz w:val="32"/>
          <w:szCs w:val="32"/>
        </w:rPr>
        <w:t>、苏照华</w:t>
      </w:r>
      <w:r>
        <w:rPr>
          <w:rFonts w:hint="eastAsia" w:ascii="仿宋" w:hAnsi="仿宋" w:eastAsia="仿宋"/>
          <w:sz w:val="32"/>
          <w:szCs w:val="32"/>
          <w:lang w:eastAsia="zh-CN"/>
        </w:rPr>
        <w:t>、彭灿辉及</w:t>
      </w:r>
      <w:r>
        <w:rPr>
          <w:rFonts w:hint="eastAsia" w:ascii="仿宋" w:hAnsi="仿宋" w:eastAsia="仿宋"/>
          <w:sz w:val="32"/>
          <w:szCs w:val="32"/>
        </w:rPr>
        <w:t>各二级机构办公室人员。</w:t>
      </w:r>
      <w:r>
        <w:rPr>
          <w:rFonts w:hint="eastAsia" w:ascii="仿宋" w:hAnsi="仿宋" w:eastAsia="仿宋" w:cs="Tahoma"/>
          <w:kern w:val="0"/>
          <w:sz w:val="32"/>
          <w:szCs w:val="32"/>
          <w:lang w:eastAsia="zh-CN"/>
        </w:rPr>
        <w:t>本职工作每月考核；七项基础工作、县委县政府的重点工作和其他工作按相应考核细则进行考核，由平常抽查考核和局绩效考核领导小组年终考核相结合。</w:t>
      </w:r>
    </w:p>
    <w:p w14:paraId="3AA3A555"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2、资料收集整理。自评工作资料整理由局财务室牵头，各业务股室、二级机构、直属大队办全面配合，收集相关资料，按绩效评价指标及评分表相关内容一一对照整理成册。</w:t>
      </w:r>
    </w:p>
    <w:p w14:paraId="351E9FC4"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3、自查自评。按照《预算绩效管理政策与业务操作手册》的文件要求，对照20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年度部门整体支出绩效评价指标及评分表的内容如实填报相关资料，作出公正、客观、真实的自评。自评分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sz w:val="32"/>
          <w:szCs w:val="32"/>
        </w:rPr>
        <w:t>分。</w:t>
      </w:r>
    </w:p>
    <w:p w14:paraId="531220E5">
      <w:pPr>
        <w:numPr>
          <w:ilvl w:val="0"/>
          <w:numId w:val="0"/>
        </w:numPr>
        <w:spacing w:line="620" w:lineRule="exact"/>
        <w:ind w:firstLine="640" w:firstLineChars="200"/>
        <w:jc w:val="both"/>
        <w:outlineLvl w:val="0"/>
        <w:rPr>
          <w:rFonts w:hint="eastAsia" w:ascii="仿宋" w:eastAsia="仿宋" w:cs="仿宋"/>
          <w:b/>
          <w:bCs/>
          <w:color w:val="000000"/>
          <w:spacing w:val="-6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</w:rPr>
        <w:t>4、上报审核。局财务室工作人员按时上报相关自评资料，对上报资料跟进，及时反馈县财政局提出的审查意见，根据审查结果认真分析工作中存在的不足，进行整改，并对来年财政部门预算编制计划提出建议和意见。</w:t>
      </w:r>
    </w:p>
    <w:p w14:paraId="665E500E">
      <w:pPr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六、存在的主要问题</w:t>
      </w:r>
    </w:p>
    <w:p w14:paraId="60DCB8DD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我局在经费保障方面一直得到了县政府及县财政的大力支持与关怀，但随着工作的深入开展，各项支出的增加，经费短缺的矛盾越来越突出，严重影响到我局工作的正常开展。资金</w:t>
      </w:r>
      <w:r>
        <w:rPr>
          <w:rFonts w:hint="eastAsia" w:ascii="仿宋_GB2312" w:eastAsia="仿宋_GB2312"/>
          <w:sz w:val="32"/>
          <w:szCs w:val="32"/>
          <w:lang w:eastAsia="zh-CN"/>
        </w:rPr>
        <w:t>缺口问题，主要</w:t>
      </w:r>
      <w:r>
        <w:rPr>
          <w:rFonts w:hint="eastAsia" w:ascii="仿宋_GB2312" w:eastAsia="仿宋_GB2312"/>
          <w:sz w:val="32"/>
          <w:szCs w:val="32"/>
        </w:rPr>
        <w:t>是由于按政策可以发放的职工工会福利待遇、伙食补助、年度绩效考核奖励金等未纳入财政预算</w:t>
      </w:r>
      <w:r>
        <w:rPr>
          <w:rFonts w:hint="eastAsia" w:ascii="仿宋_GB2312" w:eastAsia="仿宋_GB2312"/>
          <w:sz w:val="32"/>
          <w:szCs w:val="32"/>
          <w:lang w:eastAsia="zh-CN"/>
        </w:rPr>
        <w:t>，造成人员经费缺口巨大。</w:t>
      </w:r>
    </w:p>
    <w:p w14:paraId="3E279D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8F1159"/>
    <w:multiLevelType w:val="singleLevel"/>
    <w:tmpl w:val="228F1159"/>
    <w:lvl w:ilvl="0" w:tentative="0">
      <w:start w:val="3"/>
      <w:numFmt w:val="chineseCounting"/>
      <w:suff w:val="nothing"/>
      <w:lvlText w:val="（%1）"/>
      <w:lvlJc w:val="left"/>
      <w:pPr>
        <w:ind w:left="6"/>
      </w:pPr>
      <w:rPr>
        <w:rFonts w:hint="eastAsia"/>
      </w:rPr>
    </w:lvl>
  </w:abstractNum>
  <w:abstractNum w:abstractNumId="1">
    <w:nsid w:val="365CAB77"/>
    <w:multiLevelType w:val="singleLevel"/>
    <w:tmpl w:val="365CAB7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E65D4C3"/>
    <w:multiLevelType w:val="singleLevel"/>
    <w:tmpl w:val="5E65D4C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zM2JmZTY4MTIyNWFjNmRlNWNjZjRjZjJmMGQzYzQifQ=="/>
  </w:docVars>
  <w:rsids>
    <w:rsidRoot w:val="03DF611C"/>
    <w:rsid w:val="01585E9B"/>
    <w:rsid w:val="01D60DCA"/>
    <w:rsid w:val="03DF611C"/>
    <w:rsid w:val="04E4300C"/>
    <w:rsid w:val="088209B9"/>
    <w:rsid w:val="08BE1177"/>
    <w:rsid w:val="09E95841"/>
    <w:rsid w:val="0B846CE0"/>
    <w:rsid w:val="0BDE17BD"/>
    <w:rsid w:val="0CAC26BE"/>
    <w:rsid w:val="0CF967A2"/>
    <w:rsid w:val="0E2C0351"/>
    <w:rsid w:val="0EE91A98"/>
    <w:rsid w:val="0F924021"/>
    <w:rsid w:val="1137024E"/>
    <w:rsid w:val="1B595A23"/>
    <w:rsid w:val="2137579E"/>
    <w:rsid w:val="231B29D1"/>
    <w:rsid w:val="25E44CFA"/>
    <w:rsid w:val="2672148A"/>
    <w:rsid w:val="28792813"/>
    <w:rsid w:val="2A2A12F0"/>
    <w:rsid w:val="2D035999"/>
    <w:rsid w:val="2F9451F3"/>
    <w:rsid w:val="336366A5"/>
    <w:rsid w:val="33FF6A5A"/>
    <w:rsid w:val="3F4D1CD6"/>
    <w:rsid w:val="4014567C"/>
    <w:rsid w:val="44FA350F"/>
    <w:rsid w:val="4B533C0F"/>
    <w:rsid w:val="4B583B48"/>
    <w:rsid w:val="4B981ACB"/>
    <w:rsid w:val="4F897C12"/>
    <w:rsid w:val="596974D9"/>
    <w:rsid w:val="5ABA70D5"/>
    <w:rsid w:val="5AF043F4"/>
    <w:rsid w:val="5B1433B1"/>
    <w:rsid w:val="5C9F576B"/>
    <w:rsid w:val="62C47E48"/>
    <w:rsid w:val="6382412B"/>
    <w:rsid w:val="65E4627B"/>
    <w:rsid w:val="66EE66D3"/>
    <w:rsid w:val="67435B9E"/>
    <w:rsid w:val="68E43B36"/>
    <w:rsid w:val="697A1F45"/>
    <w:rsid w:val="6F71163D"/>
    <w:rsid w:val="74514CBB"/>
    <w:rsid w:val="74B75480"/>
    <w:rsid w:val="7AF950D2"/>
    <w:rsid w:val="7C4F7621"/>
    <w:rsid w:val="7CC405DE"/>
    <w:rsid w:val="7D66388B"/>
    <w:rsid w:val="7F24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4592</Words>
  <Characters>4986</Characters>
  <Lines>0</Lines>
  <Paragraphs>0</Paragraphs>
  <TotalTime>3</TotalTime>
  <ScaleCrop>false</ScaleCrop>
  <LinksUpToDate>false</LinksUpToDate>
  <CharactersWithSpaces>5008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2021-04-14T02:29:00Z</dcterms:created>
  <dc:creator>春天在哪里</dc:creator>
  <cp:lastModifiedBy>千千</cp:lastModifiedBy>
  <cp:lastPrinted>2022-05-31T07:57:00Z</cp:lastPrinted>
  <dcterms:modified xsi:type="dcterms:W3CDTF">2024-11-20T00:49:19Z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0B46E91AF4A14D5EAD47879CD8628BFF_13</vt:lpwstr>
  </property>
</Properties>
</file>