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</w:p>
    <w:p>
      <w:pPr>
        <w:pStyle w:val="3"/>
      </w:pPr>
    </w:p>
    <w:p>
      <w:pPr>
        <w:pStyle w:val="3"/>
      </w:pPr>
      <w:bookmarkStart w:id="0" w:name="_GoBack"/>
      <w:bookmarkEnd w:id="0"/>
    </w:p>
    <w:p>
      <w:pPr>
        <w:widowControl/>
        <w:spacing w:line="594" w:lineRule="exact"/>
        <w:jc w:val="center"/>
        <w:rPr>
          <w:rFonts w:hint="eastAsia" w:eastAsia="方正小标宋简体"/>
          <w:kern w:val="0"/>
          <w:sz w:val="44"/>
          <w:szCs w:val="44"/>
        </w:rPr>
      </w:pPr>
    </w:p>
    <w:p>
      <w:pPr>
        <w:widowControl/>
        <w:spacing w:line="594" w:lineRule="exact"/>
        <w:jc w:val="center"/>
        <w:rPr>
          <w:rFonts w:hint="eastAsia" w:eastAsia="方正小标宋简体"/>
          <w:kern w:val="0"/>
          <w:sz w:val="44"/>
          <w:szCs w:val="44"/>
        </w:rPr>
      </w:pPr>
    </w:p>
    <w:p>
      <w:pPr>
        <w:widowControl/>
        <w:spacing w:line="594" w:lineRule="exact"/>
        <w:jc w:val="center"/>
        <w:rPr>
          <w:rFonts w:hint="eastAsia" w:eastAsia="方正小标宋简体"/>
          <w:kern w:val="0"/>
          <w:sz w:val="44"/>
          <w:szCs w:val="44"/>
        </w:rPr>
      </w:pPr>
    </w:p>
    <w:p>
      <w:pPr>
        <w:widowControl/>
        <w:spacing w:line="594" w:lineRule="exact"/>
        <w:jc w:val="center"/>
        <w:rPr>
          <w:rFonts w:hint="eastAsia" w:eastAsia="方正小标宋简体"/>
          <w:kern w:val="0"/>
          <w:sz w:val="44"/>
          <w:szCs w:val="44"/>
        </w:rPr>
      </w:pPr>
    </w:p>
    <w:p>
      <w:pPr>
        <w:widowControl/>
        <w:spacing w:line="594" w:lineRule="exact"/>
        <w:jc w:val="center"/>
        <w:rPr>
          <w:rFonts w:hint="eastAsia" w:eastAsia="方正小标宋简体"/>
          <w:kern w:val="0"/>
          <w:sz w:val="44"/>
          <w:szCs w:val="44"/>
          <w:lang w:eastAsia="zh-CN"/>
        </w:rPr>
      </w:pPr>
      <w:r>
        <w:rPr>
          <w:rFonts w:hint="eastAsia" w:eastAsia="方正小标宋简体"/>
          <w:kern w:val="0"/>
          <w:sz w:val="44"/>
          <w:szCs w:val="44"/>
        </w:rPr>
        <w:t>202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eastAsia="方正小标宋简体"/>
          <w:kern w:val="0"/>
          <w:sz w:val="44"/>
          <w:szCs w:val="44"/>
        </w:rPr>
        <w:t>年度</w:t>
      </w:r>
      <w:r>
        <w:rPr>
          <w:rFonts w:eastAsia="方正小标宋简体"/>
          <w:kern w:val="0"/>
          <w:sz w:val="44"/>
          <w:szCs w:val="44"/>
        </w:rPr>
        <w:t>部门整体绩效</w:t>
      </w:r>
      <w:r>
        <w:rPr>
          <w:rFonts w:hint="eastAsia" w:eastAsia="方正小标宋简体"/>
          <w:kern w:val="0"/>
          <w:sz w:val="44"/>
          <w:szCs w:val="44"/>
          <w:lang w:eastAsia="zh-CN"/>
        </w:rPr>
        <w:t>评价</w:t>
      </w:r>
      <w:r>
        <w:rPr>
          <w:rFonts w:eastAsia="方正小标宋简体"/>
          <w:kern w:val="0"/>
          <w:sz w:val="44"/>
          <w:szCs w:val="44"/>
        </w:rPr>
        <w:t>报告</w:t>
      </w:r>
    </w:p>
    <w:p>
      <w:pPr>
        <w:widowControl/>
        <w:spacing w:line="594" w:lineRule="exact"/>
        <w:jc w:val="center"/>
        <w:rPr>
          <w:rFonts w:hint="eastAsia" w:eastAsia="方正小标宋简体"/>
          <w:kern w:val="0"/>
          <w:sz w:val="44"/>
          <w:szCs w:val="44"/>
          <w:lang w:eastAsia="zh-CN"/>
        </w:rPr>
      </w:pPr>
    </w:p>
    <w:p>
      <w:pPr>
        <w:widowControl/>
        <w:spacing w:line="594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widowControl/>
        <w:spacing w:line="594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widowControl/>
        <w:spacing w:line="594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widowControl/>
        <w:spacing w:line="594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widowControl/>
        <w:spacing w:line="594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  <w:lang w:eastAsia="zh-CN"/>
        </w:rPr>
        <w:t>桃江县环境卫生服务中心</w:t>
      </w:r>
    </w:p>
    <w:p>
      <w:pPr>
        <w:widowControl/>
        <w:spacing w:line="594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widowControl/>
        <w:spacing w:line="594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widowControl/>
        <w:spacing w:line="594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widowControl/>
        <w:spacing w:line="594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widowControl/>
        <w:spacing w:line="594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widowControl/>
        <w:spacing w:line="594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widowControl/>
        <w:spacing w:line="594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widowControl/>
        <w:spacing w:line="594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widowControl/>
        <w:spacing w:line="594" w:lineRule="exact"/>
        <w:jc w:val="left"/>
        <w:rPr>
          <w:kern w:val="0"/>
          <w:szCs w:val="32"/>
        </w:rPr>
      </w:pPr>
      <w:r>
        <w:rPr>
          <w:kern w:val="0"/>
          <w:szCs w:val="32"/>
        </w:rPr>
        <w:t xml:space="preserve">   </w:t>
      </w:r>
    </w:p>
    <w:p>
      <w:pPr>
        <w:widowControl/>
        <w:spacing w:line="594" w:lineRule="exact"/>
        <w:ind w:firstLine="640" w:firstLineChars="200"/>
        <w:rPr>
          <w:rFonts w:eastAsia="黑体"/>
          <w:bCs/>
          <w:kern w:val="0"/>
          <w:szCs w:val="32"/>
        </w:rPr>
      </w:pPr>
    </w:p>
    <w:p>
      <w:pPr>
        <w:widowControl/>
        <w:spacing w:line="594" w:lineRule="exact"/>
        <w:ind w:firstLine="640" w:firstLineChars="200"/>
        <w:rPr>
          <w:rFonts w:hint="eastAsia" w:eastAsia="黑体"/>
          <w:bCs/>
          <w:kern w:val="0"/>
          <w:szCs w:val="32"/>
          <w:lang w:eastAsia="zh-CN"/>
        </w:rPr>
      </w:pPr>
    </w:p>
    <w:p>
      <w:pPr>
        <w:widowControl/>
        <w:spacing w:line="594" w:lineRule="exact"/>
        <w:ind w:firstLine="3200" w:firstLineChars="1000"/>
        <w:rPr>
          <w:rFonts w:hint="eastAsia" w:eastAsia="黑体"/>
          <w:bCs/>
          <w:kern w:val="0"/>
          <w:szCs w:val="32"/>
          <w:lang w:eastAsia="zh-CN"/>
        </w:rPr>
      </w:pPr>
    </w:p>
    <w:p>
      <w:pPr>
        <w:widowControl/>
        <w:spacing w:line="594" w:lineRule="exact"/>
        <w:ind w:firstLine="3200" w:firstLineChars="1000"/>
        <w:rPr>
          <w:rFonts w:hint="eastAsia" w:eastAsia="黑体"/>
          <w:bCs/>
          <w:kern w:val="0"/>
          <w:szCs w:val="32"/>
          <w:lang w:eastAsia="zh-CN"/>
        </w:rPr>
      </w:pPr>
      <w:r>
        <w:rPr>
          <w:rFonts w:hint="eastAsia" w:eastAsia="黑体"/>
          <w:bCs/>
          <w:kern w:val="0"/>
          <w:szCs w:val="32"/>
          <w:lang w:eastAsia="zh-CN"/>
        </w:rPr>
        <w:t>目</w:t>
      </w:r>
      <w:r>
        <w:rPr>
          <w:rFonts w:hint="eastAsia" w:eastAsia="黑体"/>
          <w:bCs/>
          <w:kern w:val="0"/>
          <w:szCs w:val="32"/>
          <w:lang w:val="en-US" w:eastAsia="zh-CN"/>
        </w:rPr>
        <w:t xml:space="preserve">    </w:t>
      </w:r>
      <w:r>
        <w:rPr>
          <w:rFonts w:hint="eastAsia" w:eastAsia="黑体"/>
          <w:bCs/>
          <w:kern w:val="0"/>
          <w:szCs w:val="32"/>
          <w:lang w:eastAsia="zh-CN"/>
        </w:rPr>
        <w:t>录</w:t>
      </w:r>
    </w:p>
    <w:p>
      <w:pPr>
        <w:widowControl/>
        <w:spacing w:line="594" w:lineRule="exact"/>
        <w:ind w:firstLine="640" w:firstLineChars="200"/>
        <w:rPr>
          <w:rFonts w:eastAsia="黑体"/>
          <w:kern w:val="0"/>
          <w:szCs w:val="32"/>
        </w:rPr>
      </w:pPr>
      <w:r>
        <w:rPr>
          <w:rFonts w:eastAsia="黑体"/>
          <w:bCs/>
          <w:kern w:val="0"/>
          <w:szCs w:val="32"/>
        </w:rPr>
        <w:t xml:space="preserve"> 一、部门概况</w:t>
      </w:r>
    </w:p>
    <w:p>
      <w:pPr>
        <w:widowControl/>
        <w:spacing w:line="594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（一）部门基本情况</w:t>
      </w:r>
    </w:p>
    <w:p>
      <w:pPr>
        <w:widowControl/>
        <w:spacing w:line="594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（二）部门整体支出规模</w:t>
      </w:r>
    </w:p>
    <w:p>
      <w:pPr>
        <w:widowControl/>
        <w:spacing w:line="594" w:lineRule="exact"/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  <w:lang w:eastAsia="zh-CN"/>
        </w:rPr>
        <w:t>（三）部门整体支出</w:t>
      </w:r>
      <w:r>
        <w:rPr>
          <w:kern w:val="0"/>
          <w:szCs w:val="32"/>
        </w:rPr>
        <w:t>使用方向和主要内容、涉及范围</w:t>
      </w:r>
    </w:p>
    <w:p>
      <w:pPr>
        <w:widowControl/>
        <w:spacing w:line="594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（</w:t>
      </w:r>
      <w:r>
        <w:rPr>
          <w:rFonts w:hint="eastAsia"/>
          <w:kern w:val="0"/>
          <w:szCs w:val="32"/>
          <w:lang w:eastAsia="zh-CN"/>
        </w:rPr>
        <w:t>四</w:t>
      </w:r>
      <w:r>
        <w:rPr>
          <w:kern w:val="0"/>
          <w:szCs w:val="32"/>
        </w:rPr>
        <w:t>）绩效目标设立情况</w:t>
      </w:r>
    </w:p>
    <w:p>
      <w:pPr>
        <w:widowControl/>
        <w:spacing w:line="594" w:lineRule="exact"/>
        <w:ind w:firstLine="640" w:firstLineChars="200"/>
        <w:rPr>
          <w:kern w:val="0"/>
          <w:szCs w:val="32"/>
        </w:rPr>
      </w:pPr>
      <w:r>
        <w:rPr>
          <w:rFonts w:eastAsia="黑体"/>
          <w:bCs/>
          <w:kern w:val="0"/>
          <w:szCs w:val="32"/>
        </w:rPr>
        <w:t>二、部门整体支出管理及使用情况分析</w:t>
      </w:r>
    </w:p>
    <w:p>
      <w:pPr>
        <w:widowControl/>
        <w:spacing w:line="594" w:lineRule="exact"/>
        <w:ind w:firstLine="640" w:firstLineChars="200"/>
        <w:rPr>
          <w:kern w:val="0"/>
          <w:szCs w:val="32"/>
        </w:rPr>
      </w:pPr>
      <w:r>
        <w:rPr>
          <w:rFonts w:eastAsia="楷体_GB2312"/>
          <w:kern w:val="0"/>
          <w:szCs w:val="32"/>
        </w:rPr>
        <w:t>（</w:t>
      </w:r>
      <w:r>
        <w:rPr>
          <w:kern w:val="0"/>
          <w:szCs w:val="32"/>
        </w:rPr>
        <w:t>一）基本支出</w:t>
      </w:r>
    </w:p>
    <w:p>
      <w:pPr>
        <w:widowControl/>
        <w:spacing w:line="594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（二）项目支出</w:t>
      </w:r>
    </w:p>
    <w:p>
      <w:pPr>
        <w:widowControl/>
        <w:spacing w:line="594" w:lineRule="exact"/>
        <w:ind w:firstLine="640" w:firstLineChars="200"/>
        <w:rPr>
          <w:rFonts w:hint="eastAsia"/>
          <w:kern w:val="0"/>
          <w:szCs w:val="32"/>
          <w:lang w:eastAsia="zh-CN"/>
        </w:rPr>
      </w:pPr>
      <w:r>
        <w:rPr>
          <w:rFonts w:hint="eastAsia"/>
          <w:kern w:val="0"/>
          <w:szCs w:val="32"/>
          <w:lang w:val="en-US" w:eastAsia="zh-CN"/>
        </w:rPr>
        <w:t xml:space="preserve"> </w:t>
      </w:r>
      <w:r>
        <w:rPr>
          <w:rFonts w:hint="eastAsia"/>
          <w:kern w:val="0"/>
          <w:szCs w:val="32"/>
          <w:lang w:eastAsia="zh-CN"/>
        </w:rPr>
        <w:t>1.项目资金安排落实、总投入等情况分析。</w:t>
      </w:r>
    </w:p>
    <w:p>
      <w:pPr>
        <w:widowControl/>
        <w:spacing w:line="594" w:lineRule="exact"/>
        <w:ind w:firstLine="640" w:firstLineChars="200"/>
        <w:rPr>
          <w:rFonts w:hint="eastAsia"/>
          <w:kern w:val="0"/>
          <w:szCs w:val="32"/>
          <w:lang w:eastAsia="zh-CN"/>
        </w:rPr>
      </w:pPr>
      <w:r>
        <w:rPr>
          <w:rFonts w:hint="eastAsia"/>
          <w:kern w:val="0"/>
          <w:szCs w:val="32"/>
          <w:lang w:val="en-US" w:eastAsia="zh-CN"/>
        </w:rPr>
        <w:t xml:space="preserve"> 2.</w:t>
      </w:r>
      <w:r>
        <w:rPr>
          <w:rFonts w:hint="eastAsia"/>
          <w:kern w:val="0"/>
          <w:szCs w:val="32"/>
          <w:lang w:eastAsia="zh-CN"/>
        </w:rPr>
        <w:t>项目资金（财政资金）实际使用情况分析。</w:t>
      </w:r>
    </w:p>
    <w:p>
      <w:pPr>
        <w:widowControl/>
        <w:spacing w:line="594" w:lineRule="exact"/>
        <w:ind w:firstLine="640" w:firstLineChars="200"/>
        <w:rPr>
          <w:rFonts w:hint="default" w:ascii="仿宋" w:hAnsi="仿宋" w:eastAsia="仿宋" w:cs="Tahoma"/>
          <w:kern w:val="0"/>
          <w:sz w:val="32"/>
          <w:szCs w:val="32"/>
          <w:lang w:val="en-US" w:eastAsia="zh-CN"/>
        </w:rPr>
      </w:pPr>
      <w:r>
        <w:rPr>
          <w:rFonts w:hint="eastAsia"/>
          <w:kern w:val="0"/>
          <w:szCs w:val="32"/>
          <w:lang w:val="en-US" w:eastAsia="zh-CN"/>
        </w:rPr>
        <w:t xml:space="preserve"> 3.</w:t>
      </w:r>
      <w:r>
        <w:rPr>
          <w:rFonts w:hint="eastAsia"/>
          <w:kern w:val="0"/>
          <w:szCs w:val="32"/>
          <w:lang w:eastAsia="zh-CN"/>
        </w:rPr>
        <w:t>项目资金管理情况分析。</w:t>
      </w:r>
    </w:p>
    <w:p>
      <w:pPr>
        <w:widowControl/>
        <w:spacing w:line="594" w:lineRule="exact"/>
        <w:ind w:firstLine="640" w:firstLineChars="200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三、项目组织实施情况分析</w:t>
      </w:r>
    </w:p>
    <w:p>
      <w:pPr>
        <w:widowControl/>
        <w:spacing w:line="594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（一）项目组织情况分析</w:t>
      </w:r>
    </w:p>
    <w:p>
      <w:pPr>
        <w:widowControl/>
        <w:spacing w:line="594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（二）项目管理情况分析</w:t>
      </w:r>
    </w:p>
    <w:p>
      <w:pPr>
        <w:widowControl/>
        <w:spacing w:line="594" w:lineRule="exact"/>
        <w:ind w:firstLine="640" w:firstLineChars="200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四、部门整体支出绩效情况分析</w:t>
      </w:r>
    </w:p>
    <w:p>
      <w:pPr>
        <w:widowControl/>
        <w:spacing w:line="594" w:lineRule="exact"/>
        <w:ind w:firstLine="640" w:firstLineChars="200"/>
        <w:rPr>
          <w:rFonts w:hint="eastAsia"/>
          <w:kern w:val="0"/>
          <w:szCs w:val="32"/>
          <w:lang w:eastAsia="zh-CN"/>
        </w:rPr>
      </w:pPr>
      <w:r>
        <w:rPr>
          <w:rFonts w:hint="eastAsia"/>
          <w:kern w:val="0"/>
          <w:szCs w:val="32"/>
          <w:lang w:eastAsia="zh-CN"/>
        </w:rPr>
        <w:t>（一）</w:t>
      </w:r>
      <w:r>
        <w:rPr>
          <w:kern w:val="0"/>
          <w:szCs w:val="32"/>
        </w:rPr>
        <w:t>经济性</w:t>
      </w:r>
      <w:r>
        <w:rPr>
          <w:rFonts w:hint="eastAsia"/>
          <w:kern w:val="0"/>
          <w:szCs w:val="32"/>
          <w:lang w:eastAsia="zh-CN"/>
        </w:rPr>
        <w:t>分析</w:t>
      </w:r>
    </w:p>
    <w:p>
      <w:pPr>
        <w:widowControl/>
        <w:spacing w:line="594" w:lineRule="exact"/>
        <w:ind w:firstLine="640" w:firstLineChars="200"/>
        <w:rPr>
          <w:rFonts w:hint="eastAsia" w:eastAsia="仿宋_GB2312"/>
          <w:bCs/>
          <w:kern w:val="0"/>
          <w:szCs w:val="32"/>
          <w:lang w:eastAsia="zh-CN"/>
        </w:rPr>
      </w:pPr>
      <w:r>
        <w:rPr>
          <w:rFonts w:hint="eastAsia"/>
          <w:kern w:val="0"/>
          <w:szCs w:val="32"/>
          <w:lang w:eastAsia="zh-CN"/>
        </w:rPr>
        <w:t>（二）</w:t>
      </w:r>
      <w:r>
        <w:rPr>
          <w:kern w:val="0"/>
          <w:szCs w:val="32"/>
        </w:rPr>
        <w:t>效率性</w:t>
      </w:r>
      <w:r>
        <w:rPr>
          <w:rFonts w:hint="eastAsia"/>
          <w:kern w:val="0"/>
          <w:szCs w:val="32"/>
          <w:lang w:eastAsia="zh-CN"/>
        </w:rPr>
        <w:t>分析</w:t>
      </w:r>
    </w:p>
    <w:p>
      <w:pPr>
        <w:widowControl/>
        <w:spacing w:line="594" w:lineRule="exact"/>
        <w:ind w:firstLine="640" w:firstLineChars="200"/>
        <w:rPr>
          <w:kern w:val="0"/>
          <w:szCs w:val="32"/>
        </w:rPr>
      </w:pPr>
      <w:r>
        <w:rPr>
          <w:rFonts w:eastAsia="黑体"/>
          <w:bCs/>
          <w:kern w:val="0"/>
          <w:szCs w:val="32"/>
        </w:rPr>
        <w:t>五、绩效评价工作开展情况</w:t>
      </w:r>
    </w:p>
    <w:p>
      <w:pPr>
        <w:widowControl/>
        <w:spacing w:line="594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（一）绩效评价目的。</w:t>
      </w:r>
    </w:p>
    <w:p>
      <w:pPr>
        <w:widowControl/>
        <w:spacing w:line="594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（二）绩效评价工作过程，</w:t>
      </w:r>
    </w:p>
    <w:p>
      <w:pPr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六、存在的主要问题</w:t>
      </w:r>
    </w:p>
    <w:p>
      <w:pPr>
        <w:pStyle w:val="2"/>
        <w:rPr>
          <w:rFonts w:eastAsia="黑体"/>
          <w:bCs/>
          <w:kern w:val="0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七、有关建议</w:t>
      </w:r>
    </w:p>
    <w:p>
      <w:pPr>
        <w:widowControl/>
        <w:spacing w:line="594" w:lineRule="exact"/>
        <w:ind w:firstLine="640" w:firstLineChars="200"/>
        <w:rPr>
          <w:rFonts w:eastAsia="黑体"/>
          <w:kern w:val="0"/>
          <w:szCs w:val="32"/>
        </w:rPr>
      </w:pPr>
      <w:r>
        <w:rPr>
          <w:rFonts w:eastAsia="黑体"/>
          <w:bCs/>
          <w:kern w:val="0"/>
          <w:szCs w:val="32"/>
        </w:rPr>
        <w:t>一、部门概况</w:t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（一）部门基本情况</w:t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1、机构设置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桃江县环境卫生服务中心内设机构包括：内设股室办公室、突击队、督查收费队（三个）、单位收费队、清运队、财务股、垃圾场等9个队、室。</w:t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2、人员构成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财政补助</w:t>
      </w:r>
      <w:r>
        <w:rPr>
          <w:rFonts w:hint="eastAsia" w:ascii="仿宋" w:hAnsi="仿宋" w:eastAsia="仿宋"/>
          <w:sz w:val="32"/>
          <w:szCs w:val="32"/>
        </w:rPr>
        <w:t>事业人员：</w:t>
      </w:r>
      <w:r>
        <w:rPr>
          <w:rFonts w:hint="eastAsia" w:ascii="仿宋" w:hAnsi="仿宋" w:eastAsia="仿宋"/>
          <w:sz w:val="32"/>
          <w:szCs w:val="32"/>
          <w:lang w:eastAsia="zh-CN"/>
        </w:rPr>
        <w:t>年初</w:t>
      </w:r>
      <w:r>
        <w:rPr>
          <w:rFonts w:hint="eastAsia" w:ascii="仿宋" w:hAnsi="仿宋" w:eastAsia="仿宋"/>
          <w:sz w:val="32"/>
          <w:szCs w:val="32"/>
        </w:rPr>
        <w:t>在职</w:t>
      </w:r>
      <w:r>
        <w:rPr>
          <w:rFonts w:hint="eastAsia" w:ascii="仿宋" w:hAnsi="仿宋" w:eastAsia="仿宋"/>
          <w:sz w:val="32"/>
          <w:szCs w:val="32"/>
          <w:lang w:eastAsia="zh-CN"/>
        </w:rPr>
        <w:t>在编</w:t>
      </w:r>
      <w:r>
        <w:rPr>
          <w:rFonts w:hint="eastAsia" w:ascii="仿宋" w:hAnsi="仿宋" w:eastAsia="仿宋"/>
          <w:sz w:val="32"/>
          <w:szCs w:val="32"/>
        </w:rPr>
        <w:t>人数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63人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年末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62人（其中1人退休），</w:t>
      </w:r>
      <w:r>
        <w:rPr>
          <w:rFonts w:hint="eastAsia" w:ascii="仿宋" w:hAnsi="仿宋" w:eastAsia="仿宋"/>
          <w:sz w:val="32"/>
          <w:szCs w:val="32"/>
        </w:rPr>
        <w:t>退休人员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/>
          <w:b/>
          <w:sz w:val="32"/>
          <w:szCs w:val="32"/>
        </w:rPr>
        <w:t>部门主要工作职责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（一）为维护城市环境卫生提供保障；城市市容维护。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（二）城市环境卫生设施建设、维护。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（三）生活垃圾清运。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（四）清扫保洁市场化运行情况督查并督促清扫保洁公司整改到位。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（五）按规定收取规费。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（六）县城市生活垃圾无害化处理场的日常运营。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（七）承办县委、县人民政府、县城管执法局交办的其他事项。</w:t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b/>
          <w:sz w:val="32"/>
          <w:szCs w:val="32"/>
        </w:rPr>
        <w:t>）部门整体支出规模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楷体" w:hAnsi="楷体" w:eastAsia="楷体" w:cs="Tahoma"/>
          <w:b/>
          <w:kern w:val="0"/>
          <w:sz w:val="32"/>
          <w:szCs w:val="32"/>
        </w:rPr>
      </w:pPr>
      <w:r>
        <w:rPr>
          <w:rFonts w:hint="eastAsia" w:ascii="楷体" w:hAnsi="楷体" w:eastAsia="楷体" w:cs="Tahoma"/>
          <w:b/>
          <w:kern w:val="0"/>
          <w:sz w:val="32"/>
          <w:szCs w:val="32"/>
        </w:rPr>
        <w:t>1、收入</w:t>
      </w:r>
    </w:p>
    <w:p>
      <w:pPr>
        <w:numPr>
          <w:ilvl w:val="-1"/>
          <w:numId w:val="0"/>
        </w:numPr>
        <w:snapToGrid w:val="0"/>
        <w:spacing w:line="520" w:lineRule="exact"/>
        <w:ind w:firstLine="640" w:firstLineChars="200"/>
        <w:rPr>
          <w:rFonts w:hint="default" w:ascii="仿宋" w:hAnsi="仿宋" w:eastAsia="仿宋" w:cs="Tahoma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财政资金年初预算数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3932.54元，预算调整数3947.28万</w:t>
      </w: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元，年末决算数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3947.28万元。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楷体" w:hAnsi="楷体" w:eastAsia="楷体" w:cs="Tahoma"/>
          <w:b/>
          <w:kern w:val="0"/>
          <w:sz w:val="32"/>
          <w:szCs w:val="32"/>
        </w:rPr>
      </w:pPr>
      <w:r>
        <w:rPr>
          <w:rFonts w:hint="eastAsia" w:ascii="楷体" w:hAnsi="楷体" w:eastAsia="楷体" w:cs="Tahoma"/>
          <w:b/>
          <w:kern w:val="0"/>
          <w:sz w:val="32"/>
          <w:szCs w:val="32"/>
        </w:rPr>
        <w:t>2、支出</w:t>
      </w:r>
    </w:p>
    <w:p>
      <w:pPr>
        <w:numPr>
          <w:ilvl w:val="-1"/>
          <w:numId w:val="0"/>
        </w:numPr>
        <w:snapToGrid w:val="0"/>
        <w:spacing w:line="520" w:lineRule="exact"/>
        <w:ind w:firstLine="640" w:firstLineChars="200"/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Tahoma"/>
          <w:kern w:val="0"/>
          <w:sz w:val="32"/>
          <w:szCs w:val="32"/>
        </w:rPr>
        <w:t>基本支出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755.7万元</w:t>
      </w:r>
      <w:r>
        <w:rPr>
          <w:rFonts w:hint="eastAsia" w:ascii="仿宋" w:hAnsi="仿宋" w:eastAsia="仿宋" w:cs="Tahoma"/>
          <w:kern w:val="0"/>
          <w:sz w:val="32"/>
          <w:szCs w:val="32"/>
        </w:rPr>
        <w:t>，</w:t>
      </w: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项目支出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3191.58万元，合计3947.28万元。</w:t>
      </w:r>
    </w:p>
    <w:p>
      <w:pPr>
        <w:widowControl/>
        <w:numPr>
          <w:ilvl w:val="0"/>
          <w:numId w:val="1"/>
        </w:numPr>
        <w:spacing w:line="560" w:lineRule="exact"/>
        <w:ind w:left="6" w:leftChars="0" w:firstLine="640" w:firstLineChars="0"/>
        <w:jc w:val="left"/>
        <w:rPr>
          <w:rFonts w:hint="eastAsia" w:ascii="仿宋" w:hAnsi="仿宋" w:eastAsia="仿宋" w:cs="Tahom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ahoma"/>
          <w:b/>
          <w:bCs/>
          <w:kern w:val="0"/>
          <w:sz w:val="32"/>
          <w:szCs w:val="32"/>
          <w:lang w:val="en-US" w:eastAsia="zh-CN"/>
        </w:rPr>
        <w:t>部门整体支出使用方向及主要内容、涉及的范围</w:t>
      </w:r>
    </w:p>
    <w:p>
      <w:pPr>
        <w:numPr>
          <w:ilvl w:val="-1"/>
          <w:numId w:val="0"/>
        </w:numPr>
        <w:snapToGrid w:val="0"/>
        <w:spacing w:line="520" w:lineRule="exact"/>
        <w:ind w:firstLine="640" w:firstLineChars="200"/>
        <w:rPr>
          <w:rFonts w:hint="eastAsia" w:ascii="仿宋" w:hAnsi="仿宋" w:eastAsia="仿宋" w:cs="Tahoma"/>
          <w:kern w:val="0"/>
          <w:sz w:val="32"/>
          <w:szCs w:val="32"/>
        </w:rPr>
      </w:pP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部门整体支出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中</w:t>
      </w: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基本支出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755.7万元，主要用于人员工资福利支出及一般公务支出，</w:t>
      </w:r>
      <w:r>
        <w:rPr>
          <w:rFonts w:hint="eastAsia" w:ascii="仿宋" w:hAnsi="仿宋" w:eastAsia="仿宋" w:cs="Tahoma"/>
          <w:kern w:val="0"/>
          <w:sz w:val="32"/>
          <w:szCs w:val="32"/>
        </w:rPr>
        <w:t>包含工资福利支出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648.85万</w:t>
      </w:r>
      <w:r>
        <w:rPr>
          <w:rFonts w:hint="eastAsia" w:ascii="仿宋" w:hAnsi="仿宋" w:eastAsia="仿宋" w:cs="Tahoma"/>
          <w:kern w:val="0"/>
          <w:sz w:val="32"/>
          <w:szCs w:val="32"/>
        </w:rPr>
        <w:t>元、</w:t>
      </w: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商品服务支出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102.28万</w:t>
      </w:r>
      <w:r>
        <w:rPr>
          <w:rFonts w:hint="eastAsia" w:ascii="仿宋" w:hAnsi="仿宋" w:eastAsia="仿宋" w:cs="Tahoma"/>
          <w:kern w:val="0"/>
          <w:sz w:val="32"/>
          <w:szCs w:val="32"/>
        </w:rPr>
        <w:t>元、对个人和家庭的补助支出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2.57</w:t>
      </w:r>
      <w:r>
        <w:rPr>
          <w:rFonts w:hint="eastAsia" w:ascii="仿宋" w:hAnsi="仿宋" w:eastAsia="仿宋" w:cs="Tahoma"/>
          <w:kern w:val="0"/>
          <w:sz w:val="32"/>
          <w:szCs w:val="32"/>
        </w:rPr>
        <w:t>元</w:t>
      </w: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，资本性支出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Tahoma"/>
          <w:kern w:val="0"/>
          <w:sz w:val="32"/>
          <w:szCs w:val="32"/>
        </w:rPr>
        <w:t>“三公经费”支出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2.00万</w:t>
      </w:r>
      <w:r>
        <w:rPr>
          <w:rFonts w:hint="eastAsia" w:ascii="仿宋" w:hAnsi="仿宋" w:eastAsia="仿宋" w:cs="Tahoma"/>
          <w:kern w:val="0"/>
          <w:sz w:val="32"/>
          <w:szCs w:val="32"/>
        </w:rPr>
        <w:t>元，</w:t>
      </w: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其中公务接待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0.2万元</w:t>
      </w: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支出；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公车运行维护费用支出1.8万元，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主要是年中调整预算指标</w:t>
      </w:r>
      <w:r>
        <w:rPr>
          <w:rFonts w:hint="eastAsia" w:ascii="仿宋_GB2312"/>
          <w:sz w:val="32"/>
          <w:szCs w:val="32"/>
          <w:u w:val="none"/>
          <w:lang w:val="en-US" w:eastAsia="zh-CN"/>
        </w:rPr>
        <w:t>1.8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万元</w:t>
      </w:r>
      <w:r>
        <w:rPr>
          <w:rFonts w:hint="eastAsia" w:ascii="仿宋_GB2312"/>
          <w:sz w:val="32"/>
          <w:szCs w:val="32"/>
          <w:u w:val="none"/>
          <w:lang w:val="en-US" w:eastAsia="zh-CN"/>
        </w:rPr>
        <w:t>公务接待费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至公务用车购置及运行维护费</w:t>
      </w:r>
      <w:r>
        <w:rPr>
          <w:rFonts w:hint="eastAsia" w:ascii="仿宋" w:hAnsi="仿宋" w:eastAsia="仿宋" w:cs="Tahoma"/>
          <w:kern w:val="0"/>
          <w:sz w:val="32"/>
          <w:szCs w:val="32"/>
        </w:rPr>
        <w:t>。</w:t>
      </w:r>
    </w:p>
    <w:p>
      <w:pPr>
        <w:tabs>
          <w:tab w:val="left" w:pos="5175"/>
        </w:tabs>
        <w:spacing w:line="56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部门整体支出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中项目</w:t>
      </w: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支出总投入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3191.58万元，</w:t>
      </w:r>
      <w:r>
        <w:rPr>
          <w:rFonts w:hint="eastAsia" w:ascii="仿宋" w:hAnsi="仿宋" w:eastAsia="仿宋" w:cs="Tahoma"/>
          <w:kern w:val="0"/>
          <w:sz w:val="32"/>
          <w:szCs w:val="32"/>
        </w:rPr>
        <w:t>主要</w:t>
      </w: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清扫保洁专项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2000万元、县城区生活垃圾、处理转运专项550万元、垃圾场日常运行经费382.9万元、2023年非税收入执收成本171.19万元、环卫设施冲洗站、中转站建设69.5万元等</w:t>
      </w:r>
      <w:r>
        <w:rPr>
          <w:rFonts w:hint="eastAsia" w:ascii="仿宋" w:hAnsi="仿宋" w:eastAsia="仿宋" w:cs="Tahoma"/>
          <w:kern w:val="0"/>
          <w:sz w:val="32"/>
          <w:szCs w:val="32"/>
        </w:rPr>
        <w:t>各项</w:t>
      </w: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业务</w:t>
      </w:r>
      <w:r>
        <w:rPr>
          <w:rFonts w:hint="eastAsia" w:ascii="仿宋" w:hAnsi="仿宋" w:eastAsia="仿宋" w:cs="Tahoma"/>
          <w:kern w:val="0"/>
          <w:sz w:val="32"/>
          <w:szCs w:val="32"/>
        </w:rPr>
        <w:t>支出</w:t>
      </w: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tabs>
          <w:tab w:val="left" w:pos="5175"/>
        </w:tabs>
        <w:spacing w:line="560" w:lineRule="exact"/>
        <w:ind w:left="646" w:leftChars="0"/>
        <w:rPr>
          <w:rFonts w:hint="eastAsia" w:ascii="仿宋" w:hAnsi="仿宋" w:eastAsia="仿宋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eastAsia="zh-CN"/>
        </w:rPr>
        <w:t>（四）绩效目标设立情况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Tahoma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年度目标：一是确保63名干职工及60名退休职工的工资福利发放到位，按时缴纳社会保障费用；二是保质保量完成</w:t>
      </w: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本职工作；三是完成七项基础工作及县委县政府的的重点工作考核任务；四是加强城市建设，创建卫生县城。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Tahoma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中长期目标：深化城市精细化管理，逐步推进城市管理精细化向网格化、信息化纵深发展，稳步提升城市管理和服务水平。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二、部门整体支出管理及使用情况分析</w:t>
      </w:r>
    </w:p>
    <w:p>
      <w:pPr>
        <w:widowControl/>
        <w:numPr>
          <w:ilvl w:val="0"/>
          <w:numId w:val="0"/>
        </w:numPr>
        <w:spacing w:line="56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（一）基本支出</w:t>
      </w:r>
    </w:p>
    <w:p>
      <w:pPr>
        <w:numPr>
          <w:ilvl w:val="0"/>
          <w:numId w:val="2"/>
        </w:numPr>
        <w:snapToGrid w:val="0"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基本支出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主要用于人员工资福利支出及一般公务支出，我中心制定了《财务管理制度》、《财务审批内控制度》，要求首先</w:t>
      </w: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应当保证本部门履行基本职能所需要的人员经费和公用经费，对其他弹性支出和专项支出应当严格控制。 人员支出必须严格按照国家政策规定和标准，逐项核定，没有政策规定的项目，不得列支。日常公用支出预算的编制应本着节约、从俭的原则编报。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工资福利支出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648.85万</w:t>
      </w:r>
      <w:r>
        <w:rPr>
          <w:rFonts w:hint="eastAsia" w:ascii="仿宋" w:hAnsi="仿宋" w:eastAsia="仿宋" w:cs="Tahoma"/>
          <w:kern w:val="0"/>
          <w:sz w:val="32"/>
          <w:szCs w:val="32"/>
        </w:rPr>
        <w:t>元</w:t>
      </w: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、商品服务支出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102.28万</w:t>
      </w:r>
      <w:r>
        <w:rPr>
          <w:rFonts w:hint="eastAsia" w:ascii="仿宋" w:hAnsi="仿宋" w:eastAsia="仿宋" w:cs="Tahoma"/>
          <w:kern w:val="0"/>
          <w:sz w:val="32"/>
          <w:szCs w:val="32"/>
        </w:rPr>
        <w:t>元</w:t>
      </w: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、对个人和家庭的补助支出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2.57万</w:t>
      </w: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元、资本性支出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Tahoma"/>
          <w:kern w:val="0"/>
          <w:sz w:val="32"/>
          <w:szCs w:val="32"/>
        </w:rPr>
        <w:t>“三公经费”支出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2.00万</w:t>
      </w:r>
      <w:r>
        <w:rPr>
          <w:rFonts w:hint="eastAsia" w:ascii="仿宋" w:hAnsi="仿宋" w:eastAsia="仿宋" w:cs="Tahoma"/>
          <w:kern w:val="0"/>
          <w:sz w:val="32"/>
          <w:szCs w:val="32"/>
        </w:rPr>
        <w:t>元，</w:t>
      </w: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其中公务接待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0.2万元</w:t>
      </w: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支出；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公车运行维护费用支出1.8万元，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主要是年中调整预算指标</w:t>
      </w:r>
      <w:r>
        <w:rPr>
          <w:rFonts w:hint="eastAsia" w:ascii="仿宋_GB2312"/>
          <w:sz w:val="32"/>
          <w:szCs w:val="32"/>
          <w:u w:val="none"/>
          <w:lang w:val="en-US" w:eastAsia="zh-CN"/>
        </w:rPr>
        <w:t>1.8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万元</w:t>
      </w:r>
      <w:r>
        <w:rPr>
          <w:rFonts w:hint="eastAsia" w:ascii="仿宋_GB2312"/>
          <w:sz w:val="32"/>
          <w:szCs w:val="32"/>
          <w:u w:val="none"/>
          <w:lang w:val="en-US" w:eastAsia="zh-CN"/>
        </w:rPr>
        <w:t>公务接待费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至公务用车购置及运行维护费</w:t>
      </w:r>
      <w:r>
        <w:rPr>
          <w:rFonts w:hint="eastAsia" w:ascii="仿宋" w:hAnsi="仿宋" w:eastAsia="仿宋" w:cs="Tahoma"/>
          <w:kern w:val="0"/>
          <w:sz w:val="32"/>
          <w:szCs w:val="32"/>
        </w:rPr>
        <w:t>。</w:t>
      </w:r>
    </w:p>
    <w:p>
      <w:pPr>
        <w:widowControl/>
        <w:numPr>
          <w:ilvl w:val="0"/>
          <w:numId w:val="0"/>
        </w:numPr>
        <w:spacing w:line="560" w:lineRule="exact"/>
        <w:ind w:firstLine="643" w:firstLineChars="200"/>
        <w:jc w:val="left"/>
        <w:rPr>
          <w:rFonts w:hint="eastAsia" w:ascii="仿宋" w:hAnsi="仿宋" w:eastAsia="仿宋" w:cs="Tahoma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Tahoma"/>
          <w:b/>
          <w:bCs/>
          <w:kern w:val="0"/>
          <w:sz w:val="32"/>
          <w:szCs w:val="32"/>
          <w:lang w:eastAsia="zh-CN"/>
        </w:rPr>
        <w:t>（二）项目支出</w:t>
      </w:r>
      <w:r>
        <w:rPr>
          <w:rFonts w:hint="eastAsia" w:ascii="仿宋" w:hAnsi="仿宋" w:eastAsia="仿宋" w:cs="Tahoma"/>
          <w:b/>
          <w:bCs/>
          <w:kern w:val="0"/>
          <w:sz w:val="32"/>
          <w:szCs w:val="32"/>
          <w:lang w:eastAsia="zh-CN"/>
        </w:rPr>
        <w:tab/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Tahoma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1.项目资金安排落实、总投入等情况分析。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Tahoma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部门整体支出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中项目</w:t>
      </w: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支出财政资金年初预算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3176.83万元，预算调整数3191.58万元，</w:t>
      </w: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总投入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3191.58万元，</w:t>
      </w: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主要项目如下：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清扫保洁专项：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2000万元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县城区生活垃圾、处理转运专项：550万元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垃圾场日常运行经费：382.9万元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2023年非税收入执收成本：171.19万元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环卫设施冲洗站、中转站建设：69.5万元</w:t>
      </w:r>
    </w:p>
    <w:p>
      <w:pPr>
        <w:pStyle w:val="2"/>
        <w:ind w:firstLine="640"/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环卫工人节慰问表彰费：14.75万元</w:t>
      </w:r>
    </w:p>
    <w:p>
      <w:pPr>
        <w:pStyle w:val="2"/>
        <w:ind w:firstLine="640"/>
        <w:rPr>
          <w:rFonts w:hint="eastAsia" w:ascii="仿宋" w:hAnsi="仿宋" w:eastAsia="仿宋" w:cs="Tahoma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项目资金（财政资金）实际使用情况分析。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" w:hAnsi="仿宋" w:eastAsia="仿宋" w:cs="Tahoma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2023年项目资金用于支出水费3.07万元、电费47万元、维修（护）费48.84万元，委托业务费2550.56，其他商品和服务支出542.11万元。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Tahoma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项目资金管理情况分析。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Tahoma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按照我中心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《财务管理制度》、《项目资金管理办法》规定项目</w:t>
      </w: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资金支出应紧密结合单位当年主要职责任务、工作目标及事业发展设想，并充分考虑单位财力，本着实事求是，从严从紧、区别轻重缓急，急事优先的原则按序安排支出事项。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Tahoma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三、项目组织实施情况分析</w:t>
      </w:r>
    </w:p>
    <w:p>
      <w:pPr>
        <w:spacing w:line="600" w:lineRule="exact"/>
        <w:ind w:firstLine="64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1、项目组织情况分析。</w:t>
      </w:r>
    </w:p>
    <w:p>
      <w:pPr>
        <w:spacing w:line="600" w:lineRule="exact"/>
        <w:ind w:firstLine="64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根据环卫清扫保洁工作特点，将环卫清扫保洁市场化运行经费纳入我所财务会审。每月根据三级考核（局考核小组、所班子考核小组、考核督查小组）对清扫保洁质量进行评分，形成督查通报，按实际情况进行财务会审，再由财务人员按月按时结算环卫清扫保洁月承包款，由分管领导把关，单位一把手审批。</w:t>
      </w:r>
    </w:p>
    <w:p>
      <w:pPr>
        <w:widowControl/>
        <w:numPr>
          <w:ilvl w:val="0"/>
          <w:numId w:val="3"/>
        </w:numPr>
        <w:spacing w:line="594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项目管理情况分析。</w:t>
      </w:r>
    </w:p>
    <w:p>
      <w:pPr>
        <w:widowControl/>
        <w:numPr>
          <w:ilvl w:val="0"/>
          <w:numId w:val="0"/>
        </w:numPr>
        <w:spacing w:line="594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为保证项目的顺利实施，我所严格按照制定项目管理制度与财务管理制度，指定专人负责监督项目的实施过程，做到发现问题及时整改。</w:t>
      </w:r>
    </w:p>
    <w:p>
      <w:pPr>
        <w:widowControl/>
        <w:numPr>
          <w:ilvl w:val="0"/>
          <w:numId w:val="0"/>
        </w:numPr>
        <w:spacing w:line="594" w:lineRule="exact"/>
        <w:ind w:firstLine="640" w:firstLineChars="200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四、部门整体支出绩效情况分析</w:t>
      </w:r>
    </w:p>
    <w:p>
      <w:pPr>
        <w:widowControl/>
        <w:numPr>
          <w:ilvl w:val="0"/>
          <w:numId w:val="0"/>
        </w:numPr>
        <w:spacing w:line="594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根据预算绩效管理要求，我单位组织对202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年度一般公共预算项目支出全面开展绩效自评，共涉及资金</w:t>
      </w:r>
      <w:r>
        <w:rPr>
          <w:rFonts w:hint="eastAsia" w:ascii="宋体" w:hAnsi="宋体"/>
          <w:sz w:val="32"/>
          <w:szCs w:val="32"/>
          <w:lang w:val="en-US" w:eastAsia="zh-CN"/>
        </w:rPr>
        <w:t>3191.58万元</w:t>
      </w:r>
      <w:r>
        <w:rPr>
          <w:rFonts w:hint="eastAsia" w:ascii="宋体" w:hAnsi="宋体"/>
          <w:sz w:val="32"/>
          <w:szCs w:val="32"/>
        </w:rPr>
        <w:t>。组织对202</w:t>
      </w:r>
      <w:r>
        <w:rPr>
          <w:rFonts w:hint="default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年度政府性基金预算项目支出开展绩效自评，共涉及资金0 万元。组织对202</w:t>
      </w:r>
      <w:r>
        <w:rPr>
          <w:rFonts w:hint="default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 xml:space="preserve">年度国有资本经营预算项目支出开展绩效自评，共涉及资金0 万元。 </w:t>
      </w:r>
    </w:p>
    <w:p>
      <w:pPr>
        <w:widowControl/>
        <w:numPr>
          <w:ilvl w:val="0"/>
          <w:numId w:val="0"/>
        </w:numPr>
        <w:spacing w:line="594" w:lineRule="exact"/>
        <w:ind w:firstLine="640" w:firstLineChars="200"/>
      </w:pPr>
      <w:r>
        <w:rPr>
          <w:rFonts w:hint="eastAsia" w:ascii="宋体" w:hAnsi="宋体"/>
          <w:sz w:val="32"/>
          <w:szCs w:val="32"/>
        </w:rPr>
        <w:t>组织单位开展整体支出绩效评价，涉及一般公共预算支出</w:t>
      </w:r>
      <w:r>
        <w:rPr>
          <w:rFonts w:hint="eastAsia" w:ascii="宋体" w:hAnsi="宋体"/>
          <w:sz w:val="32"/>
          <w:szCs w:val="32"/>
          <w:lang w:val="en-US" w:eastAsia="zh-CN"/>
        </w:rPr>
        <w:t>3191.58万元</w:t>
      </w:r>
      <w:r>
        <w:rPr>
          <w:rFonts w:hint="eastAsia" w:ascii="宋体" w:hAnsi="宋体"/>
          <w:sz w:val="32"/>
          <w:szCs w:val="32"/>
        </w:rPr>
        <w:t>，政府性基金预算支出0万元。从评价情况来看，通过开展绩效评价，全面了解、分析清扫保洁项目资金安排的科学性、合理性和实施成效等情况，督促相关单位进一步强化财政支出绩效理念，切实优化财政资金资源配置，提高财政资金管理水平和使用效益，为后续同类项目预算安排提供决策依据，提升清扫保洁市场化管理水平。</w:t>
      </w:r>
    </w:p>
    <w:p>
      <w:pPr>
        <w:widowControl/>
        <w:spacing w:line="594" w:lineRule="exact"/>
        <w:ind w:firstLine="640" w:firstLineChars="200"/>
        <w:rPr>
          <w:kern w:val="0"/>
          <w:szCs w:val="32"/>
        </w:rPr>
      </w:pPr>
      <w:r>
        <w:rPr>
          <w:rFonts w:eastAsia="黑体"/>
          <w:bCs/>
          <w:kern w:val="0"/>
          <w:szCs w:val="32"/>
        </w:rPr>
        <w:t>五、绩效评价工作开展情况</w:t>
      </w:r>
    </w:p>
    <w:p>
      <w:pPr>
        <w:ind w:firstLine="645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（一）绩效评价的目的</w:t>
      </w:r>
    </w:p>
    <w:p>
      <w:pPr>
        <w:ind w:firstLine="645"/>
        <w:rPr>
          <w:rFonts w:hint="eastAsia"/>
          <w:szCs w:val="32"/>
          <w:lang w:eastAsia="zh-CN"/>
        </w:rPr>
      </w:pPr>
      <w:r>
        <w:rPr>
          <w:szCs w:val="32"/>
        </w:rPr>
        <w:t>为认真贯彻落实</w:t>
      </w:r>
      <w:r>
        <w:rPr>
          <w:rFonts w:hint="eastAsia"/>
          <w:szCs w:val="32"/>
          <w:lang w:eastAsia="zh-CN"/>
        </w:rPr>
        <w:t>二十</w:t>
      </w:r>
      <w:r>
        <w:rPr>
          <w:szCs w:val="32"/>
        </w:rPr>
        <w:t>大报告精神，强化财政支出绩效理念和部门责任意识，规范财政资金管理，提高财政资金使用效益，依据中央、省、市、县相关文件精神和工作要求</w:t>
      </w:r>
      <w:r>
        <w:rPr>
          <w:rFonts w:hint="eastAsia"/>
          <w:szCs w:val="32"/>
          <w:lang w:eastAsia="zh-CN"/>
        </w:rPr>
        <w:t>对年度财政资金使用情况及产生的效益进行评价。</w:t>
      </w:r>
    </w:p>
    <w:p>
      <w:pPr>
        <w:numPr>
          <w:ilvl w:val="0"/>
          <w:numId w:val="4"/>
        </w:numPr>
        <w:ind w:firstLine="645"/>
        <w:rPr>
          <w:rFonts w:hint="eastAsia"/>
          <w:szCs w:val="32"/>
          <w:lang w:eastAsia="zh-CN"/>
        </w:rPr>
      </w:pPr>
      <w:r>
        <w:rPr>
          <w:rFonts w:hint="eastAsia"/>
          <w:szCs w:val="32"/>
          <w:lang w:eastAsia="zh-CN"/>
        </w:rPr>
        <w:t>绩效评价的过程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1、成立绩效评价领导小组。组长：</w:t>
      </w:r>
      <w:r>
        <w:rPr>
          <w:rFonts w:hint="eastAsia" w:ascii="仿宋" w:hAnsi="仿宋" w:eastAsia="仿宋"/>
          <w:sz w:val="32"/>
          <w:szCs w:val="32"/>
          <w:lang w:eastAsia="zh-CN"/>
        </w:rPr>
        <w:t>贺庆</w:t>
      </w:r>
      <w:r>
        <w:rPr>
          <w:rFonts w:hint="eastAsia" w:ascii="仿宋" w:hAnsi="仿宋" w:eastAsia="仿宋"/>
          <w:sz w:val="32"/>
          <w:szCs w:val="32"/>
        </w:rPr>
        <w:t xml:space="preserve"> 副组长：</w:t>
      </w:r>
      <w:r>
        <w:rPr>
          <w:rFonts w:hint="eastAsia" w:ascii="仿宋" w:hAnsi="仿宋" w:eastAsia="仿宋"/>
          <w:sz w:val="32"/>
          <w:szCs w:val="32"/>
          <w:lang w:eastAsia="zh-CN"/>
        </w:rPr>
        <w:t>龚顺风、王朋辉、蓝荃、陈晓军；</w:t>
      </w:r>
      <w:r>
        <w:rPr>
          <w:rFonts w:hint="eastAsia" w:ascii="仿宋" w:hAnsi="仿宋" w:eastAsia="仿宋"/>
          <w:sz w:val="32"/>
          <w:szCs w:val="32"/>
        </w:rPr>
        <w:t xml:space="preserve"> 成员：</w:t>
      </w:r>
      <w:r>
        <w:rPr>
          <w:rFonts w:hint="eastAsia" w:ascii="仿宋" w:hAnsi="仿宋" w:eastAsia="仿宋"/>
          <w:sz w:val="32"/>
          <w:szCs w:val="32"/>
          <w:lang w:eastAsia="zh-CN"/>
        </w:rPr>
        <w:t>罗正贤、徐成荣、吴韶兵、曾锋及</w:t>
      </w:r>
      <w:r>
        <w:rPr>
          <w:rFonts w:hint="eastAsia" w:ascii="仿宋" w:hAnsi="仿宋" w:eastAsia="仿宋"/>
          <w:sz w:val="32"/>
          <w:szCs w:val="32"/>
        </w:rPr>
        <w:t>办公室</w:t>
      </w:r>
      <w:r>
        <w:rPr>
          <w:rFonts w:hint="eastAsia" w:ascii="仿宋" w:hAnsi="仿宋" w:eastAsia="仿宋"/>
          <w:sz w:val="32"/>
          <w:szCs w:val="32"/>
          <w:lang w:eastAsia="zh-CN"/>
        </w:rPr>
        <w:t>全部</w:t>
      </w:r>
      <w:r>
        <w:rPr>
          <w:rFonts w:hint="eastAsia" w:ascii="仿宋" w:hAnsi="仿宋" w:eastAsia="仿宋"/>
          <w:sz w:val="32"/>
          <w:szCs w:val="32"/>
        </w:rPr>
        <w:t>人员。</w:t>
      </w: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本职工作每月考核；七项基础工作、县委县政府的重点工作和其他工作按相应考核细则进行考核，由平常抽查考核和局绩效考核领导小组年终考核相结合。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2、资料收集整理。自评工作资料整理由</w:t>
      </w:r>
      <w:r>
        <w:rPr>
          <w:rFonts w:hint="eastAsia" w:ascii="仿宋" w:hAnsi="仿宋" w:eastAsia="仿宋"/>
          <w:sz w:val="32"/>
          <w:szCs w:val="32"/>
          <w:lang w:eastAsia="zh-CN"/>
        </w:rPr>
        <w:t>站</w:t>
      </w:r>
      <w:r>
        <w:rPr>
          <w:rFonts w:hint="eastAsia" w:ascii="仿宋" w:hAnsi="仿宋" w:eastAsia="仿宋"/>
          <w:sz w:val="32"/>
          <w:szCs w:val="32"/>
        </w:rPr>
        <w:t>财务室牵头，各业务股室全面配合，收集相关资料，按绩效评价指标及评分表相关内容一一对照整理成册。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3、自查自评。按照《预算绩效管理政策与业务操作手册》的文件要求，对照20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年度部门整体支出绩效评价指标及评分表的内容如实填报相关资料，作出公正、客观、真实的自评。自评分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97.5</w:t>
      </w:r>
      <w:r>
        <w:rPr>
          <w:rFonts w:hint="eastAsia" w:ascii="仿宋" w:hAnsi="仿宋" w:eastAsia="仿宋"/>
          <w:sz w:val="32"/>
          <w:szCs w:val="32"/>
        </w:rPr>
        <w:t>分。</w:t>
      </w:r>
    </w:p>
    <w:p>
      <w:pPr>
        <w:numPr>
          <w:ilvl w:val="0"/>
          <w:numId w:val="0"/>
        </w:numPr>
        <w:spacing w:line="620" w:lineRule="exact"/>
        <w:ind w:firstLine="640" w:firstLineChars="200"/>
        <w:jc w:val="both"/>
        <w:outlineLvl w:val="0"/>
        <w:rPr>
          <w:rFonts w:hint="eastAsia" w:ascii="仿宋" w:eastAsia="仿宋" w:cs="仿宋"/>
          <w:b/>
          <w:bCs/>
          <w:color w:val="000000"/>
          <w:spacing w:val="-6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</w:rPr>
        <w:t>4、上报审核。</w:t>
      </w:r>
      <w:r>
        <w:rPr>
          <w:rFonts w:hint="eastAsia" w:ascii="仿宋" w:hAnsi="仿宋" w:eastAsia="仿宋"/>
          <w:sz w:val="32"/>
          <w:szCs w:val="32"/>
          <w:lang w:eastAsia="zh-CN"/>
        </w:rPr>
        <w:t>中心</w:t>
      </w:r>
      <w:r>
        <w:rPr>
          <w:rFonts w:hint="eastAsia" w:ascii="仿宋" w:hAnsi="仿宋" w:eastAsia="仿宋"/>
          <w:sz w:val="32"/>
          <w:szCs w:val="32"/>
        </w:rPr>
        <w:t>财务室工作人员按时上报相关自评资料，对上报资料跟进，及时反馈县财政局提出的审查意见，根据审查结果认真分析工作中存在的不足，进行整改，并对来年财政部门预算编制计划提出建议和意见。</w:t>
      </w:r>
    </w:p>
    <w:p>
      <w:pPr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六、存在的主要问题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/>
          <w:sz w:val="32"/>
          <w:szCs w:val="32"/>
          <w:lang w:eastAsia="zh-CN"/>
        </w:rPr>
        <w:t>中心</w:t>
      </w:r>
      <w:r>
        <w:rPr>
          <w:rFonts w:hint="eastAsia" w:ascii="仿宋_GB2312" w:eastAsia="仿宋_GB2312"/>
          <w:sz w:val="32"/>
          <w:szCs w:val="32"/>
        </w:rPr>
        <w:t>在经费保障方面一直得到了县政府及县财政的大力支持与关怀，但随着工作的深入开展，各项支出的增加，经费短缺的矛盾越来越突出，严重影响到我</w:t>
      </w:r>
      <w:r>
        <w:rPr>
          <w:rFonts w:hint="eastAsia" w:ascii="仿宋_GB2312"/>
          <w:sz w:val="32"/>
          <w:szCs w:val="32"/>
          <w:lang w:eastAsia="zh-CN"/>
        </w:rPr>
        <w:t>中心</w:t>
      </w:r>
      <w:r>
        <w:rPr>
          <w:rFonts w:hint="eastAsia" w:ascii="仿宋_GB2312" w:eastAsia="仿宋_GB2312"/>
          <w:sz w:val="32"/>
          <w:szCs w:val="32"/>
        </w:rPr>
        <w:t>工作的正常开展。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通过自查存在的问题:一是项目资金不足；二是项目实施过程中尚有不足之处，主要是项目管理机制还不够完善，有待进一步加强。针对我</w:t>
      </w:r>
      <w:r>
        <w:rPr>
          <w:rFonts w:hint="eastAsia"/>
          <w:lang w:eastAsia="zh-CN"/>
        </w:rPr>
        <w:t>中心</w:t>
      </w:r>
      <w:r>
        <w:rPr>
          <w:rFonts w:hint="eastAsia"/>
        </w:rPr>
        <w:t>项目资金不足的问题，殷切期盼</w:t>
      </w:r>
      <w:r>
        <w:rPr>
          <w:rFonts w:hint="eastAsia"/>
          <w:lang w:eastAsia="zh-CN"/>
        </w:rPr>
        <w:t>县</w:t>
      </w:r>
      <w:r>
        <w:rPr>
          <w:rFonts w:hint="eastAsia"/>
        </w:rPr>
        <w:t>委</w:t>
      </w:r>
      <w:r>
        <w:rPr>
          <w:rFonts w:hint="eastAsia"/>
          <w:lang w:eastAsia="zh-CN"/>
        </w:rPr>
        <w:t>县</w:t>
      </w:r>
      <w:r>
        <w:rPr>
          <w:rFonts w:hint="eastAsia"/>
        </w:rPr>
        <w:t>政府、</w:t>
      </w:r>
      <w:r>
        <w:rPr>
          <w:rFonts w:hint="eastAsia"/>
          <w:lang w:eastAsia="zh-CN"/>
        </w:rPr>
        <w:t>县</w:t>
      </w:r>
      <w:r>
        <w:rPr>
          <w:rFonts w:hint="eastAsia"/>
        </w:rPr>
        <w:t>财政局等各级部门在人力、物力、财力上能给予大力扶持，在核定下年部门预算收支时充分考虑我</w:t>
      </w:r>
      <w:r>
        <w:rPr>
          <w:rFonts w:hint="eastAsia"/>
          <w:lang w:eastAsia="zh-CN"/>
        </w:rPr>
        <w:t>中心</w:t>
      </w:r>
      <w:r>
        <w:rPr>
          <w:rFonts w:hint="eastAsia"/>
        </w:rPr>
        <w:t>资金短缺的问题，使我</w:t>
      </w:r>
      <w:r>
        <w:rPr>
          <w:rFonts w:hint="eastAsia"/>
          <w:lang w:eastAsia="zh-CN"/>
        </w:rPr>
        <w:t>中心</w:t>
      </w:r>
      <w:r>
        <w:rPr>
          <w:rFonts w:hint="eastAsia"/>
        </w:rPr>
        <w:t>能够按照</w:t>
      </w:r>
      <w:r>
        <w:rPr>
          <w:rFonts w:hint="eastAsia"/>
          <w:lang w:eastAsia="zh-CN"/>
        </w:rPr>
        <w:t>县</w:t>
      </w:r>
      <w:r>
        <w:rPr>
          <w:rFonts w:hint="eastAsia"/>
        </w:rPr>
        <w:t>委</w:t>
      </w:r>
      <w:r>
        <w:rPr>
          <w:rFonts w:hint="eastAsia"/>
          <w:lang w:eastAsia="zh-CN"/>
        </w:rPr>
        <w:t>县</w:t>
      </w:r>
      <w:r>
        <w:rPr>
          <w:rFonts w:hint="eastAsia"/>
        </w:rPr>
        <w:t>政府对城乡建设工作的总体要求，实现“建美丽</w:t>
      </w:r>
      <w:r>
        <w:rPr>
          <w:rFonts w:hint="eastAsia"/>
          <w:lang w:eastAsia="zh-CN"/>
        </w:rPr>
        <w:t>桃江</w:t>
      </w:r>
      <w:r>
        <w:rPr>
          <w:rFonts w:hint="eastAsia"/>
        </w:rPr>
        <w:t xml:space="preserve"> 做幸福</w:t>
      </w:r>
      <w:r>
        <w:rPr>
          <w:rFonts w:hint="eastAsia"/>
          <w:lang w:eastAsia="zh-CN"/>
        </w:rPr>
        <w:t>桃江</w:t>
      </w:r>
      <w:r>
        <w:rPr>
          <w:rFonts w:hint="eastAsia"/>
        </w:rPr>
        <w:t>人”的总体目标。针对项目管理存在的问题，我</w:t>
      </w:r>
      <w:r>
        <w:rPr>
          <w:rFonts w:hint="eastAsia"/>
          <w:lang w:eastAsia="zh-CN"/>
        </w:rPr>
        <w:t>中心</w:t>
      </w:r>
      <w:r>
        <w:rPr>
          <w:rFonts w:hint="eastAsia"/>
        </w:rPr>
        <w:t>将严格履行基本建设程序，通过制度建设，创新机制，规范管理，进一步完善现有的管理办法，逐步建立管理规范、运行有序的管理机制。</w:t>
      </w:r>
    </w:p>
    <w:p>
      <w:pPr>
        <w:ind w:firstLine="640" w:firstLineChars="200"/>
        <w:rPr>
          <w:rFonts w:hint="eastAsia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桃江县</w:t>
      </w:r>
      <w:r>
        <w:rPr>
          <w:rFonts w:hint="eastAsia" w:ascii="仿宋_GB2312"/>
          <w:sz w:val="32"/>
          <w:szCs w:val="32"/>
          <w:lang w:eastAsia="zh-CN"/>
        </w:rPr>
        <w:t>环境卫生服务中心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640" w:firstLineChars="20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B3A686"/>
    <w:multiLevelType w:val="singleLevel"/>
    <w:tmpl w:val="FAB3A686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28F1159"/>
    <w:multiLevelType w:val="singleLevel"/>
    <w:tmpl w:val="228F1159"/>
    <w:lvl w:ilvl="0" w:tentative="0">
      <w:start w:val="3"/>
      <w:numFmt w:val="chineseCounting"/>
      <w:suff w:val="nothing"/>
      <w:lvlText w:val="（%1）"/>
      <w:lvlJc w:val="left"/>
      <w:pPr>
        <w:ind w:left="6"/>
      </w:pPr>
      <w:rPr>
        <w:rFonts w:hint="eastAsia"/>
      </w:rPr>
    </w:lvl>
  </w:abstractNum>
  <w:abstractNum w:abstractNumId="2">
    <w:nsid w:val="38C610C2"/>
    <w:multiLevelType w:val="singleLevel"/>
    <w:tmpl w:val="38C610C2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E65D4C3"/>
    <w:multiLevelType w:val="singleLevel"/>
    <w:tmpl w:val="5E65D4C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MjExODhhYjkyZDhhMmViMjIwYThiNmZmYTk0OTUifQ=="/>
  </w:docVars>
  <w:rsids>
    <w:rsidRoot w:val="00000000"/>
    <w:rsid w:val="05C8179F"/>
    <w:rsid w:val="33EB63F4"/>
    <w:rsid w:val="4DDE399F"/>
    <w:rsid w:val="57C8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77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2024-04-18T06:44:00Z</dcterms:created>
  <dc:creator>Administrator</dc:creator>
  <cp:lastModifiedBy>爱你</cp:lastModifiedBy>
  <dcterms:modified xsi:type="dcterms:W3CDTF">2024-05-08T02:03:17Z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B7B567B4F771456091198F81772984FA_12</vt:lpwstr>
  </property>
</Properties>
</file>