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桃江县2023年度部门整体支出绩效评价</w:t>
      </w:r>
    </w:p>
    <w:p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基础数据表</w:t>
      </w:r>
    </w:p>
    <w:tbl>
      <w:tblPr>
        <w:tblStyle w:val="3"/>
        <w:tblpPr w:leftFromText="180" w:rightFromText="180" w:vertAnchor="text" w:horzAnchor="page" w:tblpXSpec="center" w:tblpY="181"/>
        <w:tblOverlap w:val="never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4"/>
        <w:gridCol w:w="1180"/>
        <w:gridCol w:w="880"/>
        <w:gridCol w:w="1100"/>
        <w:gridCol w:w="1100"/>
        <w:gridCol w:w="1060"/>
        <w:gridCol w:w="12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财政供养人员情况（人）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编制数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2023年实际在职人数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经费控制情况（万元）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2022年决算数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2023年预算数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三公经费：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1、公务用车购置和维护经费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17980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 公车购置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1440" w:firstLineChars="6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公车运行维护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2、出国经费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3、公务接待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项目支出：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3994.71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3191.58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3191.58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1、业务工作经费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2、运行维护经费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3994.71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3191.58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3191.58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公用经费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98.50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104.28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104.28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其中：办公经费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12.98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水费、电费、差旅费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7.68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会议费、培训费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2.54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1.48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政府采购金额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部门基本支出预算调整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楼堂馆所控制情况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（2023年完工项目）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批复规模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（m²）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实际规模（m²）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规  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预算投资（万元）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实际投资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（万元）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投资概算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厉行节约保障措施</w:t>
            </w:r>
          </w:p>
        </w:tc>
        <w:tc>
          <w:tcPr>
            <w:tcW w:w="6603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lang w:eastAsia="zh-CN"/>
              </w:rPr>
              <w:t>对各类开支项目进行严格分类与控制，力求做到合理，经济。</w:t>
            </w:r>
          </w:p>
        </w:tc>
      </w:tr>
    </w:tbl>
    <w:p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说明：</w:t>
      </w:r>
      <w:r>
        <w:rPr>
          <w:rFonts w:eastAsia="宋体"/>
          <w:kern w:val="0"/>
          <w:sz w:val="21"/>
          <w:szCs w:val="21"/>
        </w:rPr>
        <w:t xml:space="preserve"> “</w:t>
      </w:r>
      <w:r>
        <w:rPr>
          <w:rFonts w:hAnsi="宋体" w:eastAsia="宋体"/>
          <w:kern w:val="0"/>
          <w:sz w:val="21"/>
          <w:szCs w:val="21"/>
        </w:rPr>
        <w:t>项目支出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需要填报基本支出以外的所有项目支出情况，</w:t>
      </w:r>
      <w:r>
        <w:rPr>
          <w:rFonts w:eastAsia="宋体"/>
          <w:kern w:val="0"/>
          <w:sz w:val="21"/>
          <w:szCs w:val="21"/>
        </w:rPr>
        <w:t>“</w:t>
      </w:r>
      <w:r>
        <w:rPr>
          <w:rFonts w:hAnsi="宋体" w:eastAsia="宋体"/>
          <w:kern w:val="0"/>
          <w:sz w:val="21"/>
          <w:szCs w:val="21"/>
        </w:rPr>
        <w:t>公用经费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填报基本支出中的一般商品和服务支出。</w:t>
      </w:r>
    </w:p>
    <w:p>
      <w:pPr>
        <w:autoSpaceDE w:val="0"/>
        <w:autoSpaceDN w:val="0"/>
        <w:spacing w:before="20" w:line="340" w:lineRule="atLeast"/>
        <w:ind w:firstLine="630" w:firstLineChars="300"/>
        <w:rPr>
          <w:rFonts w:eastAsia="宋体"/>
          <w:kern w:val="0"/>
          <w:sz w:val="21"/>
          <w:szCs w:val="21"/>
        </w:rPr>
      </w:pPr>
    </w:p>
    <w:p>
      <w:pPr>
        <w:autoSpaceDE w:val="0"/>
        <w:autoSpaceDN w:val="0"/>
        <w:spacing w:before="20" w:line="340" w:lineRule="atLeast"/>
        <w:rPr>
          <w:rFonts w:hint="eastAsia" w:eastAsia="宋体"/>
          <w:color w:val="000000"/>
          <w:kern w:val="0"/>
          <w:sz w:val="21"/>
          <w:szCs w:val="21"/>
          <w:lang w:eastAsia="zh-CN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hint="eastAsia" w:eastAsia="宋体"/>
          <w:kern w:val="0"/>
          <w:sz w:val="21"/>
          <w:szCs w:val="21"/>
          <w:lang w:eastAsia="zh-CN"/>
        </w:rPr>
        <w:t>曾锋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2024.04.09</w:t>
      </w:r>
      <w:r>
        <w:rPr>
          <w:rFonts w:eastAsia="宋体"/>
          <w:kern w:val="0"/>
          <w:sz w:val="21"/>
          <w:szCs w:val="21"/>
        </w:rPr>
        <w:t xml:space="preserve">   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13607378772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单位负责人签字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：贺庆</w:t>
      </w:r>
    </w:p>
    <w:p>
      <w:pPr>
        <w:jc w:val="left"/>
        <w:rPr>
          <w:rFonts w:eastAsia="黑体"/>
          <w:bCs/>
          <w:kern w:val="0"/>
          <w:szCs w:val="32"/>
        </w:rPr>
      </w:pPr>
    </w:p>
    <w:p>
      <w:pPr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桃江县2023年度部门整体支出绩效自评表</w:t>
      </w:r>
    </w:p>
    <w:tbl>
      <w:tblPr>
        <w:tblStyle w:val="3"/>
        <w:tblpPr w:leftFromText="180" w:rightFromText="180" w:vertAnchor="text" w:horzAnchor="page" w:tblpXSpec="center" w:tblpY="111"/>
        <w:tblOverlap w:val="never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080"/>
        <w:gridCol w:w="1363"/>
        <w:gridCol w:w="1260"/>
        <w:gridCol w:w="1320"/>
        <w:gridCol w:w="1260"/>
        <w:gridCol w:w="720"/>
        <w:gridCol w:w="86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42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县级预算部门、单位名称</w:t>
            </w:r>
          </w:p>
        </w:tc>
        <w:tc>
          <w:tcPr>
            <w:tcW w:w="68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桃江县环境卫生服务中心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年度预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算申请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3932.54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3947.28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3947.28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按收入性质分：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3947.28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按支出性质分：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3947.28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3947.28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755.7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3191.58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纳入专户管理的非税收入拨款：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确保财政资金得到合理、高效利用、减少浪费和闲置，提高县城环境卫生清扫保洁项目的投资回报率。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一是确保63名干职工及60名退休职工的工资福利发放到位，按时缴纳社会保障费用；二是保质保量完成本职工作；三是完成七项基础工作及县委县政府的的重点工作考核任务；四是加强城区卫生清扫，创建卫生县城；五是做好垃圾的收集、运输、中转处置工作；六是巩固提升垃圾分类治理工作，有效改善人居生态环境；七是做好环卫作业车辆的管理，达到城市管理的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9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（50分）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清扫保洁完成率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3234971.95</w:t>
            </w: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3234971.95</w:t>
            </w: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清扫督查合格率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3次/每天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3次/每天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清扫响应时间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3次/每天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3次/每天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部门预算</w:t>
            </w: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3947.28万元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3947.28万元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经济效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环卫设施资产利用率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社会效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打造民主美好环境</w:t>
            </w: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95%以上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生态环境改善度</w:t>
            </w: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95%以上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可持续影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响指标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环卫设施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服务对象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市民满意度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95%以上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6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97.5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before="20" w:line="340" w:lineRule="atLeast"/>
        <w:rPr>
          <w:rFonts w:hint="eastAsia" w:eastAsia="宋体"/>
          <w:color w:val="000000"/>
          <w:kern w:val="0"/>
          <w:sz w:val="21"/>
          <w:szCs w:val="21"/>
          <w:lang w:eastAsia="zh-CN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hint="eastAsia" w:eastAsia="宋体"/>
          <w:kern w:val="0"/>
          <w:sz w:val="21"/>
          <w:szCs w:val="21"/>
          <w:lang w:eastAsia="zh-CN"/>
        </w:rPr>
        <w:t>曾锋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2024.04.09</w:t>
      </w:r>
      <w:r>
        <w:rPr>
          <w:rFonts w:eastAsia="宋体"/>
          <w:kern w:val="0"/>
          <w:sz w:val="21"/>
          <w:szCs w:val="21"/>
        </w:rPr>
        <w:t xml:space="preserve">   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13607378772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单位负责人签字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：贺庆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jExODhhYjkyZDhhMmViMjIwYThiNmZmYTk0OTUifQ=="/>
  </w:docVars>
  <w:rsids>
    <w:rsidRoot w:val="00000000"/>
    <w:rsid w:val="4492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2024-04-17T02:03:01Z</dcterms:created>
  <dc:creator>Administrator</dc:creator>
  <cp:lastModifiedBy>爱你</cp:lastModifiedBy>
  <dcterms:modified xsi:type="dcterms:W3CDTF">2024-04-17T02:03:29Z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9EAC205DB8A54D2B9C98A7B3DD476202_12</vt:lpwstr>
  </property>
</Properties>
</file>