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256F" w14:textId="4C53E0FE" w:rsidR="00B10CFB" w:rsidRDefault="00000000">
      <w:pPr>
        <w:jc w:val="center"/>
        <w:rPr>
          <w:rFonts w:eastAsia="仿宋_GB2312"/>
          <w:b/>
          <w:bCs/>
          <w:sz w:val="28"/>
          <w:szCs w:val="28"/>
        </w:rPr>
      </w:pPr>
      <w:r>
        <w:rPr>
          <w:rFonts w:ascii="仿宋" w:eastAsia="仿宋" w:hAnsi="仿宋" w:cs="仿宋" w:hint="eastAsia"/>
          <w:b/>
          <w:sz w:val="46"/>
          <w:szCs w:val="46"/>
        </w:rPr>
        <w:t>桃江县灰山港镇中心学校</w:t>
      </w:r>
      <w:r w:rsidR="00DC0AF3">
        <w:rPr>
          <w:rFonts w:ascii="仿宋" w:eastAsia="仿宋" w:hAnsi="仿宋" w:cs="仿宋" w:hint="eastAsia"/>
          <w:b/>
          <w:sz w:val="46"/>
          <w:szCs w:val="46"/>
        </w:rPr>
        <w:t>2023</w:t>
      </w:r>
      <w:r>
        <w:rPr>
          <w:rFonts w:ascii="仿宋" w:eastAsia="仿宋" w:hAnsi="仿宋" w:cs="仿宋" w:hint="eastAsia"/>
          <w:b/>
          <w:sz w:val="46"/>
          <w:szCs w:val="46"/>
        </w:rPr>
        <w:t>年项目支出绩效评价报告综述</w:t>
      </w:r>
    </w:p>
    <w:p w14:paraId="3D8FC647" w14:textId="77777777" w:rsidR="00B10CFB" w:rsidRDefault="00B10CFB">
      <w:pPr>
        <w:spacing w:line="440" w:lineRule="exact"/>
        <w:ind w:firstLineChars="200" w:firstLine="640"/>
        <w:rPr>
          <w:rFonts w:eastAsia="仿宋_GB2312"/>
          <w:sz w:val="32"/>
          <w:szCs w:val="32"/>
        </w:rPr>
      </w:pPr>
    </w:p>
    <w:p w14:paraId="4FB6590D" w14:textId="77777777" w:rsidR="00B10CFB" w:rsidRDefault="00000000">
      <w:pPr>
        <w:spacing w:line="300" w:lineRule="auto"/>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（一）项目基本概况</w:t>
      </w:r>
    </w:p>
    <w:p w14:paraId="14688DD7" w14:textId="77777777" w:rsidR="0037208A" w:rsidRDefault="00DC0AF3" w:rsidP="0037208A">
      <w:pPr>
        <w:pStyle w:val="a3"/>
        <w:widowControl/>
        <w:shd w:val="clear" w:color="auto" w:fill="FFFFFF"/>
        <w:spacing w:beforeAutospacing="0" w:afterAutospacing="0" w:line="360" w:lineRule="auto"/>
        <w:ind w:firstLineChars="200" w:firstLine="560"/>
        <w:jc w:val="both"/>
        <w:rPr>
          <w:rFonts w:ascii="仿宋" w:eastAsia="仿宋" w:hAnsi="仿宋" w:cs="仿宋" w:hint="eastAsia"/>
          <w:color w:val="000000"/>
          <w:sz w:val="28"/>
          <w:szCs w:val="28"/>
          <w:shd w:val="clear" w:color="auto" w:fill="FFFFFF"/>
        </w:rPr>
      </w:pPr>
      <w:r>
        <w:rPr>
          <w:rFonts w:ascii="仿宋" w:eastAsia="仿宋" w:hAnsi="仿宋" w:cs="仿宋" w:hint="eastAsia"/>
          <w:color w:val="000000"/>
          <w:sz w:val="28"/>
          <w:szCs w:val="28"/>
          <w:shd w:val="clear" w:color="auto" w:fill="FFFFFF"/>
        </w:rPr>
        <w:t>2023年我单位有编制611人。内部机构包括</w:t>
      </w:r>
      <w:r w:rsidR="00A62AC5">
        <w:rPr>
          <w:rFonts w:ascii="仿宋" w:eastAsia="仿宋" w:hAnsi="仿宋" w:cs="仿宋" w:hint="eastAsia"/>
          <w:color w:val="000000"/>
          <w:sz w:val="28"/>
          <w:szCs w:val="28"/>
          <w:shd w:val="clear" w:color="auto" w:fill="FFFFFF"/>
        </w:rPr>
        <w:t>5</w:t>
      </w:r>
      <w:r>
        <w:rPr>
          <w:rFonts w:ascii="仿宋" w:eastAsia="仿宋" w:hAnsi="仿宋" w:cs="仿宋" w:hint="eastAsia"/>
          <w:color w:val="000000"/>
          <w:sz w:val="28"/>
          <w:szCs w:val="28"/>
          <w:shd w:val="clear" w:color="auto" w:fill="FFFFFF"/>
        </w:rPr>
        <w:t>个科室。桃江县灰山港镇中心学校2023年部门决算汇总公开单位构成包括：1、桃江县灰山港镇中心学校； 2、桃江县灰山港镇中学； 3、桃江县灰山港镇第二初级中学； 4、桃江县灰山港镇金沙洲中学； 5、桃江县灰山港镇河溪水中学； 6、桃江县灰山港镇源嘉桥中学； 7、桃江县灰山港镇向阳花学校； 8、桃江县灰山港镇紫荆花小学； 9、桃江县灰山港镇甘泉山小学； 10、桃江县灰山港镇绿稼湾小学； 11、桃江县灰山港镇河溪水小学； 12、桃江县灰山港镇源嘉桥小学； 13、桃江县灰山港镇滩口上小学； 14、桃江县灰山港镇万功塘小学； 16、桃江县灰山港镇天子坡小学； 17、桃江县灰山港镇檀树塘小学； 18、桃江县灰山港镇澄泉湾小学； 19、桃江县灰山港镇完全小学； 20、桃江县灰山港镇雪峰山教学点； 21、桃江县灰山港镇苍场湾教学点； 22、桃江县灰山港镇第二中心幼儿园； 23、桃江县灰山港镇卫星幼儿园； 24、桃江县灰山港镇雪峰山幼儿园； 25、桃江县灰山港镇连河冲幼儿园。我单位从事的工作包括组织实施教育有关法律法规；研究制定本区域义务教育改革和教育事业发展计划，按照上级要求和部署，进行本校党建、宣传、群团和精神文明工作。负责本校党的政治、思想、组织建设和党员管理及组织发展工作，研究学校党建政策和理</w:t>
      </w:r>
      <w:r>
        <w:rPr>
          <w:rFonts w:ascii="仿宋" w:eastAsia="仿宋" w:hAnsi="仿宋" w:cs="仿宋" w:hint="eastAsia"/>
          <w:color w:val="000000"/>
          <w:sz w:val="28"/>
          <w:szCs w:val="28"/>
          <w:shd w:val="clear" w:color="auto" w:fill="FFFFFF"/>
        </w:rPr>
        <w:lastRenderedPageBreak/>
        <w:t>论，承担区域内义务教育阶段、学前教育阶段教育教学和学校管理工作，落实本校招生计划，统筹规划本校教师队伍建设，负责本校教育人才交流管理与服务工作，职称评聘工作，各类学校思想政治工作和德育工作，执行有关教育工作法律、法规、政策的情况，负责本校教育教学研究和各类教育质量评估工作，统筹指导和协调本校安全和稳定工作和完成上级领导小组交办的其他工作。</w:t>
      </w:r>
      <w:r w:rsidR="0037208A">
        <w:rPr>
          <w:rFonts w:ascii="仿宋" w:eastAsia="仿宋" w:hAnsi="仿宋" w:cs="仿宋" w:hint="eastAsia"/>
          <w:color w:val="000000"/>
          <w:sz w:val="28"/>
          <w:szCs w:val="28"/>
          <w:shd w:val="clear" w:color="auto" w:fill="FFFFFF"/>
        </w:rPr>
        <w:t>1-12月其一般公共预算财政拨款收入10314.63万元，基本支出9602.93万元，项目支出711.7万元。</w:t>
      </w:r>
    </w:p>
    <w:p w14:paraId="3D2D142F" w14:textId="0A16214A" w:rsidR="00B10CFB" w:rsidRDefault="00000000" w:rsidP="0037208A">
      <w:pPr>
        <w:pStyle w:val="a3"/>
        <w:widowControl/>
        <w:shd w:val="clear" w:color="auto" w:fill="FFFFFF"/>
        <w:spacing w:beforeAutospacing="0" w:afterAutospacing="0" w:line="360" w:lineRule="auto"/>
        <w:ind w:firstLineChars="200" w:firstLine="562"/>
        <w:jc w:val="both"/>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主要内容及资金使用情况</w:t>
      </w:r>
    </w:p>
    <w:p w14:paraId="056C337B" w14:textId="186973FD" w:rsidR="00B10CFB" w:rsidRDefault="00000000">
      <w:pPr>
        <w:spacing w:line="300" w:lineRule="auto"/>
        <w:ind w:firstLineChars="200" w:firstLine="560"/>
        <w:rPr>
          <w:rFonts w:asciiTheme="minorEastAsia" w:eastAsiaTheme="minorEastAsia" w:hAnsiTheme="minorEastAsia" w:cstheme="minorEastAsia" w:hint="eastAsia"/>
          <w:color w:val="000000"/>
          <w:kern w:val="0"/>
          <w:sz w:val="28"/>
          <w:szCs w:val="28"/>
          <w:shd w:val="clear" w:color="auto" w:fill="FFFFFF"/>
          <w:lang w:bidi="ar"/>
        </w:rPr>
      </w:pPr>
      <w:r>
        <w:rPr>
          <w:rFonts w:ascii="仿宋" w:eastAsia="仿宋" w:hAnsi="仿宋" w:cs="仿宋" w:hint="eastAsia"/>
          <w:color w:val="000000"/>
          <w:sz w:val="28"/>
          <w:szCs w:val="28"/>
          <w:shd w:val="clear" w:color="auto" w:fill="FFFFFF"/>
        </w:rPr>
        <w:t>主要用于</w:t>
      </w:r>
      <w:r w:rsidR="00E41A9F">
        <w:rPr>
          <w:rFonts w:ascii="仿宋" w:eastAsia="仿宋" w:hAnsi="仿宋" w:cs="仿宋" w:hint="eastAsia"/>
          <w:color w:val="000000"/>
          <w:sz w:val="28"/>
          <w:szCs w:val="28"/>
          <w:shd w:val="clear" w:color="auto" w:fill="FFFFFF"/>
        </w:rPr>
        <w:t>校舍维修、改扩建项目等</w:t>
      </w:r>
      <w:r>
        <w:rPr>
          <w:rFonts w:ascii="仿宋" w:eastAsia="仿宋" w:hAnsi="仿宋" w:cs="仿宋" w:hint="eastAsia"/>
          <w:color w:val="000000"/>
          <w:sz w:val="28"/>
          <w:szCs w:val="28"/>
          <w:shd w:val="clear" w:color="auto" w:fill="FFFFFF"/>
        </w:rPr>
        <w:t>，共计</w:t>
      </w:r>
      <w:r w:rsidR="00E41A9F">
        <w:rPr>
          <w:rFonts w:ascii="仿宋" w:eastAsia="仿宋" w:hAnsi="仿宋" w:cs="仿宋" w:hint="eastAsia"/>
          <w:color w:val="000000"/>
          <w:sz w:val="28"/>
          <w:szCs w:val="28"/>
          <w:shd w:val="clear" w:color="auto" w:fill="FFFFFF"/>
        </w:rPr>
        <w:t>711.7</w:t>
      </w:r>
      <w:r>
        <w:rPr>
          <w:rFonts w:ascii="仿宋" w:eastAsia="仿宋" w:hAnsi="仿宋" w:cs="仿宋" w:hint="eastAsia"/>
          <w:color w:val="000000"/>
          <w:sz w:val="28"/>
          <w:szCs w:val="28"/>
          <w:shd w:val="clear" w:color="auto" w:fill="FFFFFF"/>
        </w:rPr>
        <w:t>万元</w:t>
      </w:r>
      <w:r>
        <w:rPr>
          <w:rFonts w:asciiTheme="minorEastAsia" w:eastAsiaTheme="minorEastAsia" w:hAnsiTheme="minorEastAsia" w:cstheme="minorEastAsia" w:hint="eastAsia"/>
          <w:color w:val="000000"/>
          <w:kern w:val="0"/>
          <w:sz w:val="28"/>
          <w:szCs w:val="28"/>
          <w:shd w:val="clear" w:color="auto" w:fill="FFFFFF"/>
          <w:lang w:bidi="ar"/>
        </w:rPr>
        <w:t>。</w:t>
      </w:r>
    </w:p>
    <w:p w14:paraId="22FFB872" w14:textId="77777777" w:rsidR="00B10CFB" w:rsidRDefault="00000000">
      <w:pPr>
        <w:pStyle w:val="a3"/>
        <w:widowControl/>
        <w:numPr>
          <w:ilvl w:val="0"/>
          <w:numId w:val="2"/>
        </w:numPr>
        <w:shd w:val="clear" w:color="auto" w:fill="FFFFFF"/>
        <w:spacing w:beforeAutospacing="0" w:afterAutospacing="0" w:line="300" w:lineRule="auto"/>
        <w:ind w:firstLineChars="200" w:firstLine="562"/>
        <w:jc w:val="both"/>
        <w:rPr>
          <w:rFonts w:asciiTheme="minorEastAsia" w:eastAsiaTheme="minorEastAsia" w:hAnsiTheme="minorEastAsia" w:cstheme="minorEastAsia" w:hint="eastAsia"/>
          <w:b/>
          <w:bCs/>
          <w:kern w:val="2"/>
          <w:sz w:val="28"/>
          <w:szCs w:val="28"/>
        </w:rPr>
      </w:pPr>
      <w:r>
        <w:rPr>
          <w:rFonts w:asciiTheme="minorEastAsia" w:eastAsiaTheme="minorEastAsia" w:hAnsiTheme="minorEastAsia" w:cstheme="minorEastAsia" w:hint="eastAsia"/>
          <w:b/>
          <w:bCs/>
          <w:kern w:val="2"/>
          <w:sz w:val="28"/>
          <w:szCs w:val="28"/>
        </w:rPr>
        <w:t>项目组织实施情况</w:t>
      </w:r>
    </w:p>
    <w:p w14:paraId="4753C12F" w14:textId="77777777" w:rsidR="00B10CFB" w:rsidRDefault="00000000">
      <w:pPr>
        <w:pStyle w:val="a3"/>
        <w:widowControl/>
        <w:shd w:val="clear" w:color="auto" w:fill="FFFFFF"/>
        <w:spacing w:beforeAutospacing="0" w:afterAutospacing="0" w:line="300" w:lineRule="auto"/>
        <w:ind w:firstLineChars="200" w:firstLine="560"/>
        <w:jc w:val="both"/>
        <w:rPr>
          <w:rFonts w:ascii="仿宋" w:eastAsia="仿宋" w:hAnsi="仿宋" w:cs="仿宋" w:hint="eastAsia"/>
          <w:color w:val="000000"/>
          <w:sz w:val="28"/>
          <w:szCs w:val="28"/>
        </w:rPr>
      </w:pPr>
      <w:r>
        <w:rPr>
          <w:rFonts w:ascii="仿宋" w:eastAsia="仿宋" w:hAnsi="仿宋" w:cs="仿宋" w:hint="eastAsia"/>
          <w:color w:val="000000"/>
          <w:sz w:val="28"/>
          <w:szCs w:val="28"/>
          <w:shd w:val="clear" w:color="auto" w:fill="FFFFFF"/>
        </w:rPr>
        <w:t>在部门资金使用过程中，我单位紧紧围绕县委县政府的中心工作，加强管理，使项目实施组织有序，质量标准较高，时间进度较快。主要体现在：</w:t>
      </w:r>
    </w:p>
    <w:p w14:paraId="732704C2" w14:textId="77777777" w:rsidR="00B10CFB" w:rsidRDefault="00000000">
      <w:pPr>
        <w:pStyle w:val="a3"/>
        <w:widowControl/>
        <w:shd w:val="clear" w:color="auto" w:fill="FFFFFF"/>
        <w:spacing w:beforeAutospacing="0" w:afterAutospacing="0" w:line="300" w:lineRule="auto"/>
        <w:ind w:firstLineChars="200" w:firstLine="560"/>
        <w:jc w:val="both"/>
        <w:rPr>
          <w:rFonts w:ascii="仿宋" w:eastAsia="仿宋" w:hAnsi="仿宋" w:cs="仿宋" w:hint="eastAsia"/>
          <w:color w:val="000000"/>
          <w:sz w:val="28"/>
          <w:szCs w:val="28"/>
        </w:rPr>
      </w:pPr>
      <w:r>
        <w:rPr>
          <w:rFonts w:ascii="仿宋" w:eastAsia="仿宋" w:hAnsi="仿宋" w:cs="仿宋" w:hint="eastAsia"/>
          <w:color w:val="000000"/>
          <w:sz w:val="28"/>
          <w:szCs w:val="28"/>
          <w:shd w:val="clear" w:color="auto" w:fill="FFFFFF"/>
        </w:rPr>
        <w:t>1、加强资金管理。对财政投入资金进行专户、专账、专人管理，厉行节约，专款专用。</w:t>
      </w:r>
    </w:p>
    <w:p w14:paraId="3AEE7AC4" w14:textId="77777777" w:rsidR="00B10CFB" w:rsidRDefault="00000000">
      <w:pPr>
        <w:pStyle w:val="a3"/>
        <w:widowControl/>
        <w:shd w:val="clear" w:color="auto" w:fill="FFFFFF"/>
        <w:spacing w:beforeAutospacing="0" w:afterAutospacing="0" w:line="300" w:lineRule="auto"/>
        <w:ind w:firstLineChars="200" w:firstLine="560"/>
        <w:jc w:val="both"/>
        <w:rPr>
          <w:rFonts w:ascii="仿宋" w:eastAsia="仿宋" w:hAnsi="仿宋" w:cs="仿宋" w:hint="eastAsia"/>
          <w:color w:val="000000"/>
          <w:sz w:val="28"/>
          <w:szCs w:val="28"/>
          <w:shd w:val="clear" w:color="auto" w:fill="FFFFFF"/>
        </w:rPr>
      </w:pPr>
      <w:r>
        <w:rPr>
          <w:rFonts w:ascii="仿宋" w:eastAsia="仿宋" w:hAnsi="仿宋" w:cs="仿宋" w:hint="eastAsia"/>
          <w:color w:val="000000"/>
          <w:sz w:val="28"/>
          <w:szCs w:val="28"/>
          <w:shd w:val="clear" w:color="auto" w:fill="FFFFFF"/>
        </w:rPr>
        <w:t>2、加强项目责任管理。把工作任务责任到部门、责任到人，有效地加快了工作进度。</w:t>
      </w:r>
    </w:p>
    <w:p w14:paraId="69E88771" w14:textId="77777777" w:rsidR="00B10CFB" w:rsidRDefault="00000000">
      <w:pPr>
        <w:spacing w:line="300" w:lineRule="auto"/>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（四）综合评价情况及评价结论</w:t>
      </w:r>
    </w:p>
    <w:p w14:paraId="18A0FCE1" w14:textId="032BDE17" w:rsidR="00B10CFB" w:rsidRDefault="00DC0AF3">
      <w:pPr>
        <w:pStyle w:val="a3"/>
        <w:widowControl/>
        <w:shd w:val="clear" w:color="auto" w:fill="FFFFFF"/>
        <w:spacing w:beforeAutospacing="0" w:afterAutospacing="0" w:line="300" w:lineRule="auto"/>
        <w:ind w:firstLineChars="200" w:firstLine="560"/>
        <w:jc w:val="both"/>
        <w:rPr>
          <w:rFonts w:ascii="仿宋" w:eastAsia="仿宋" w:hAnsi="仿宋" w:cs="仿宋" w:hint="eastAsia"/>
          <w:color w:val="000000"/>
          <w:sz w:val="28"/>
          <w:szCs w:val="28"/>
        </w:rPr>
      </w:pPr>
      <w:r>
        <w:rPr>
          <w:rFonts w:ascii="仿宋" w:eastAsia="仿宋" w:hAnsi="仿宋" w:cs="仿宋" w:hint="eastAsia"/>
          <w:color w:val="000000"/>
          <w:sz w:val="28"/>
          <w:szCs w:val="28"/>
          <w:shd w:val="clear" w:color="auto" w:fill="FFFFFF"/>
        </w:rPr>
        <w:t>2023年，我单位紧紧围绕县委、县政府的中心工作，专项目标完成情况良好，达到了预期的完满效果，自评情况为优秀</w:t>
      </w:r>
    </w:p>
    <w:p w14:paraId="7311FCC2" w14:textId="77777777" w:rsidR="00B10CFB" w:rsidRDefault="00000000">
      <w:pPr>
        <w:spacing w:line="300" w:lineRule="auto"/>
        <w:ind w:firstLineChars="200" w:firstLine="562"/>
        <w:rPr>
          <w:rFonts w:asciiTheme="minorEastAsia" w:eastAsiaTheme="minorEastAsia" w:hAnsiTheme="minorEastAsia" w:cstheme="minorEastAsia" w:hint="eastAsia"/>
          <w:b/>
          <w:bCs/>
          <w:sz w:val="28"/>
          <w:szCs w:val="28"/>
        </w:rPr>
      </w:pPr>
      <w:r>
        <w:rPr>
          <w:rFonts w:asciiTheme="minorEastAsia" w:eastAsiaTheme="minorEastAsia" w:hAnsiTheme="minorEastAsia" w:cstheme="minorEastAsia" w:hint="eastAsia"/>
          <w:b/>
          <w:bCs/>
          <w:sz w:val="28"/>
          <w:szCs w:val="28"/>
        </w:rPr>
        <w:t>（五）主要经验及做法、存在问题和建议</w:t>
      </w:r>
    </w:p>
    <w:p w14:paraId="141A8116"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1.主要经验及做法</w:t>
      </w:r>
    </w:p>
    <w:p w14:paraId="57D6DDF7"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①项目相关股室精心组织、策划以及各相关单位的相互支持、密切配合，是保证此项目顺利开展的必要条件。</w:t>
      </w:r>
    </w:p>
    <w:p w14:paraId="690E36AD"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②成立了专门的项目工作小组，项目组按统一规划，建立集中统一，分级管理的运行机制，结合项目特点编制科学的管理办法或实施方案，完善和规范管理制度。</w:t>
      </w:r>
    </w:p>
    <w:p w14:paraId="615484E7"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③项目负责人推进，各项工作责任到人、逐级审批、层层分管、环环相扣、各部门联动的管理机制，全力推进项目。</w:t>
      </w:r>
    </w:p>
    <w:p w14:paraId="027B8E01"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④在实施过程中规范管理到事前有设计规划、事中有监督检查、事后有跟踪问效，对工程质量严格把关，发挥完善的机制、严格管理、人性化的方式对项目完成的积极作用。</w:t>
      </w:r>
    </w:p>
    <w:p w14:paraId="5903680C"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⑤在资金使用上严格按照规定执行，做到资金使用的安全规范，对项目经费实行专项管理，保证经费及时到位和合理使用。</w:t>
      </w:r>
    </w:p>
    <w:p w14:paraId="72BB6A3A"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2.存在的问题及原因分析</w:t>
      </w:r>
    </w:p>
    <w:p w14:paraId="1AE72A0F"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项目绩效评价实施的第一年，各项制度措施不够完善，无具体的绩效指标值，在实际的绩效评价工作中无法精准把握，实施单位绩效评价工作有待提升。</w:t>
      </w:r>
    </w:p>
    <w:p w14:paraId="31454603"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3.针对问题提出的建议</w:t>
      </w:r>
    </w:p>
    <w:p w14:paraId="499B9C48"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进一步强化措施，细化各项绩效指标，使其具有实用性和操作性。</w:t>
      </w:r>
    </w:p>
    <w:p w14:paraId="71C76306"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4.绩效评价结果应用建议</w:t>
      </w:r>
    </w:p>
    <w:p w14:paraId="092EDA77"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继续加强协调指导和培训的力度，加强对各部门申报项目的指导，使项目编制更加符合绩效评价相关要求，适时开展培训，提高各部门、</w:t>
      </w:r>
      <w:r>
        <w:rPr>
          <w:rFonts w:ascii="仿宋" w:eastAsia="仿宋" w:hAnsi="仿宋" w:cs="仿宋" w:hint="eastAsia"/>
          <w:sz w:val="28"/>
          <w:szCs w:val="28"/>
        </w:rPr>
        <w:lastRenderedPageBreak/>
        <w:t>实施单位对专项资金使用绩效评价工作，重要意义的认识，牢固树立绩效管理理念，同时进一步提高绩效评价工作方式、方法，将已完成的所有工作绩效成果充分体现出来。</w:t>
      </w:r>
    </w:p>
    <w:p w14:paraId="657FAF51"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5.其他需要说明的问题</w:t>
      </w:r>
    </w:p>
    <w:p w14:paraId="6E759715" w14:textId="77777777" w:rsidR="00B10CFB" w:rsidRDefault="00000000">
      <w:pPr>
        <w:spacing w:line="30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无</w:t>
      </w:r>
    </w:p>
    <w:sectPr w:rsidR="00B10C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74893" w14:textId="77777777" w:rsidR="0060164B" w:rsidRDefault="0060164B" w:rsidP="00A62AC5">
      <w:r>
        <w:separator/>
      </w:r>
    </w:p>
  </w:endnote>
  <w:endnote w:type="continuationSeparator" w:id="0">
    <w:p w14:paraId="0322B712" w14:textId="77777777" w:rsidR="0060164B" w:rsidRDefault="0060164B" w:rsidP="00A6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B7150" w14:textId="77777777" w:rsidR="0060164B" w:rsidRDefault="0060164B" w:rsidP="00A62AC5">
      <w:r>
        <w:separator/>
      </w:r>
    </w:p>
  </w:footnote>
  <w:footnote w:type="continuationSeparator" w:id="0">
    <w:p w14:paraId="310A5C98" w14:textId="77777777" w:rsidR="0060164B" w:rsidRDefault="0060164B" w:rsidP="00A62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939BFF"/>
    <w:multiLevelType w:val="singleLevel"/>
    <w:tmpl w:val="99939BFF"/>
    <w:lvl w:ilvl="0">
      <w:start w:val="3"/>
      <w:numFmt w:val="chineseCounting"/>
      <w:suff w:val="nothing"/>
      <w:lvlText w:val="（%1）"/>
      <w:lvlJc w:val="left"/>
      <w:rPr>
        <w:rFonts w:hint="eastAsia"/>
      </w:rPr>
    </w:lvl>
  </w:abstractNum>
  <w:abstractNum w:abstractNumId="1" w15:restartNumberingAfterBreak="0">
    <w:nsid w:val="31B8AF6B"/>
    <w:multiLevelType w:val="singleLevel"/>
    <w:tmpl w:val="31B8AF6B"/>
    <w:lvl w:ilvl="0">
      <w:start w:val="2"/>
      <w:numFmt w:val="chineseCounting"/>
      <w:suff w:val="nothing"/>
      <w:lvlText w:val="（%1）"/>
      <w:lvlJc w:val="left"/>
      <w:rPr>
        <w:rFonts w:hint="eastAsia"/>
      </w:rPr>
    </w:lvl>
  </w:abstractNum>
  <w:num w:numId="1" w16cid:durableId="1606303224">
    <w:abstractNumId w:val="1"/>
  </w:num>
  <w:num w:numId="2" w16cid:durableId="24938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FB"/>
    <w:rsid w:val="FF952E6C"/>
    <w:rsid w:val="001C5FF2"/>
    <w:rsid w:val="0021203B"/>
    <w:rsid w:val="0037208A"/>
    <w:rsid w:val="003A220C"/>
    <w:rsid w:val="003C0D16"/>
    <w:rsid w:val="004C64E3"/>
    <w:rsid w:val="0060164B"/>
    <w:rsid w:val="00846FBA"/>
    <w:rsid w:val="0086646A"/>
    <w:rsid w:val="00A62AC5"/>
    <w:rsid w:val="00B10CFB"/>
    <w:rsid w:val="00DC0AF3"/>
    <w:rsid w:val="00E41A9F"/>
    <w:rsid w:val="00FD7350"/>
    <w:rsid w:val="05257D6F"/>
    <w:rsid w:val="07445783"/>
    <w:rsid w:val="0C1C54AC"/>
    <w:rsid w:val="114C7A67"/>
    <w:rsid w:val="115A3EAD"/>
    <w:rsid w:val="16622249"/>
    <w:rsid w:val="314E6447"/>
    <w:rsid w:val="45B65CF9"/>
    <w:rsid w:val="49734179"/>
    <w:rsid w:val="4F1E2E04"/>
    <w:rsid w:val="52364708"/>
    <w:rsid w:val="53525641"/>
    <w:rsid w:val="7CB5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19D69"/>
  <w15:docId w15:val="{413C0C57-269D-467A-B728-60DCD1EC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unhideWhenUsed/>
    <w:qFormat/>
  </w:style>
  <w:style w:type="paragraph" w:styleId="a3">
    <w:name w:val="Normal (Web)"/>
    <w:basedOn w:val="a"/>
    <w:qFormat/>
    <w:pPr>
      <w:spacing w:beforeAutospacing="1" w:afterAutospacing="1"/>
      <w:jc w:val="left"/>
    </w:pPr>
    <w:rPr>
      <w:kern w:val="0"/>
      <w:sz w:val="24"/>
    </w:rPr>
  </w:style>
  <w:style w:type="paragraph" w:styleId="a4">
    <w:name w:val="header"/>
    <w:basedOn w:val="a"/>
    <w:link w:val="a5"/>
    <w:rsid w:val="00A62AC5"/>
    <w:pPr>
      <w:tabs>
        <w:tab w:val="center" w:pos="4153"/>
        <w:tab w:val="right" w:pos="8306"/>
      </w:tabs>
      <w:snapToGrid w:val="0"/>
      <w:jc w:val="center"/>
    </w:pPr>
    <w:rPr>
      <w:sz w:val="18"/>
      <w:szCs w:val="18"/>
    </w:rPr>
  </w:style>
  <w:style w:type="character" w:customStyle="1" w:styleId="a5">
    <w:name w:val="页眉 字符"/>
    <w:basedOn w:val="a0"/>
    <w:link w:val="a4"/>
    <w:rsid w:val="00A62AC5"/>
    <w:rPr>
      <w:kern w:val="2"/>
      <w:sz w:val="18"/>
      <w:szCs w:val="18"/>
    </w:rPr>
  </w:style>
  <w:style w:type="paragraph" w:styleId="a6">
    <w:name w:val="footer"/>
    <w:basedOn w:val="a"/>
    <w:link w:val="a7"/>
    <w:rsid w:val="00A62AC5"/>
    <w:pPr>
      <w:tabs>
        <w:tab w:val="center" w:pos="4153"/>
        <w:tab w:val="right" w:pos="8306"/>
      </w:tabs>
      <w:snapToGrid w:val="0"/>
      <w:jc w:val="left"/>
    </w:pPr>
    <w:rPr>
      <w:sz w:val="18"/>
      <w:szCs w:val="18"/>
    </w:rPr>
  </w:style>
  <w:style w:type="character" w:customStyle="1" w:styleId="a7">
    <w:name w:val="页脚 字符"/>
    <w:basedOn w:val="a0"/>
    <w:link w:val="a6"/>
    <w:rsid w:val="00A62AC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2024-11-11T07:54:00Z</dcterms:created>
  <dcterms:modified xsi:type="dcterms:W3CDTF">2024-11-11T08:06:00Z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0269C3B877BB4E9ABC59CC5F5D2CAB1E</vt:lpwstr>
  </property>
</Properties>
</file>