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2" w:afterAutospacing="0"/>
        <w:jc w:val="center"/>
        <w:rPr>
          <w:rFonts w:hint="eastAsia" w:ascii="等线" w:hAnsi="等线" w:eastAsia="等线" w:cs="Times New Roman"/>
          <w:kern w:val="2"/>
          <w:sz w:val="21"/>
          <w:szCs w:val="21"/>
        </w:rPr>
      </w:pPr>
      <w:r>
        <w:rPr>
          <w:rFonts w:hint="eastAsia" w:ascii="等线" w:hAnsi="等线" w:eastAsia="等线" w:cs="Times New Roman"/>
          <w:color w:val="000000"/>
          <w:kern w:val="2"/>
          <w:sz w:val="21"/>
          <w:szCs w:val="21"/>
        </w:rPr>
        <w:t xml:space="preserve"> </w:t>
      </w:r>
    </w:p>
    <w:p>
      <w:pPr>
        <w:jc w:val="center"/>
        <w:rPr>
          <w:rFonts w:hint="eastAsia" w:ascii="宋体" w:hAnsi="宋体" w:eastAsia="宋体" w:cs="宋体"/>
          <w:b w:val="0"/>
          <w:bCs w:val="0"/>
          <w:kern w:val="2"/>
          <w:sz w:val="44"/>
          <w:szCs w:val="44"/>
        </w:rPr>
      </w:pPr>
      <w:r>
        <w:rPr>
          <w:rFonts w:hint="eastAsia" w:ascii="宋体" w:hAnsi="宋体" w:eastAsia="宋体" w:cs="宋体"/>
          <w:b w:val="0"/>
          <w:bCs w:val="0"/>
          <w:kern w:val="2"/>
          <w:sz w:val="44"/>
          <w:szCs w:val="44"/>
        </w:rPr>
        <w:t>202</w:t>
      </w:r>
      <w:r>
        <w:rPr>
          <w:rFonts w:hint="eastAsia" w:ascii="宋体" w:hAnsi="宋体" w:eastAsia="宋体" w:cs="宋体"/>
          <w:b w:val="0"/>
          <w:bCs w:val="0"/>
          <w:kern w:val="2"/>
          <w:sz w:val="44"/>
          <w:szCs w:val="44"/>
          <w:lang w:val="en-US" w:eastAsia="zh-CN"/>
        </w:rPr>
        <w:t>3</w:t>
      </w:r>
      <w:r>
        <w:rPr>
          <w:rFonts w:hint="eastAsia" w:ascii="宋体" w:hAnsi="宋体" w:eastAsia="宋体" w:cs="宋体"/>
          <w:b w:val="0"/>
          <w:bCs w:val="0"/>
          <w:kern w:val="2"/>
          <w:sz w:val="44"/>
          <w:szCs w:val="44"/>
        </w:rPr>
        <w:t>年桃江县信访局整体支出绩效报告</w:t>
      </w:r>
    </w:p>
    <w:p>
      <w:pPr>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 xml:space="preserve"> </w:t>
      </w:r>
    </w:p>
    <w:p>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一、部门概况</w:t>
      </w:r>
    </w:p>
    <w:p>
      <w:pPr>
        <w:pStyle w:val="4"/>
        <w:keepNext w:val="0"/>
        <w:keepLines w:val="0"/>
        <w:widowControl w:val="0"/>
        <w:suppressLineNumbers w:val="0"/>
        <w:autoSpaceDE w:val="0"/>
        <w:autoSpaceDN/>
        <w:spacing w:before="0" w:beforeLines="0" w:beforeAutospacing="0" w:after="0" w:afterLines="0" w:afterAutospacing="0" w:line="590" w:lineRule="exact"/>
        <w:ind w:left="0" w:leftChars="0" w:right="0" w:rightChars="0" w:firstLine="0" w:firstLineChars="0"/>
        <w:jc w:val="both"/>
        <w:rPr>
          <w:rFonts w:hint="default" w:ascii="仿宋_GB2312" w:hAnsi="仿宋" w:eastAsia="仿宋_GB2312" w:cs="Times New Roman"/>
          <w:kern w:val="2"/>
          <w:sz w:val="32"/>
          <w:szCs w:val="32"/>
        </w:rPr>
      </w:pPr>
      <w:r>
        <w:rPr>
          <w:rFonts w:hint="eastAsia" w:ascii="仿宋" w:hAnsi="仿宋" w:eastAsia="仿宋" w:cs="Times New Roman"/>
          <w:b/>
          <w:bCs w:val="0"/>
          <w:kern w:val="2"/>
          <w:sz w:val="32"/>
          <w:szCs w:val="32"/>
        </w:rPr>
        <w:t xml:space="preserve">  </w:t>
      </w:r>
      <w:r>
        <w:rPr>
          <w:rFonts w:hint="default" w:ascii="楷体_GB2312" w:eastAsia="楷体_GB2312" w:cs="楷体_GB2312"/>
          <w:b/>
          <w:bCs w:val="0"/>
          <w:kern w:val="2"/>
          <w:sz w:val="32"/>
          <w:szCs w:val="32"/>
        </w:rPr>
        <w:t xml:space="preserve"> （一）部门基本情况。</w:t>
      </w:r>
      <w:r>
        <w:rPr>
          <w:rFonts w:hint="default" w:ascii="仿宋_GB2312" w:hAnsi="等线" w:eastAsia="仿宋_GB2312" w:cs="仿宋_GB2312"/>
          <w:kern w:val="2"/>
          <w:sz w:val="32"/>
          <w:szCs w:val="32"/>
        </w:rPr>
        <w:t>桃江县信访局是县委、县政府处理群众来信、来访的专门机构。现有行政编制9个、事业编制3个，实有干部职工18人，其中在职14人，退休</w:t>
      </w:r>
      <w:r>
        <w:rPr>
          <w:rFonts w:hint="eastAsia" w:ascii="仿宋_GB2312" w:eastAsia="仿宋_GB2312" w:cs="仿宋_GB2312"/>
          <w:kern w:val="2"/>
          <w:sz w:val="32"/>
          <w:szCs w:val="32"/>
          <w:lang w:val="en-US" w:eastAsia="zh-CN"/>
        </w:rPr>
        <w:t>5</w:t>
      </w:r>
      <w:bookmarkStart w:id="0" w:name="_GoBack"/>
      <w:bookmarkEnd w:id="0"/>
      <w:r>
        <w:rPr>
          <w:rFonts w:hint="default" w:ascii="仿宋_GB2312" w:hAnsi="等线" w:eastAsia="仿宋_GB2312" w:cs="仿宋_GB2312"/>
          <w:kern w:val="2"/>
          <w:sz w:val="32"/>
          <w:szCs w:val="32"/>
        </w:rPr>
        <w:t>人。机关内设接访股、处信办案股、督查股和办公室。</w:t>
      </w:r>
      <w:r>
        <w:rPr>
          <w:rFonts w:hint="default" w:ascii="仿宋_GB2312" w:hAnsi="仿宋" w:eastAsia="仿宋_GB2312" w:cs="仿宋_GB2312"/>
          <w:kern w:val="2"/>
          <w:sz w:val="32"/>
          <w:szCs w:val="32"/>
        </w:rPr>
        <w:t>主要工作职责：一是</w:t>
      </w:r>
      <w:r>
        <w:rPr>
          <w:rFonts w:hint="default" w:ascii="仿宋_GB2312" w:hAnsi="等线" w:eastAsia="仿宋_GB2312" w:cs="仿宋_GB2312"/>
          <w:kern w:val="2"/>
          <w:sz w:val="32"/>
          <w:szCs w:val="32"/>
        </w:rPr>
        <w:t>受理、交办、转送信访人提出的信访事项；二是承办上级和本级人民政府交由处理的信访事项；三是协调处理重要信访事项；四是督促检查信访事项的处理；五是研究、分析信访情况，开展调查研究，及时向本级人民政府提出完善政策和改进工作的建议；六是对本级人民政府其他工作部门和下级人民政府信访工作机构的信访工作进行指导。</w:t>
      </w:r>
    </w:p>
    <w:p>
      <w:pPr>
        <w:keepNext w:val="0"/>
        <w:keepLines w:val="0"/>
        <w:widowControl w:val="0"/>
        <w:suppressLineNumbers w:val="0"/>
        <w:autoSpaceDE w:val="0"/>
        <w:autoSpaceDN/>
        <w:spacing w:line="590" w:lineRule="exact"/>
        <w:ind w:left="640" w:right="0" w:rightChars="0" w:hanging="640" w:hangingChars="200"/>
        <w:jc w:val="both"/>
        <w:rPr>
          <w:rFonts w:hint="default" w:ascii="楷体_GB2312" w:eastAsia="楷体_GB2312" w:cs="楷体_GB2312"/>
          <w:b/>
          <w:bCs w:val="0"/>
          <w:kern w:val="2"/>
          <w:sz w:val="32"/>
          <w:szCs w:val="32"/>
        </w:rPr>
      </w:pPr>
      <w:r>
        <w:rPr>
          <w:rFonts w:hint="eastAsia" w:ascii="仿宋" w:hAnsi="仿宋" w:eastAsia="仿宋" w:cs="Times New Roman"/>
          <w:kern w:val="2"/>
          <w:sz w:val="32"/>
          <w:szCs w:val="32"/>
        </w:rPr>
        <w:t xml:space="preserve">    </w:t>
      </w:r>
      <w:r>
        <w:rPr>
          <w:rFonts w:hint="default" w:ascii="楷体_GB2312" w:eastAsia="楷体_GB2312" w:cs="楷体_GB2312"/>
          <w:b/>
          <w:bCs w:val="0"/>
          <w:kern w:val="2"/>
          <w:sz w:val="32"/>
          <w:szCs w:val="32"/>
        </w:rPr>
        <w:t>（二）部门整体支出规模、使用方向和主要内容、涉及范围等</w:t>
      </w:r>
    </w:p>
    <w:p>
      <w:pPr>
        <w:keepNext w:val="0"/>
        <w:keepLines w:val="0"/>
        <w:widowControl w:val="0"/>
        <w:suppressLineNumbers w:val="0"/>
        <w:autoSpaceDE w:val="0"/>
        <w:autoSpaceDN/>
        <w:spacing w:line="590" w:lineRule="exact"/>
        <w:ind w:right="0" w:rightChars="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rPr>
        <w:t>2022年部门支出的整体规模为</w:t>
      </w:r>
      <w:r>
        <w:rPr>
          <w:rFonts w:hint="eastAsia" w:ascii="仿宋_GB2312" w:hAnsi="仿宋" w:eastAsia="仿宋_GB2312" w:cs="仿宋_GB2312"/>
          <w:kern w:val="2"/>
          <w:sz w:val="32"/>
          <w:szCs w:val="32"/>
          <w:lang w:val="en-US" w:eastAsia="zh-CN"/>
        </w:rPr>
        <w:t>463.9</w:t>
      </w:r>
      <w:r>
        <w:rPr>
          <w:rFonts w:hint="default" w:ascii="仿宋_GB2312" w:hAnsi="仿宋" w:eastAsia="仿宋_GB2312" w:cs="仿宋_GB2312"/>
          <w:kern w:val="2"/>
          <w:sz w:val="32"/>
          <w:szCs w:val="32"/>
        </w:rPr>
        <w:t>万元，主要用于保障机关干职工正常的工资福利待遇和全县日常信访工作和接访劝返、信访维稳工作的正常开展。</w:t>
      </w:r>
    </w:p>
    <w:p>
      <w:pPr>
        <w:keepNext w:val="0"/>
        <w:keepLines w:val="0"/>
        <w:widowControl w:val="0"/>
        <w:suppressLineNumbers w:val="0"/>
        <w:autoSpaceDE w:val="0"/>
        <w:autoSpaceDN/>
        <w:spacing w:line="590" w:lineRule="exact"/>
        <w:ind w:left="0" w:right="0" w:rightChars="0" w:firstLine="405"/>
        <w:jc w:val="both"/>
        <w:rPr>
          <w:rFonts w:hint="default" w:ascii="楷体_GB2312" w:eastAsia="楷体_GB2312" w:cs="楷体_GB2312"/>
          <w:b/>
          <w:bCs w:val="0"/>
          <w:kern w:val="2"/>
          <w:sz w:val="32"/>
          <w:szCs w:val="32"/>
        </w:rPr>
      </w:pPr>
      <w:r>
        <w:rPr>
          <w:rFonts w:hint="default" w:ascii="楷体_GB2312" w:eastAsia="楷体_GB2312" w:cs="楷体_GB2312"/>
          <w:b/>
          <w:bCs w:val="0"/>
          <w:kern w:val="2"/>
          <w:sz w:val="32"/>
          <w:szCs w:val="32"/>
        </w:rPr>
        <w:t>（三）项目绩效目标设立情况:</w:t>
      </w:r>
    </w:p>
    <w:p>
      <w:pPr>
        <w:keepNext w:val="0"/>
        <w:keepLines w:val="0"/>
        <w:widowControl w:val="0"/>
        <w:suppressLineNumbers w:val="0"/>
        <w:autoSpaceDE w:val="0"/>
        <w:autoSpaceDN/>
        <w:spacing w:line="590" w:lineRule="exact"/>
        <w:ind w:left="0" w:right="0" w:rightChars="0" w:firstLine="405"/>
        <w:jc w:val="both"/>
        <w:rPr>
          <w:rFonts w:hint="default" w:ascii="仿宋_GB2312" w:hAnsi="仿宋" w:eastAsia="仿宋_GB2312" w:cs="Times New Roman"/>
          <w:kern w:val="2"/>
          <w:sz w:val="32"/>
          <w:szCs w:val="32"/>
        </w:rPr>
      </w:pPr>
      <w:r>
        <w:rPr>
          <w:rFonts w:hint="default" w:ascii="仿宋_GB2312" w:hAnsi="仿宋" w:eastAsia="仿宋_GB2312" w:cs="仿宋_GB2312"/>
          <w:kern w:val="2"/>
          <w:sz w:val="32"/>
          <w:szCs w:val="32"/>
        </w:rPr>
        <w:t>部门中长期绩效目标：认真接待来访群众，受理、交办、转送信访人提出的信访事项，做好接访劝返工作，承办上级和本级人民政府交由处理的信访事项，督促检查信访事项的处理，协调处理重要信访事项；解决群众合理诉求，化解信访特殊疑难积案，确保社会大局稳定。</w:t>
      </w:r>
    </w:p>
    <w:p>
      <w:pPr>
        <w:keepNext w:val="0"/>
        <w:keepLines w:val="0"/>
        <w:widowControl w:val="0"/>
        <w:suppressLineNumbers w:val="0"/>
        <w:autoSpaceDE w:val="0"/>
        <w:autoSpaceDN/>
        <w:spacing w:line="590" w:lineRule="exact"/>
        <w:ind w:right="0" w:rightChars="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r>
        <w:rPr>
          <w:rFonts w:hint="default" w:ascii="仿宋_GB2312" w:hAnsi="仿宋" w:eastAsia="仿宋_GB2312" w:cs="仿宋_GB2312"/>
          <w:kern w:val="2"/>
          <w:sz w:val="32"/>
          <w:szCs w:val="32"/>
        </w:rPr>
        <w:t>年度绩效目标：引导群众依法有序上访，确保社会大局稳定；正确疏导涉法涉诉群众，减少非正常上访现象；大力宣传信访法律法规，引导群众依法上访维权；继续化解全县信访疑难问题，维护群众合法权益。</w:t>
      </w:r>
    </w:p>
    <w:p>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二、部门整体支出管理及使用情况</w:t>
      </w:r>
    </w:p>
    <w:p>
      <w:pPr>
        <w:keepNext w:val="0"/>
        <w:keepLines w:val="0"/>
        <w:widowControl w:val="0"/>
        <w:suppressLineNumbers w:val="0"/>
        <w:autoSpaceDE w:val="0"/>
        <w:autoSpaceDN/>
        <w:spacing w:line="590" w:lineRule="exact"/>
        <w:ind w:left="0" w:right="0" w:rightChars="0" w:firstLine="405"/>
        <w:jc w:val="both"/>
        <w:rPr>
          <w:rFonts w:hint="default" w:ascii="仿宋_GB2312" w:hAnsi="仿宋" w:eastAsia="仿宋_GB2312" w:cs="Times New Roman"/>
          <w:kern w:val="2"/>
          <w:sz w:val="32"/>
          <w:szCs w:val="32"/>
        </w:rPr>
      </w:pPr>
      <w:r>
        <w:rPr>
          <w:rFonts w:hint="eastAsia" w:ascii="仿宋" w:hAnsi="仿宋" w:eastAsia="仿宋" w:cs="Times New Roman"/>
          <w:kern w:val="2"/>
          <w:sz w:val="32"/>
          <w:szCs w:val="32"/>
        </w:rPr>
        <w:t xml:space="preserve">    </w:t>
      </w:r>
      <w:r>
        <w:rPr>
          <w:rFonts w:hint="default" w:ascii="仿宋_GB2312" w:hAnsi="仿宋" w:eastAsia="仿宋_GB2312" w:cs="仿宋_GB2312"/>
          <w:kern w:val="2"/>
          <w:sz w:val="32"/>
          <w:szCs w:val="32"/>
        </w:rPr>
        <w:t>确保社会大局稳定。</w:t>
      </w:r>
    </w:p>
    <w:p>
      <w:pPr>
        <w:keepNext w:val="0"/>
        <w:keepLines w:val="0"/>
        <w:widowControl w:val="0"/>
        <w:suppressLineNumbers w:val="0"/>
        <w:autoSpaceDE w:val="0"/>
        <w:autoSpaceDN/>
        <w:spacing w:line="590" w:lineRule="exact"/>
        <w:ind w:right="0" w:rightChars="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r>
        <w:rPr>
          <w:rFonts w:hint="default" w:ascii="仿宋_GB2312" w:hAnsi="仿宋" w:eastAsia="仿宋_GB2312" w:cs="仿宋_GB2312"/>
          <w:kern w:val="2"/>
          <w:sz w:val="32"/>
          <w:szCs w:val="32"/>
        </w:rPr>
        <w:t>年度绩效目标：引导群众依法有序上访，确保社会大局稳定；正确疏导涉法涉诉群众，减少非正常上访现象；大力宣传信访法律法规，引导群众依法上访维权；继续化解全县信访疑难问题，维护群众合法权益。</w:t>
      </w:r>
    </w:p>
    <w:p>
      <w:pPr>
        <w:keepNext w:val="0"/>
        <w:keepLines w:val="0"/>
        <w:widowControl/>
        <w:suppressLineNumbers w:val="0"/>
        <w:autoSpaceDE w:val="0"/>
        <w:autoSpaceDN/>
        <w:spacing w:line="580" w:lineRule="exact"/>
        <w:ind w:left="0" w:leftChars="0" w:right="0" w:rightChars="0" w:firstLine="643" w:firstLineChars="200"/>
        <w:jc w:val="both"/>
        <w:rPr>
          <w:rFonts w:hint="default" w:ascii="楷体_GB2312" w:eastAsia="楷体_GB2312" w:cs="楷体_GB2312"/>
          <w:b/>
          <w:bCs w:val="0"/>
          <w:kern w:val="0"/>
          <w:sz w:val="32"/>
          <w:szCs w:val="32"/>
        </w:rPr>
      </w:pPr>
      <w:r>
        <w:rPr>
          <w:rFonts w:hint="default" w:ascii="楷体_GB2312" w:eastAsia="楷体_GB2312" w:cs="楷体_GB2312"/>
          <w:b/>
          <w:bCs w:val="0"/>
          <w:kern w:val="0"/>
          <w:sz w:val="32"/>
          <w:szCs w:val="32"/>
        </w:rPr>
        <w:t xml:space="preserve">  二、部门整体支出管理及使用情况</w:t>
      </w:r>
    </w:p>
    <w:p>
      <w:pPr>
        <w:keepNext w:val="0"/>
        <w:keepLines w:val="0"/>
        <w:widowControl/>
        <w:suppressLineNumbers w:val="0"/>
        <w:autoSpaceDE w:val="0"/>
        <w:autoSpaceDN/>
        <w:spacing w:line="580" w:lineRule="exact"/>
        <w:ind w:left="0" w:leftChars="0" w:right="0" w:rightChars="0" w:firstLine="640" w:firstLineChars="200"/>
        <w:jc w:val="both"/>
        <w:rPr>
          <w:rFonts w:hint="default" w:ascii="仿宋_GB2312" w:eastAsia="仿宋_GB2312" w:cs="仿宋_GB2312"/>
          <w:kern w:val="0"/>
          <w:sz w:val="32"/>
          <w:szCs w:val="32"/>
        </w:rPr>
      </w:pPr>
      <w:r>
        <w:rPr>
          <w:rFonts w:hint="default" w:ascii="仿宋_GB2312" w:eastAsia="仿宋_GB2312" w:cs="仿宋_GB2312"/>
          <w:kern w:val="0"/>
          <w:sz w:val="32"/>
          <w:szCs w:val="32"/>
        </w:rPr>
        <w:t>（一）基本支出</w:t>
      </w:r>
    </w:p>
    <w:p>
      <w:pPr>
        <w:keepNext w:val="0"/>
        <w:keepLines w:val="0"/>
        <w:widowControl w:val="0"/>
        <w:suppressLineNumbers w:val="0"/>
        <w:autoSpaceDE w:val="0"/>
        <w:autoSpaceDN/>
        <w:spacing w:line="590" w:lineRule="exact"/>
        <w:ind w:left="0" w:leftChars="0" w:right="0" w:rightChars="0" w:firstLine="960" w:firstLineChars="300"/>
        <w:jc w:val="both"/>
        <w:rPr>
          <w:rFonts w:hint="eastAsia" w:ascii="仿宋" w:hAnsi="仿宋" w:eastAsia="仿宋" w:cs="仿宋"/>
          <w:kern w:val="2"/>
          <w:sz w:val="32"/>
          <w:szCs w:val="32"/>
        </w:rPr>
      </w:pPr>
      <w:r>
        <w:rPr>
          <w:rFonts w:hint="eastAsia" w:ascii="仿宋" w:hAnsi="仿宋" w:eastAsia="仿宋" w:cs="仿宋"/>
          <w:i w:val="0"/>
          <w:iCs w:val="0"/>
          <w:caps w:val="0"/>
          <w:color w:val="000000"/>
          <w:spacing w:val="0"/>
          <w:kern w:val="2"/>
          <w:sz w:val="32"/>
          <w:szCs w:val="32"/>
        </w:rPr>
        <w:t>2021年度财政拨款基本支出</w:t>
      </w:r>
      <w:r>
        <w:rPr>
          <w:rFonts w:hint="eastAsia" w:ascii="仿宋" w:hAnsi="仿宋" w:eastAsia="仿宋" w:cs="仿宋"/>
          <w:i w:val="0"/>
          <w:iCs w:val="0"/>
          <w:caps w:val="0"/>
          <w:color w:val="000000"/>
          <w:spacing w:val="0"/>
          <w:kern w:val="2"/>
          <w:sz w:val="32"/>
          <w:szCs w:val="32"/>
          <w:lang w:val="en-US" w:eastAsia="zh-CN"/>
        </w:rPr>
        <w:t>463.9</w:t>
      </w:r>
      <w:r>
        <w:rPr>
          <w:rFonts w:hint="eastAsia" w:ascii="仿宋" w:hAnsi="仿宋" w:eastAsia="仿宋" w:cs="仿宋"/>
          <w:i w:val="0"/>
          <w:iCs w:val="0"/>
          <w:caps w:val="0"/>
          <w:color w:val="000000"/>
          <w:spacing w:val="0"/>
          <w:kern w:val="2"/>
          <w:sz w:val="32"/>
          <w:szCs w:val="32"/>
        </w:rPr>
        <w:t>万元，其中：</w:t>
      </w:r>
      <w:r>
        <w:rPr>
          <w:rFonts w:hint="eastAsia" w:ascii="仿宋" w:hAnsi="仿宋" w:eastAsia="仿宋" w:cs="仿宋"/>
          <w:b w:val="0"/>
          <w:bCs w:val="0"/>
          <w:i w:val="0"/>
          <w:iCs w:val="0"/>
          <w:caps w:val="0"/>
          <w:color w:val="000000"/>
          <w:spacing w:val="0"/>
          <w:kern w:val="2"/>
          <w:sz w:val="32"/>
          <w:szCs w:val="32"/>
        </w:rPr>
        <w:t>人员经费支出</w:t>
      </w:r>
      <w:r>
        <w:rPr>
          <w:rFonts w:hint="eastAsia" w:ascii="宋体" w:hAnsi="宋体" w:eastAsia="宋体" w:cs="宋体"/>
          <w:i w:val="0"/>
          <w:iCs w:val="0"/>
          <w:caps w:val="0"/>
          <w:color w:val="000000"/>
          <w:spacing w:val="0"/>
          <w:kern w:val="2"/>
          <w:sz w:val="32"/>
          <w:szCs w:val="32"/>
          <w:lang w:val="en-US" w:eastAsia="zh-CN"/>
        </w:rPr>
        <w:t>214.51</w:t>
      </w:r>
      <w:r>
        <w:rPr>
          <w:rFonts w:hint="eastAsia" w:ascii="仿宋" w:hAnsi="仿宋" w:eastAsia="仿宋" w:cs="仿宋"/>
          <w:b w:val="0"/>
          <w:bCs w:val="0"/>
          <w:i w:val="0"/>
          <w:iCs w:val="0"/>
          <w:caps w:val="0"/>
          <w:color w:val="000000"/>
          <w:spacing w:val="0"/>
          <w:kern w:val="2"/>
          <w:sz w:val="32"/>
          <w:szCs w:val="32"/>
        </w:rPr>
        <w:t>万元，</w:t>
      </w:r>
      <w:r>
        <w:rPr>
          <w:rFonts w:hint="eastAsia" w:ascii="宋体" w:hAnsi="宋体" w:eastAsia="宋体" w:cs="宋体"/>
          <w:i w:val="0"/>
          <w:iCs w:val="0"/>
          <w:caps w:val="0"/>
          <w:color w:val="000000"/>
          <w:spacing w:val="0"/>
          <w:kern w:val="2"/>
          <w:sz w:val="32"/>
          <w:szCs w:val="32"/>
        </w:rPr>
        <w:t>公用经费</w:t>
      </w:r>
      <w:r>
        <w:rPr>
          <w:rFonts w:hint="eastAsia" w:ascii="宋体" w:hAnsi="宋体" w:eastAsia="宋体" w:cs="宋体"/>
          <w:i w:val="0"/>
          <w:iCs w:val="0"/>
          <w:caps w:val="0"/>
          <w:color w:val="000000"/>
          <w:spacing w:val="0"/>
          <w:kern w:val="2"/>
          <w:sz w:val="32"/>
          <w:szCs w:val="32"/>
          <w:lang w:val="en-US" w:eastAsia="zh-CN"/>
        </w:rPr>
        <w:t>249.38</w:t>
      </w:r>
      <w:r>
        <w:rPr>
          <w:rFonts w:hint="eastAsia" w:ascii="宋体" w:hAnsi="宋体" w:eastAsia="宋体" w:cs="宋体"/>
          <w:i w:val="0"/>
          <w:iCs w:val="0"/>
          <w:caps w:val="0"/>
          <w:color w:val="000000"/>
          <w:spacing w:val="0"/>
          <w:kern w:val="2"/>
          <w:sz w:val="32"/>
          <w:szCs w:val="32"/>
        </w:rPr>
        <w:t>万元，</w:t>
      </w:r>
      <w:r>
        <w:rPr>
          <w:rFonts w:hint="eastAsia" w:ascii="仿宋" w:hAnsi="仿宋" w:eastAsia="仿宋" w:cs="仿宋"/>
          <w:color w:val="000000"/>
          <w:kern w:val="2"/>
          <w:sz w:val="32"/>
          <w:szCs w:val="32"/>
        </w:rPr>
        <w:t>三公经费支1.57万元；公务接待费1.57</w:t>
      </w:r>
      <w:r>
        <w:rPr>
          <w:rFonts w:hint="eastAsia" w:ascii="仿宋" w:hAnsi="仿宋" w:eastAsia="仿宋" w:cs="仿宋"/>
          <w:kern w:val="2"/>
          <w:sz w:val="32"/>
          <w:szCs w:val="32"/>
        </w:rPr>
        <w:t>万元，公务用车运行费0万元</w:t>
      </w:r>
    </w:p>
    <w:p>
      <w:pPr>
        <w:keepNext w:val="0"/>
        <w:keepLines w:val="0"/>
        <w:widowControl w:val="0"/>
        <w:suppressLineNumbers w:val="0"/>
        <w:autoSpaceDE w:val="0"/>
        <w:autoSpaceDN/>
        <w:spacing w:line="590" w:lineRule="exact"/>
        <w:ind w:right="0" w:rightChars="0"/>
        <w:jc w:val="both"/>
        <w:rPr>
          <w:rFonts w:hint="default" w:ascii="楷体_GB2312" w:eastAsia="楷体_GB2312" w:cs="楷体_GB2312"/>
          <w:b/>
          <w:bCs w:val="0"/>
          <w:kern w:val="2"/>
          <w:sz w:val="32"/>
          <w:szCs w:val="32"/>
        </w:rPr>
      </w:pPr>
      <w:r>
        <w:rPr>
          <w:rFonts w:hint="eastAsia" w:ascii="仿宋" w:hAnsi="仿宋" w:eastAsia="仿宋" w:cs="Times New Roman"/>
          <w:kern w:val="2"/>
          <w:sz w:val="32"/>
          <w:szCs w:val="32"/>
        </w:rPr>
        <w:t xml:space="preserve">    </w:t>
      </w:r>
      <w:r>
        <w:rPr>
          <w:rFonts w:hint="default" w:ascii="楷体_GB2312" w:eastAsia="楷体_GB2312" w:cs="楷体_GB2312"/>
          <w:b/>
          <w:bCs w:val="0"/>
          <w:kern w:val="2"/>
          <w:sz w:val="32"/>
          <w:szCs w:val="32"/>
        </w:rPr>
        <w:t>（二）项目支出</w:t>
      </w:r>
    </w:p>
    <w:p>
      <w:pPr>
        <w:keepNext w:val="0"/>
        <w:keepLines w:val="0"/>
        <w:widowControl w:val="0"/>
        <w:suppressLineNumbers w:val="0"/>
        <w:autoSpaceDE w:val="0"/>
        <w:autoSpaceDN/>
        <w:spacing w:line="590" w:lineRule="exact"/>
        <w:ind w:right="0" w:rightChars="0"/>
        <w:jc w:val="both"/>
        <w:rPr>
          <w:rFonts w:hint="default" w:ascii="仿宋_GB2312" w:hAnsi="仿宋" w:eastAsia="仿宋_GB2312" w:cs="Times New Roman"/>
          <w:kern w:val="2"/>
          <w:sz w:val="32"/>
          <w:szCs w:val="32"/>
        </w:rPr>
      </w:pPr>
      <w:r>
        <w:rPr>
          <w:rFonts w:hint="eastAsia" w:ascii="仿宋" w:hAnsi="仿宋" w:eastAsia="仿宋" w:cs="Times New Roman"/>
          <w:kern w:val="2"/>
          <w:sz w:val="32"/>
          <w:szCs w:val="32"/>
        </w:rPr>
        <w:t xml:space="preserve">   </w:t>
      </w:r>
      <w:r>
        <w:rPr>
          <w:rFonts w:hint="default" w:ascii="仿宋_GB2312" w:hAnsi="等线" w:eastAsia="仿宋_GB2312" w:cs="仿宋_GB2312"/>
          <w:kern w:val="2"/>
          <w:sz w:val="32"/>
          <w:szCs w:val="32"/>
        </w:rPr>
        <w:t>2022年，财政预算项目支出28.6万元。</w:t>
      </w:r>
    </w:p>
    <w:p>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三、部门整体支出绩效情况</w:t>
      </w:r>
    </w:p>
    <w:p>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32"/>
          <w:szCs w:val="32"/>
        </w:rPr>
      </w:pPr>
      <w:r>
        <w:rPr>
          <w:rFonts w:hint="eastAsia" w:ascii="等线" w:hAnsi="等线" w:eastAsia="等线" w:cs="等线"/>
          <w:kern w:val="2"/>
          <w:sz w:val="32"/>
          <w:szCs w:val="32"/>
        </w:rPr>
        <w:t>（一）经济性分析</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1、预算执行方面。本年预算控制较好，按照核定的单位财政供养人员编制数要求，实际在职人员数控制在编制人数范围内，“三公经费”支出总额控制得当。</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2、预算管理方面。按照2022年初制定的单位预算方案，无论是在资金、项目还是在支出模式、支出结构上，都严格管理，较好地完成了年初绩效预算的目标。</w:t>
      </w:r>
    </w:p>
    <w:p>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32"/>
          <w:szCs w:val="32"/>
        </w:rPr>
      </w:pPr>
      <w:r>
        <w:rPr>
          <w:rFonts w:hint="eastAsia" w:ascii="等线" w:hAnsi="等线" w:eastAsia="等线" w:cs="等线"/>
          <w:kern w:val="2"/>
          <w:sz w:val="32"/>
          <w:szCs w:val="32"/>
        </w:rPr>
        <w:t>（二）效率性分析</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预算安排的基本支出保障了机关正常的工作运转，预算安排的项目支出保障了单位各项业务工作的顺利开展。</w:t>
      </w:r>
    </w:p>
    <w:p>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32"/>
          <w:szCs w:val="32"/>
        </w:rPr>
      </w:pPr>
      <w:r>
        <w:rPr>
          <w:rFonts w:hint="eastAsia" w:ascii="等线" w:hAnsi="等线" w:eastAsia="等线" w:cs="等线"/>
          <w:kern w:val="2"/>
          <w:sz w:val="32"/>
          <w:szCs w:val="32"/>
        </w:rPr>
        <w:t>（三）有效性分析</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hAnsi="等线" w:eastAsia="仿宋_GB2312" w:cs="Times New Roman"/>
          <w:kern w:val="2"/>
          <w:sz w:val="32"/>
          <w:szCs w:val="32"/>
        </w:rPr>
      </w:pPr>
      <w:r>
        <w:rPr>
          <w:rFonts w:hint="default" w:ascii="仿宋_GB2312" w:hAnsi="等线" w:eastAsia="仿宋_GB2312" w:cs="仿宋_GB2312"/>
          <w:kern w:val="2"/>
          <w:sz w:val="32"/>
          <w:szCs w:val="32"/>
        </w:rPr>
        <w:t>全年部门项目资金支出合规合理，达到预期效果。</w:t>
      </w:r>
    </w:p>
    <w:p>
      <w:pPr>
        <w:keepNext w:val="0"/>
        <w:keepLines w:val="0"/>
        <w:widowControl w:val="0"/>
        <w:suppressLineNumbers w:val="0"/>
        <w:autoSpaceDE w:val="0"/>
        <w:autoSpaceDN/>
        <w:spacing w:line="590" w:lineRule="exact"/>
        <w:ind w:left="0" w:right="0" w:rightChars="0" w:firstLine="640" w:firstLineChars="200"/>
        <w:jc w:val="both"/>
        <w:rPr>
          <w:rFonts w:hint="eastAsia" w:ascii="黑体" w:hAnsi="宋体" w:eastAsia="黑体" w:cs="黑体"/>
          <w:b w:val="0"/>
          <w:bCs/>
          <w:kern w:val="2"/>
          <w:sz w:val="32"/>
          <w:szCs w:val="32"/>
        </w:rPr>
      </w:pPr>
      <w:r>
        <w:rPr>
          <w:rFonts w:hint="eastAsia" w:ascii="黑体" w:hAnsi="宋体" w:eastAsia="黑体" w:cs="黑体"/>
          <w:b w:val="0"/>
          <w:bCs/>
          <w:kern w:val="2"/>
          <w:sz w:val="32"/>
          <w:szCs w:val="32"/>
        </w:rPr>
        <w:t>四、绩效评价工作开展情况</w:t>
      </w:r>
    </w:p>
    <w:p>
      <w:pPr>
        <w:keepNext w:val="0"/>
        <w:keepLines w:val="0"/>
        <w:widowControl/>
        <w:suppressLineNumbers w:val="0"/>
        <w:autoSpaceDE w:val="0"/>
        <w:autoSpaceDN/>
        <w:spacing w:line="580" w:lineRule="exact"/>
        <w:ind w:left="0" w:leftChars="0" w:right="0" w:rightChars="0" w:firstLine="640" w:firstLineChars="200"/>
        <w:jc w:val="both"/>
        <w:rPr>
          <w:rFonts w:hint="default" w:ascii="仿宋_GB2312" w:eastAsia="仿宋_GB2312" w:cs="仿宋_GB2312"/>
          <w:bCs/>
          <w:kern w:val="0"/>
          <w:sz w:val="32"/>
          <w:szCs w:val="32"/>
        </w:rPr>
      </w:pPr>
      <w:r>
        <w:rPr>
          <w:rFonts w:hint="default" w:ascii="仿宋_GB2312" w:eastAsia="仿宋_GB2312" w:cs="仿宋_GB2312"/>
          <w:bCs/>
          <w:kern w:val="0"/>
          <w:sz w:val="32"/>
          <w:szCs w:val="32"/>
        </w:rPr>
        <w:t>（一）绩效评价的目的</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等线" w:eastAsia="仿宋_GB2312" w:cs="Times New Roman"/>
          <w:kern w:val="2"/>
          <w:sz w:val="32"/>
          <w:szCs w:val="32"/>
        </w:rPr>
      </w:pPr>
      <w:r>
        <w:rPr>
          <w:rFonts w:hint="default" w:ascii="仿宋_GB2312" w:eastAsia="仿宋_GB2312" w:cs="仿宋_GB2312"/>
          <w:kern w:val="2"/>
          <w:sz w:val="32"/>
          <w:szCs w:val="32"/>
        </w:rPr>
        <w:t>进一步推进信访局工作的制度化、规范化和程序化建设，转变工作作风，提高工作效率，为切实提高财政资金使用效益，强化预算支出的责任和效率提供参考依据。</w:t>
      </w:r>
    </w:p>
    <w:p>
      <w:pPr>
        <w:keepNext w:val="0"/>
        <w:keepLines w:val="0"/>
        <w:widowControl/>
        <w:suppressLineNumbers w:val="0"/>
        <w:autoSpaceDE w:val="0"/>
        <w:autoSpaceDN/>
        <w:spacing w:line="580" w:lineRule="exact"/>
        <w:ind w:left="0" w:leftChars="0" w:right="0" w:rightChars="0" w:firstLine="640" w:firstLineChars="200"/>
        <w:jc w:val="both"/>
        <w:rPr>
          <w:rFonts w:hint="default" w:ascii="仿宋_GB2312" w:eastAsia="仿宋_GB2312" w:cs="仿宋_GB2312"/>
          <w:bCs/>
          <w:kern w:val="0"/>
          <w:sz w:val="32"/>
          <w:szCs w:val="32"/>
        </w:rPr>
      </w:pPr>
      <w:r>
        <w:rPr>
          <w:rFonts w:hint="default" w:ascii="仿宋_GB2312" w:eastAsia="仿宋_GB2312" w:cs="仿宋_GB2312"/>
          <w:bCs/>
          <w:kern w:val="0"/>
          <w:sz w:val="32"/>
          <w:szCs w:val="32"/>
        </w:rPr>
        <w:t>（二）绩效评价工作过程</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等线" w:eastAsia="仿宋_GB2312" w:cs="Times New Roman"/>
          <w:kern w:val="2"/>
          <w:sz w:val="32"/>
          <w:szCs w:val="32"/>
        </w:rPr>
      </w:pPr>
      <w:r>
        <w:rPr>
          <w:rFonts w:hint="default" w:ascii="仿宋_GB2312" w:eastAsia="仿宋_GB2312" w:cs="仿宋_GB2312"/>
          <w:kern w:val="2"/>
          <w:sz w:val="32"/>
          <w:szCs w:val="32"/>
        </w:rPr>
        <w:t>按时进行资金通报，对资金使用进度进行分析，年末对资金使用进行评价并撰写评价报告。科学合理编制年度预算，提高财政资金使用效益，实现科学理财。</w:t>
      </w:r>
    </w:p>
    <w:p>
      <w:pPr>
        <w:keepNext w:val="0"/>
        <w:keepLines w:val="0"/>
        <w:widowControl/>
        <w:suppressLineNumbers w:val="0"/>
        <w:autoSpaceDE w:val="0"/>
        <w:autoSpaceDN/>
        <w:spacing w:line="580" w:lineRule="exact"/>
        <w:ind w:left="0" w:leftChars="0" w:right="0" w:rightChars="0" w:firstLine="643" w:firstLineChars="200"/>
        <w:jc w:val="both"/>
        <w:rPr>
          <w:rFonts w:hint="default" w:ascii="楷体_GB2312" w:eastAsia="楷体_GB2312" w:cs="楷体_GB2312"/>
          <w:b/>
          <w:bCs w:val="0"/>
          <w:kern w:val="0"/>
          <w:sz w:val="32"/>
          <w:szCs w:val="32"/>
        </w:rPr>
      </w:pPr>
      <w:r>
        <w:rPr>
          <w:rFonts w:hint="default" w:ascii="楷体_GB2312" w:eastAsia="楷体_GB2312" w:cs="楷体_GB2312"/>
          <w:b/>
          <w:bCs w:val="0"/>
          <w:kern w:val="0"/>
          <w:sz w:val="32"/>
          <w:szCs w:val="32"/>
        </w:rPr>
        <w:t>六、存在的主要问题</w:t>
      </w:r>
    </w:p>
    <w:p>
      <w:pPr>
        <w:keepNext w:val="0"/>
        <w:keepLines w:val="0"/>
        <w:widowControl w:val="0"/>
        <w:suppressLineNumbers w:val="0"/>
        <w:autoSpaceDE w:val="0"/>
        <w:autoSpaceDN/>
        <w:spacing w:line="580" w:lineRule="exact"/>
        <w:ind w:left="0" w:leftChars="0" w:right="0" w:rightChars="0" w:firstLine="640" w:firstLineChars="200"/>
        <w:jc w:val="both"/>
        <w:rPr>
          <w:rFonts w:hint="default" w:ascii="仿宋_GB2312" w:eastAsia="仿宋_GB2312" w:cs="仿宋_GB2312"/>
          <w:kern w:val="2"/>
          <w:sz w:val="32"/>
          <w:szCs w:val="32"/>
        </w:rPr>
      </w:pPr>
      <w:r>
        <w:rPr>
          <w:rFonts w:hint="default" w:ascii="仿宋_GB2312" w:eastAsia="仿宋_GB2312" w:cs="仿宋_GB2312"/>
          <w:kern w:val="2"/>
          <w:sz w:val="32"/>
          <w:szCs w:val="32"/>
        </w:rPr>
        <w:t xml:space="preserve">财务制度有待进一步完善，执行力度有待进一步加强，资金使用年度预算理念有待提高。 </w:t>
      </w:r>
    </w:p>
    <w:p>
      <w:pPr>
        <w:keepNext w:val="0"/>
        <w:keepLines w:val="0"/>
        <w:widowControl/>
        <w:suppressLineNumbers w:val="0"/>
        <w:autoSpaceDE w:val="0"/>
        <w:autoSpaceDN/>
        <w:spacing w:line="580" w:lineRule="exact"/>
        <w:ind w:left="0" w:leftChars="0" w:right="0" w:rightChars="0" w:firstLine="643" w:firstLineChars="200"/>
        <w:jc w:val="both"/>
        <w:rPr>
          <w:rFonts w:hint="default" w:ascii="楷体_GB2312" w:eastAsia="楷体_GB2312" w:cs="楷体_GB2312"/>
          <w:b/>
          <w:bCs w:val="0"/>
          <w:kern w:val="0"/>
          <w:sz w:val="32"/>
          <w:szCs w:val="32"/>
        </w:rPr>
      </w:pPr>
      <w:r>
        <w:rPr>
          <w:rFonts w:hint="default" w:ascii="楷体_GB2312" w:eastAsia="楷体_GB2312" w:cs="楷体_GB2312"/>
          <w:b/>
          <w:bCs w:val="0"/>
          <w:kern w:val="0"/>
          <w:sz w:val="32"/>
          <w:szCs w:val="32"/>
        </w:rPr>
        <w:t>七、改进措施和有关建议</w:t>
      </w:r>
    </w:p>
    <w:p>
      <w:pPr>
        <w:keepNext w:val="0"/>
        <w:keepLines w:val="0"/>
        <w:widowControl w:val="0"/>
        <w:suppressLineNumbers w:val="0"/>
        <w:autoSpaceDE w:val="0"/>
        <w:autoSpaceDN/>
        <w:spacing w:line="580" w:lineRule="exact"/>
        <w:ind w:left="0" w:leftChars="0" w:right="0" w:rightChars="0" w:firstLine="640" w:firstLineChars="200"/>
        <w:jc w:val="both"/>
        <w:rPr>
          <w:rFonts w:hint="eastAsia" w:ascii="等线" w:hAnsi="等线" w:eastAsia="等线" w:cs="Times New Roman"/>
          <w:kern w:val="2"/>
          <w:sz w:val="21"/>
          <w:szCs w:val="21"/>
        </w:rPr>
      </w:pPr>
      <w:r>
        <w:rPr>
          <w:rFonts w:hint="default" w:ascii="仿宋_GB2312" w:eastAsia="仿宋_GB2312" w:cs="仿宋_GB2312"/>
          <w:kern w:val="2"/>
          <w:sz w:val="32"/>
          <w:szCs w:val="32"/>
        </w:rPr>
        <w:t>科学合理编制年度支出预算，建立健全财务管理机制，依法有效使用财政资金，使有效资金发挥最大效益。</w:t>
      </w:r>
    </w:p>
    <w:p>
      <w:pPr>
        <w:keepNext w:val="0"/>
        <w:keepLines w:val="0"/>
        <w:widowControl w:val="0"/>
        <w:suppressLineNumbers w:val="0"/>
        <w:autoSpaceDE w:val="0"/>
        <w:autoSpaceDN/>
        <w:spacing w:line="590" w:lineRule="exact"/>
        <w:ind w:left="0" w:right="0" w:rightChars="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p>
    <w:p>
      <w:pPr>
        <w:keepNext w:val="0"/>
        <w:keepLines w:val="0"/>
        <w:widowControl w:val="0"/>
        <w:suppressLineNumbers w:val="0"/>
        <w:autoSpaceDE w:val="0"/>
        <w:autoSpaceDN/>
        <w:spacing w:line="590" w:lineRule="exact"/>
        <w:ind w:left="0" w:right="0" w:rightChars="0" w:firstLine="640" w:firstLineChars="200"/>
        <w:jc w:val="both"/>
        <w:rPr>
          <w:rFonts w:hint="default" w:ascii="仿宋_GB2312" w:hAnsi="仿宋" w:eastAsia="仿宋_GB2312" w:cs="Times New Roman"/>
          <w:kern w:val="2"/>
          <w:sz w:val="32"/>
          <w:szCs w:val="32"/>
        </w:rPr>
      </w:pPr>
      <w:r>
        <w:rPr>
          <w:rFonts w:hint="default" w:ascii="仿宋_GB2312" w:hAnsi="仿宋" w:eastAsia="仿宋_GB2312" w:cs="Times New Roman"/>
          <w:kern w:val="2"/>
          <w:sz w:val="32"/>
          <w:szCs w:val="32"/>
        </w:rPr>
        <w:t xml:space="preserve">                              </w:t>
      </w:r>
    </w:p>
    <w:p>
      <w:pPr>
        <w:spacing w:before="0" w:beforeAutospacing="0" w:after="2" w:afterAutospacing="0"/>
        <w:jc w:val="center"/>
        <w:rPr>
          <w:rFonts w:hint="eastAsia" w:ascii="等线" w:hAnsi="等线" w:eastAsia="等线" w:cs="Times New Roman"/>
          <w:kern w:val="2"/>
          <w:sz w:val="21"/>
          <w:szCs w:val="21"/>
        </w:rPr>
      </w:pPr>
    </w:p>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NzlkZDgwNjdjNTRiNjdmYzMzNDUwZDcxZWM1ZGIifQ=="/>
  </w:docVars>
  <w:rsids>
    <w:rsidRoot w:val="2F5C5051"/>
    <w:rsid w:val="1A4B0CB7"/>
    <w:rsid w:val="2F5C5051"/>
    <w:rsid w:val="72943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1"/>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2024-10-15T02:37:00Z</dcterms:created>
  <dc:creator>G.S.Z</dc:creator>
  <cp:lastModifiedBy>G.S.Z</cp:lastModifiedBy>
  <dcterms:modified xsi:type="dcterms:W3CDTF">2024-11-18T07:57:10Z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773E613AB6DC4715A90012046D39E89E_13</vt:lpwstr>
  </property>
</Properties>
</file>