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桃江县司法局202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部门整体支出</w:t>
      </w:r>
    </w:p>
    <w:p>
      <w:pPr>
        <w:keepNext w:val="0"/>
        <w:keepLines w:val="0"/>
        <w:pageBreakBefore w:val="0"/>
        <w:kinsoku/>
        <w:wordWrap/>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绩效报告</w:t>
      </w:r>
    </w:p>
    <w:p>
      <w:pPr>
        <w:keepNext w:val="0"/>
        <w:keepLines w:val="0"/>
        <w:pageBreakBefore w:val="0"/>
        <w:kinsoku/>
        <w:wordWrap/>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为进一步规范单位预算绩效目标管理，规范支出预算执行，提高财政资金使用效率，我局对202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部门整体支出</w:t>
      </w:r>
      <w:r>
        <w:rPr>
          <w:rFonts w:hint="default" w:ascii="Times New Roman" w:hAnsi="Times New Roman" w:eastAsia="仿宋_GB2312" w:cs="Times New Roman"/>
          <w:sz w:val="32"/>
          <w:szCs w:val="32"/>
        </w:rPr>
        <w:t>情况进行了绩效自评，现将有关情况报告如下：</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一、部门概况</w:t>
      </w:r>
    </w:p>
    <w:p>
      <w:pPr>
        <w:keepNext w:val="0"/>
        <w:keepLines w:val="0"/>
        <w:pageBreakBefore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（一）部门基本情况：</w:t>
      </w:r>
      <w:r>
        <w:rPr>
          <w:rFonts w:hint="default" w:ascii="Times New Roman" w:hAnsi="Times New Roman" w:eastAsia="仿宋_GB2312" w:cs="Times New Roman"/>
          <w:sz w:val="32"/>
          <w:szCs w:val="32"/>
        </w:rPr>
        <w:t>桃江县司法局是主管全县司法行政工作的政府组成部门，为财政预算全额拨款正科级行政单位，</w:t>
      </w:r>
      <w:r>
        <w:rPr>
          <w:rFonts w:hint="default" w:ascii="Times New Roman" w:hAnsi="Times New Roman" w:eastAsia="仿宋_GB2312" w:cs="Times New Roman"/>
          <w:sz w:val="32"/>
          <w:szCs w:val="32"/>
          <w:lang w:eastAsia="zh-CN"/>
        </w:rPr>
        <w:t>承担全面依法治县、法治政府建设、普法宣传、法律援助、人民调解、社区矫正、律师公证、法律服务等工作职能。内设</w:t>
      </w:r>
      <w:r>
        <w:rPr>
          <w:rFonts w:hint="default" w:ascii="Times New Roman" w:hAnsi="Times New Roman" w:eastAsia="仿宋_GB2312" w:cs="Times New Roman"/>
          <w:sz w:val="32"/>
          <w:szCs w:val="32"/>
          <w:lang w:val="en-US" w:eastAsia="zh-CN"/>
        </w:rPr>
        <w:t>12个职能股室，下辖16个基层司法所，2个事业单位（县法律援助中心、县公证处），行业管理2个司法鉴定所、2个律师事务所和7个法律服务所。</w:t>
      </w:r>
      <w:r>
        <w:rPr>
          <w:rFonts w:hint="eastAsia" w:eastAsia="仿宋_GB2312" w:cs="Times New Roman"/>
          <w:sz w:val="32"/>
          <w:szCs w:val="32"/>
          <w:lang w:val="en-US" w:eastAsia="zh-CN"/>
        </w:rPr>
        <w:t>2023年实有编制95个，其中</w:t>
      </w:r>
      <w:r>
        <w:rPr>
          <w:rFonts w:hint="default" w:ascii="Times New Roman" w:hAnsi="Times New Roman" w:eastAsia="仿宋_GB2312" w:cs="Times New Roman"/>
          <w:sz w:val="32"/>
          <w:szCs w:val="32"/>
          <w:lang w:val="en-US" w:eastAsia="zh-CN"/>
        </w:rPr>
        <w:t>政法专项编制81个</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全额事业编制9个</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自收自支事业编制5个。年</w:t>
      </w:r>
      <w:r>
        <w:rPr>
          <w:rFonts w:hint="eastAsia" w:eastAsia="仿宋_GB2312" w:cs="Times New Roman"/>
          <w:sz w:val="32"/>
          <w:szCs w:val="32"/>
          <w:lang w:val="en-US" w:eastAsia="zh-CN"/>
        </w:rPr>
        <w:t>末实有在职在编人员</w:t>
      </w:r>
      <w:r>
        <w:rPr>
          <w:rFonts w:hint="default" w:ascii="Times New Roman" w:hAnsi="Times New Roman" w:eastAsia="仿宋_GB2312" w:cs="Times New Roman"/>
          <w:sz w:val="32"/>
          <w:szCs w:val="32"/>
          <w:lang w:val="en-US" w:eastAsia="zh-CN"/>
        </w:rPr>
        <w:t>8</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人，其中</w:t>
      </w:r>
      <w:r>
        <w:rPr>
          <w:rFonts w:hint="eastAsia" w:eastAsia="仿宋_GB2312" w:cs="Times New Roman"/>
          <w:sz w:val="32"/>
          <w:szCs w:val="32"/>
          <w:lang w:val="en-US" w:eastAsia="zh-CN"/>
        </w:rPr>
        <w:t>行政编制人员</w:t>
      </w: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机关工勤人员1人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全额事业编</w:t>
      </w:r>
      <w:r>
        <w:rPr>
          <w:rFonts w:hint="eastAsia" w:eastAsia="仿宋_GB2312" w:cs="Times New Roman"/>
          <w:sz w:val="32"/>
          <w:szCs w:val="32"/>
          <w:lang w:val="en-US" w:eastAsia="zh-CN"/>
        </w:rPr>
        <w:t>人员9</w:t>
      </w:r>
      <w:r>
        <w:rPr>
          <w:rFonts w:hint="default" w:ascii="Times New Roman" w:hAnsi="Times New Roman" w:eastAsia="仿宋_GB2312" w:cs="Times New Roman"/>
          <w:sz w:val="32"/>
          <w:szCs w:val="32"/>
          <w:lang w:val="en-US" w:eastAsia="zh-CN"/>
        </w:rPr>
        <w:t>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自收自支</w:t>
      </w:r>
      <w:r>
        <w:rPr>
          <w:rFonts w:hint="eastAsia" w:eastAsia="仿宋_GB2312" w:cs="Times New Roman"/>
          <w:sz w:val="32"/>
          <w:szCs w:val="32"/>
          <w:lang w:val="en-US" w:eastAsia="zh-CN"/>
        </w:rPr>
        <w:t>人员3</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退休人员</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人。</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（二）部门主要职能：</w:t>
      </w:r>
      <w:r>
        <w:rPr>
          <w:rFonts w:hint="default" w:ascii="Times New Roman" w:hAnsi="Times New Roman" w:eastAsia="仿宋_GB2312" w:cs="Times New Roman"/>
          <w:sz w:val="32"/>
          <w:szCs w:val="32"/>
        </w:rPr>
        <w:t>贯彻执行</w:t>
      </w:r>
      <w:r>
        <w:rPr>
          <w:rFonts w:hint="default" w:ascii="Times New Roman" w:hAnsi="Times New Roman" w:eastAsia="仿宋_GB2312" w:cs="Times New Roman"/>
          <w:sz w:val="32"/>
          <w:szCs w:val="32"/>
          <w:lang w:eastAsia="zh-CN"/>
        </w:rPr>
        <w:t>党和国家</w:t>
      </w:r>
      <w:r>
        <w:rPr>
          <w:rFonts w:hint="default" w:ascii="Times New Roman" w:hAnsi="Times New Roman" w:eastAsia="仿宋_GB2312" w:cs="Times New Roman"/>
          <w:sz w:val="32"/>
          <w:szCs w:val="32"/>
        </w:rPr>
        <w:t>有关司法行政工作的法律、法规和方针、政策；</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全县司法行政工作中长期发展规划和年度计划并组织实施；</w:t>
      </w:r>
      <w:r>
        <w:rPr>
          <w:rFonts w:hint="default" w:ascii="Times New Roman" w:hAnsi="Times New Roman" w:eastAsia="仿宋_GB2312" w:cs="Times New Roman"/>
          <w:sz w:val="32"/>
          <w:szCs w:val="32"/>
          <w:lang w:eastAsia="zh-CN"/>
        </w:rPr>
        <w:t>统筹推进全面依法治县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面推进法治政府建设；对规范性文件及重大行政决策进行合法性审查；指导、监督全县行政执法工作；办理行政复议和行政应诉案件；开展法治宣传教育；开展社区矫正和刑满释放人员的安置帮教工作；指导管理律师、公证、司法鉴定和基层法律服务等工作；开展法律援助服务；化解各类矛盾纠纷；</w:t>
      </w:r>
      <w:r>
        <w:rPr>
          <w:rFonts w:hint="default" w:ascii="Times New Roman" w:hAnsi="Times New Roman" w:eastAsia="仿宋_GB2312" w:cs="Times New Roman"/>
          <w:sz w:val="32"/>
          <w:szCs w:val="32"/>
        </w:rPr>
        <w:t>指导管理全系统党的建设、队伍建设和思想政治建设工作；指导管理全系统的计划财务、服装和警用车辆等物资装备工作；承办县委、县人民政府和上级司法行政部门的其他事项。</w:t>
      </w:r>
    </w:p>
    <w:p>
      <w:pPr>
        <w:pStyle w:val="8"/>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u w:val="none"/>
        </w:rPr>
      </w:pPr>
      <w:r>
        <w:rPr>
          <w:rFonts w:hint="default" w:ascii="Times New Roman" w:hAnsi="Times New Roman" w:eastAsia="楷体_GB2312" w:cs="Times New Roman"/>
          <w:color w:val="auto"/>
          <w:kern w:val="2"/>
          <w:sz w:val="32"/>
          <w:szCs w:val="32"/>
          <w:u w:val="none"/>
        </w:rPr>
        <w:t>（三）部门整体支出规模与使用方向：</w:t>
      </w:r>
      <w:r>
        <w:rPr>
          <w:rFonts w:hint="default" w:ascii="Times New Roman" w:hAnsi="Times New Roman" w:eastAsia="仿宋_GB2312" w:cs="Times New Roman"/>
          <w:color w:val="auto"/>
          <w:kern w:val="2"/>
          <w:sz w:val="32"/>
          <w:szCs w:val="32"/>
          <w:u w:val="none"/>
        </w:rPr>
        <w:t>202</w:t>
      </w:r>
      <w:r>
        <w:rPr>
          <w:rFonts w:hint="eastAsia" w:ascii="Times New Roman" w:hAnsi="Times New Roman" w:eastAsia="仿宋_GB2312" w:cs="Times New Roman"/>
          <w:color w:val="auto"/>
          <w:kern w:val="2"/>
          <w:sz w:val="32"/>
          <w:szCs w:val="32"/>
          <w:u w:val="none"/>
          <w:lang w:val="en-US" w:eastAsia="zh-CN"/>
        </w:rPr>
        <w:t>3</w:t>
      </w:r>
      <w:r>
        <w:rPr>
          <w:rFonts w:hint="default" w:ascii="Times New Roman" w:hAnsi="Times New Roman" w:eastAsia="仿宋_GB2312" w:cs="Times New Roman"/>
          <w:color w:val="auto"/>
          <w:kern w:val="2"/>
          <w:sz w:val="32"/>
          <w:szCs w:val="32"/>
          <w:u w:val="none"/>
        </w:rPr>
        <w:t>年总支出</w:t>
      </w:r>
      <w:r>
        <w:rPr>
          <w:rFonts w:hint="eastAsia" w:ascii="Times New Roman" w:hAnsi="Times New Roman" w:eastAsia="仿宋_GB2312" w:cs="Times New Roman"/>
          <w:color w:val="auto"/>
          <w:kern w:val="2"/>
          <w:sz w:val="32"/>
          <w:szCs w:val="32"/>
          <w:u w:val="none"/>
          <w:lang w:val="en-US" w:eastAsia="zh-CN"/>
        </w:rPr>
        <w:t>1864.65</w:t>
      </w:r>
      <w:r>
        <w:rPr>
          <w:rFonts w:hint="default" w:ascii="Times New Roman" w:hAnsi="Times New Roman" w:eastAsia="仿宋_GB2312" w:cs="Times New Roman"/>
          <w:color w:val="auto"/>
          <w:kern w:val="2"/>
          <w:sz w:val="32"/>
          <w:szCs w:val="32"/>
          <w:u w:val="none"/>
        </w:rPr>
        <w:t>万元。其中：基本支出</w:t>
      </w:r>
      <w:r>
        <w:rPr>
          <w:rFonts w:hint="eastAsia" w:ascii="Times New Roman" w:hAnsi="Times New Roman" w:eastAsia="仿宋_GB2312" w:cs="Times New Roman"/>
          <w:color w:val="auto"/>
          <w:kern w:val="2"/>
          <w:sz w:val="32"/>
          <w:szCs w:val="32"/>
          <w:u w:val="none"/>
          <w:lang w:val="en-US" w:eastAsia="zh-CN"/>
        </w:rPr>
        <w:t>1240.26</w:t>
      </w:r>
      <w:r>
        <w:rPr>
          <w:rFonts w:hint="default" w:ascii="Times New Roman" w:hAnsi="Times New Roman" w:eastAsia="仿宋_GB2312" w:cs="Times New Roman"/>
          <w:color w:val="auto"/>
          <w:kern w:val="2"/>
          <w:sz w:val="32"/>
          <w:szCs w:val="32"/>
          <w:u w:val="none"/>
        </w:rPr>
        <w:t>万元，主要用于保障</w:t>
      </w:r>
      <w:r>
        <w:rPr>
          <w:rFonts w:hint="default" w:ascii="Times New Roman" w:hAnsi="Times New Roman" w:eastAsia="仿宋_GB2312" w:cs="Times New Roman"/>
          <w:color w:val="auto"/>
          <w:kern w:val="2"/>
          <w:sz w:val="32"/>
          <w:szCs w:val="32"/>
          <w:u w:val="none"/>
          <w:lang w:eastAsia="zh-CN"/>
        </w:rPr>
        <w:t>部门</w:t>
      </w:r>
      <w:r>
        <w:rPr>
          <w:rFonts w:hint="default" w:ascii="Times New Roman" w:hAnsi="Times New Roman" w:eastAsia="仿宋_GB2312" w:cs="Times New Roman"/>
          <w:color w:val="auto"/>
          <w:kern w:val="2"/>
          <w:sz w:val="32"/>
          <w:szCs w:val="32"/>
          <w:u w:val="none"/>
        </w:rPr>
        <w:t>正常运转、完成日常工作任务而发生的支出，包括基本工资、津贴补贴等人员经费</w:t>
      </w:r>
      <w:r>
        <w:rPr>
          <w:rFonts w:hint="default" w:ascii="Times New Roman" w:hAnsi="Times New Roman" w:eastAsia="仿宋_GB2312" w:cs="Times New Roman"/>
          <w:color w:val="auto"/>
          <w:kern w:val="2"/>
          <w:sz w:val="32"/>
          <w:szCs w:val="32"/>
          <w:u w:val="none"/>
          <w:lang w:eastAsia="zh-CN"/>
        </w:rPr>
        <w:t>和</w:t>
      </w:r>
      <w:r>
        <w:rPr>
          <w:rFonts w:hint="default" w:ascii="Times New Roman" w:hAnsi="Times New Roman" w:eastAsia="仿宋_GB2312" w:cs="Times New Roman"/>
          <w:color w:val="auto"/>
          <w:kern w:val="2"/>
          <w:sz w:val="32"/>
          <w:szCs w:val="32"/>
          <w:u w:val="none"/>
        </w:rPr>
        <w:t>办公费、印刷费、水电费、办公设备购置等日常公用经费，占总支出的</w:t>
      </w:r>
      <w:r>
        <w:rPr>
          <w:rFonts w:hint="eastAsia" w:ascii="Times New Roman" w:hAnsi="Times New Roman" w:eastAsia="仿宋_GB2312" w:cs="Times New Roman"/>
          <w:color w:val="auto"/>
          <w:kern w:val="2"/>
          <w:sz w:val="32"/>
          <w:szCs w:val="32"/>
          <w:u w:val="none"/>
          <w:lang w:val="en-US" w:eastAsia="zh-CN"/>
        </w:rPr>
        <w:t>66.51</w:t>
      </w:r>
      <w:r>
        <w:rPr>
          <w:rFonts w:hint="default" w:ascii="Times New Roman" w:hAnsi="Times New Roman" w:eastAsia="仿宋_GB2312" w:cs="Times New Roman"/>
          <w:color w:val="auto"/>
          <w:kern w:val="2"/>
          <w:sz w:val="32"/>
          <w:szCs w:val="32"/>
          <w:u w:val="none"/>
        </w:rPr>
        <w:t>％；项目支出</w:t>
      </w:r>
      <w:r>
        <w:rPr>
          <w:rFonts w:hint="eastAsia" w:ascii="Times New Roman" w:hAnsi="Times New Roman" w:eastAsia="仿宋_GB2312" w:cs="Times New Roman"/>
          <w:color w:val="auto"/>
          <w:kern w:val="2"/>
          <w:sz w:val="32"/>
          <w:szCs w:val="32"/>
          <w:u w:val="none"/>
          <w:lang w:val="en-US" w:eastAsia="zh-CN"/>
        </w:rPr>
        <w:t>624.39</w:t>
      </w:r>
      <w:r>
        <w:rPr>
          <w:rFonts w:hint="default" w:ascii="Times New Roman" w:hAnsi="Times New Roman" w:eastAsia="仿宋_GB2312" w:cs="Times New Roman"/>
          <w:color w:val="auto"/>
          <w:kern w:val="2"/>
          <w:sz w:val="32"/>
          <w:szCs w:val="32"/>
          <w:u w:val="none"/>
        </w:rPr>
        <w:t>万元，是用于保障完成特定的工作任务或发展目标</w:t>
      </w:r>
      <w:r>
        <w:rPr>
          <w:rFonts w:hint="default" w:ascii="Times New Roman" w:hAnsi="Times New Roman" w:eastAsia="仿宋_GB2312" w:cs="Times New Roman"/>
          <w:color w:val="auto"/>
          <w:kern w:val="2"/>
          <w:sz w:val="32"/>
          <w:szCs w:val="32"/>
          <w:u w:val="none"/>
          <w:lang w:eastAsia="zh-CN"/>
        </w:rPr>
        <w:t>的</w:t>
      </w:r>
      <w:r>
        <w:rPr>
          <w:rFonts w:hint="default" w:ascii="Times New Roman" w:hAnsi="Times New Roman" w:eastAsia="仿宋_GB2312" w:cs="Times New Roman"/>
          <w:color w:val="auto"/>
          <w:kern w:val="2"/>
          <w:sz w:val="32"/>
          <w:szCs w:val="32"/>
          <w:u w:val="none"/>
        </w:rPr>
        <w:t>专项业务经费支出，主要包括：普法宣传、人民调解</w:t>
      </w:r>
      <w:r>
        <w:rPr>
          <w:rFonts w:hint="default" w:ascii="Times New Roman" w:hAnsi="Times New Roman" w:eastAsia="仿宋_GB2312" w:cs="Times New Roman"/>
          <w:color w:val="auto"/>
          <w:kern w:val="2"/>
          <w:sz w:val="32"/>
          <w:szCs w:val="32"/>
          <w:u w:val="none"/>
          <w:lang w:eastAsia="zh-CN"/>
        </w:rPr>
        <w:t>、以奖代补</w:t>
      </w:r>
      <w:r>
        <w:rPr>
          <w:rFonts w:hint="default" w:ascii="Times New Roman" w:hAnsi="Times New Roman" w:eastAsia="仿宋_GB2312" w:cs="Times New Roman"/>
          <w:color w:val="auto"/>
          <w:kern w:val="2"/>
          <w:sz w:val="32"/>
          <w:szCs w:val="32"/>
          <w:u w:val="none"/>
        </w:rPr>
        <w:t>、社区矫正</w:t>
      </w:r>
      <w:r>
        <w:rPr>
          <w:rFonts w:hint="default" w:ascii="Times New Roman" w:hAnsi="Times New Roman" w:eastAsia="仿宋_GB2312" w:cs="Times New Roman"/>
          <w:color w:val="auto"/>
          <w:kern w:val="2"/>
          <w:sz w:val="32"/>
          <w:szCs w:val="32"/>
          <w:u w:val="none"/>
          <w:lang w:eastAsia="zh-CN"/>
        </w:rPr>
        <w:t>、安置帮教</w:t>
      </w:r>
      <w:r>
        <w:rPr>
          <w:rFonts w:hint="default" w:ascii="Times New Roman" w:hAnsi="Times New Roman" w:eastAsia="仿宋_GB2312" w:cs="Times New Roman"/>
          <w:color w:val="auto"/>
          <w:kern w:val="2"/>
          <w:sz w:val="32"/>
          <w:szCs w:val="32"/>
          <w:u w:val="none"/>
        </w:rPr>
        <w:t>、法律援助、行政执法</w:t>
      </w:r>
      <w:r>
        <w:rPr>
          <w:rFonts w:hint="default" w:ascii="Times New Roman" w:hAnsi="Times New Roman" w:eastAsia="仿宋_GB2312" w:cs="Times New Roman"/>
          <w:color w:val="auto"/>
          <w:kern w:val="2"/>
          <w:sz w:val="32"/>
          <w:szCs w:val="32"/>
          <w:u w:val="none"/>
          <w:lang w:eastAsia="zh-CN"/>
        </w:rPr>
        <w:t>、法治建设</w:t>
      </w:r>
      <w:r>
        <w:rPr>
          <w:rFonts w:hint="default" w:ascii="Times New Roman" w:hAnsi="Times New Roman" w:eastAsia="仿宋_GB2312" w:cs="Times New Roman"/>
          <w:color w:val="auto"/>
          <w:kern w:val="2"/>
          <w:sz w:val="32"/>
          <w:szCs w:val="32"/>
          <w:u w:val="none"/>
        </w:rPr>
        <w:t>等工作，占总支出的</w:t>
      </w:r>
      <w:r>
        <w:rPr>
          <w:rFonts w:hint="eastAsia" w:ascii="Times New Roman" w:hAnsi="Times New Roman" w:eastAsia="仿宋_GB2312" w:cs="Times New Roman"/>
          <w:color w:val="auto"/>
          <w:kern w:val="2"/>
          <w:sz w:val="32"/>
          <w:szCs w:val="32"/>
          <w:u w:val="none"/>
          <w:lang w:val="en-US" w:eastAsia="zh-CN"/>
        </w:rPr>
        <w:t>33.49</w:t>
      </w:r>
      <w:r>
        <w:rPr>
          <w:rFonts w:hint="default" w:ascii="Times New Roman" w:hAnsi="Times New Roman" w:eastAsia="仿宋_GB2312" w:cs="Times New Roman"/>
          <w:color w:val="auto"/>
          <w:kern w:val="2"/>
          <w:sz w:val="32"/>
          <w:szCs w:val="32"/>
          <w:u w:val="none"/>
        </w:rPr>
        <w:t>％。</w:t>
      </w:r>
    </w:p>
    <w:p>
      <w:pPr>
        <w:pStyle w:val="8"/>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_GB2312" w:cs="Times New Roman"/>
          <w:color w:val="auto"/>
          <w:kern w:val="2"/>
          <w:sz w:val="32"/>
          <w:szCs w:val="32"/>
          <w:u w:val="none"/>
        </w:rPr>
        <w:t>（四）绩效目标设立情况</w:t>
      </w:r>
      <w:r>
        <w:rPr>
          <w:rFonts w:hint="default" w:ascii="Times New Roman" w:hAnsi="Times New Roman" w:eastAsia="楷体_GB2312" w:cs="Times New Roman"/>
          <w:color w:val="auto"/>
          <w:kern w:val="2"/>
          <w:sz w:val="32"/>
          <w:szCs w:val="32"/>
          <w:u w:val="none"/>
          <w:lang w:eastAsia="zh-CN"/>
        </w:rPr>
        <w:t>：</w:t>
      </w:r>
      <w:r>
        <w:rPr>
          <w:rFonts w:hint="default" w:ascii="Times New Roman" w:hAnsi="Times New Roman" w:eastAsia="仿宋_GB2312" w:cs="Times New Roman"/>
          <w:color w:val="auto"/>
          <w:kern w:val="2"/>
          <w:sz w:val="32"/>
          <w:szCs w:val="32"/>
          <w:u w:val="none"/>
          <w:lang w:eastAsia="zh-CN"/>
        </w:rPr>
        <w:t>根据预算绩效目标管理相关规定，结合年度目标任务，</w:t>
      </w:r>
      <w:r>
        <w:rPr>
          <w:rFonts w:hint="default" w:ascii="Times New Roman" w:hAnsi="Times New Roman" w:eastAsia="仿宋_GB2312" w:cs="Times New Roman"/>
          <w:color w:val="auto"/>
          <w:kern w:val="2"/>
          <w:sz w:val="32"/>
          <w:szCs w:val="32"/>
          <w:u w:val="none"/>
          <w:lang w:val="en-US" w:eastAsia="zh-CN"/>
        </w:rPr>
        <w:t>2023年</w:t>
      </w:r>
      <w:r>
        <w:rPr>
          <w:rFonts w:hint="default" w:ascii="Times New Roman" w:hAnsi="Times New Roman" w:eastAsia="仿宋_GB2312" w:cs="Times New Roman"/>
          <w:color w:val="auto"/>
          <w:kern w:val="2"/>
          <w:sz w:val="32"/>
          <w:szCs w:val="32"/>
          <w:u w:val="none"/>
          <w:lang w:eastAsia="zh-CN"/>
        </w:rPr>
        <w:t>主要绩效目标为：持续抓好“八五”普法工作，完成“八五”普法中期验收；完成“智慧矫正中心”建设；</w:t>
      </w:r>
      <w:r>
        <w:rPr>
          <w:rFonts w:hint="default" w:ascii="Times New Roman" w:hAnsi="Times New Roman" w:eastAsia="仿宋_GB2312" w:cs="Times New Roman"/>
          <w:color w:val="auto"/>
          <w:kern w:val="2"/>
          <w:sz w:val="32"/>
          <w:szCs w:val="32"/>
          <w:u w:val="none"/>
          <w:lang w:val="en-US" w:eastAsia="zh-CN"/>
        </w:rPr>
        <w:t>开展法治政府建设，组织开展专项督察1次；</w:t>
      </w:r>
      <w:r>
        <w:rPr>
          <w:rFonts w:hint="default" w:ascii="Times New Roman" w:hAnsi="Times New Roman" w:eastAsia="仿宋_GB2312" w:cs="Times New Roman"/>
          <w:color w:val="auto"/>
          <w:kern w:val="2"/>
          <w:sz w:val="32"/>
          <w:szCs w:val="32"/>
          <w:u w:val="none"/>
          <w:lang w:eastAsia="zh-CN"/>
        </w:rPr>
        <w:t>组织开展全面依法治县工作业务培训</w:t>
      </w:r>
      <w:r>
        <w:rPr>
          <w:rFonts w:hint="default" w:ascii="Times New Roman" w:hAnsi="Times New Roman" w:eastAsia="仿宋_GB2312" w:cs="Times New Roman"/>
          <w:color w:val="auto"/>
          <w:kern w:val="2"/>
          <w:sz w:val="32"/>
          <w:szCs w:val="32"/>
          <w:u w:val="none"/>
          <w:lang w:val="en-US" w:eastAsia="zh-CN"/>
        </w:rPr>
        <w:t>1期；加强规范性文件清理，完成全县规范性文件清理工作；开展“乡村振兴 法治同行”“法润三湘”公共法律服务活动不少于3次；承办法律援助案件不少于200件；</w:t>
      </w:r>
      <w:r>
        <w:rPr>
          <w:rFonts w:hint="eastAsia" w:ascii="Times New Roman" w:hAnsi="Times New Roman" w:eastAsia="仿宋_GB2312" w:cs="Times New Roman"/>
          <w:color w:val="auto"/>
          <w:kern w:val="2"/>
          <w:sz w:val="32"/>
          <w:szCs w:val="32"/>
          <w:u w:val="none"/>
          <w:lang w:val="en-US" w:eastAsia="zh-CN"/>
        </w:rPr>
        <w:t>开展法律援助、公证、司法鉴定案件质量评估活动1次以上；</w:t>
      </w:r>
      <w:r>
        <w:rPr>
          <w:rFonts w:hint="default" w:ascii="Times New Roman" w:hAnsi="Times New Roman" w:eastAsia="仿宋_GB2312" w:cs="Times New Roman"/>
          <w:color w:val="auto"/>
          <w:kern w:val="2"/>
          <w:sz w:val="32"/>
          <w:szCs w:val="32"/>
          <w:u w:val="none"/>
          <w:lang w:val="en-US" w:eastAsia="zh-CN"/>
        </w:rPr>
        <w:t>切实加强社矫对象管理，确保不因执行机关的原因出现社矫对象脱管、漏管；办理监狱服刑人员家属视频会见不少于50人次；开展社区矛盾纠纷集中排查调处活动，及时化解重大矛盾纠纷，指导调处积案3起以上，组织开展人民调解员培训1期，新建1个专业性行业调委会或志愿调解组织；组织指导开展农村法治宣传月、宪法宣传周等普法宣传活动；办理行政复议案件15件以上，办理行政应诉案件6件以上，将行政复议案件按时间节点要求录入全国行政复议工作平台；</w:t>
      </w:r>
      <w:r>
        <w:rPr>
          <w:rFonts w:hint="default" w:ascii="Times New Roman" w:hAnsi="Times New Roman" w:eastAsia="仿宋_GB2312" w:cs="Times New Roman"/>
          <w:color w:val="auto"/>
          <w:kern w:val="2"/>
          <w:sz w:val="32"/>
          <w:szCs w:val="32"/>
          <w:u w:val="none"/>
          <w:lang w:eastAsia="zh-CN"/>
        </w:rPr>
        <w:t>督促落实行政执法“三项制度”，年度开展行政执法监督检查</w:t>
      </w:r>
      <w:r>
        <w:rPr>
          <w:rFonts w:hint="default" w:ascii="Times New Roman" w:hAnsi="Times New Roman" w:eastAsia="仿宋_GB2312" w:cs="Times New Roman"/>
          <w:color w:val="auto"/>
          <w:kern w:val="2"/>
          <w:sz w:val="32"/>
          <w:szCs w:val="32"/>
          <w:u w:val="none"/>
          <w:lang w:val="en-US" w:eastAsia="zh-CN"/>
        </w:rPr>
        <w:t>1</w:t>
      </w:r>
      <w:r>
        <w:rPr>
          <w:rFonts w:hint="default" w:ascii="Times New Roman" w:hAnsi="Times New Roman" w:eastAsia="仿宋_GB2312" w:cs="Times New Roman"/>
          <w:color w:val="auto"/>
          <w:kern w:val="2"/>
          <w:sz w:val="32"/>
          <w:szCs w:val="32"/>
          <w:u w:val="none"/>
          <w:lang w:eastAsia="zh-CN"/>
        </w:rPr>
        <w:t>次以上、行政执法案卷评查</w:t>
      </w:r>
      <w:r>
        <w:rPr>
          <w:rFonts w:hint="default" w:ascii="Times New Roman" w:hAnsi="Times New Roman" w:eastAsia="仿宋_GB2312" w:cs="Times New Roman"/>
          <w:color w:val="auto"/>
          <w:kern w:val="2"/>
          <w:sz w:val="32"/>
          <w:szCs w:val="32"/>
          <w:u w:val="none"/>
          <w:lang w:val="en-US" w:eastAsia="zh-CN"/>
        </w:rPr>
        <w:t>1次以上。</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二、部门整体支出管理及使用情况分析</w:t>
      </w:r>
    </w:p>
    <w:p>
      <w:pPr>
        <w:pStyle w:val="8"/>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u w:val="none"/>
          <w:lang w:val="en-US" w:eastAsia="zh-CN" w:bidi="ar-SA"/>
        </w:rPr>
        <w:t>（一）基本支出</w:t>
      </w:r>
    </w:p>
    <w:p>
      <w:pPr>
        <w:pStyle w:val="8"/>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kern w:val="2"/>
          <w:sz w:val="32"/>
          <w:szCs w:val="32"/>
          <w:u w:val="none"/>
          <w:lang w:eastAsia="zh-CN"/>
        </w:rPr>
        <w:t>基本支出主要用于：</w:t>
      </w:r>
      <w:r>
        <w:rPr>
          <w:rFonts w:hint="default" w:ascii="Times New Roman" w:hAnsi="Times New Roman" w:eastAsia="仿宋_GB2312" w:cs="Times New Roman"/>
          <w:color w:val="auto"/>
          <w:kern w:val="2"/>
          <w:sz w:val="32"/>
          <w:szCs w:val="32"/>
          <w:u w:val="none"/>
        </w:rPr>
        <w:t>工资福利支出</w:t>
      </w:r>
      <w:r>
        <w:rPr>
          <w:rFonts w:hint="eastAsia" w:ascii="Times New Roman" w:hAnsi="Times New Roman" w:eastAsia="仿宋_GB2312" w:cs="Times New Roman"/>
          <w:color w:val="auto"/>
          <w:kern w:val="2"/>
          <w:sz w:val="32"/>
          <w:szCs w:val="32"/>
          <w:u w:val="none"/>
          <w:lang w:val="en-US" w:eastAsia="zh-CN"/>
        </w:rPr>
        <w:t>1086.49</w:t>
      </w:r>
      <w:r>
        <w:rPr>
          <w:rFonts w:hint="default" w:ascii="Times New Roman" w:hAnsi="Times New Roman" w:eastAsia="仿宋_GB2312" w:cs="Times New Roman"/>
          <w:color w:val="auto"/>
          <w:kern w:val="2"/>
          <w:sz w:val="32"/>
          <w:szCs w:val="32"/>
          <w:u w:val="none"/>
        </w:rPr>
        <w:t>万元，对个人和家庭的补助</w:t>
      </w:r>
      <w:r>
        <w:rPr>
          <w:rFonts w:hint="eastAsia" w:ascii="Times New Roman" w:hAnsi="Times New Roman" w:eastAsia="仿宋_GB2312" w:cs="Times New Roman"/>
          <w:color w:val="auto"/>
          <w:kern w:val="2"/>
          <w:sz w:val="32"/>
          <w:szCs w:val="32"/>
          <w:u w:val="none"/>
          <w:lang w:val="en-US" w:eastAsia="zh-CN"/>
        </w:rPr>
        <w:t>34.34</w:t>
      </w:r>
      <w:r>
        <w:rPr>
          <w:rFonts w:hint="default" w:ascii="Times New Roman" w:hAnsi="Times New Roman" w:eastAsia="仿宋_GB2312" w:cs="Times New Roman"/>
          <w:color w:val="auto"/>
          <w:kern w:val="2"/>
          <w:sz w:val="32"/>
          <w:szCs w:val="32"/>
          <w:u w:val="none"/>
        </w:rPr>
        <w:t>万元，</w:t>
      </w:r>
      <w:r>
        <w:rPr>
          <w:rFonts w:hint="default" w:ascii="Times New Roman" w:hAnsi="Times New Roman" w:eastAsia="仿宋_GB2312" w:cs="Times New Roman"/>
          <w:color w:val="000000" w:themeColor="text1"/>
          <w:kern w:val="2"/>
          <w:sz w:val="32"/>
          <w:szCs w:val="32"/>
          <w:u w:val="none"/>
        </w:rPr>
        <w:t>三公经费</w:t>
      </w:r>
      <w:r>
        <w:rPr>
          <w:rFonts w:hint="eastAsia" w:ascii="Times New Roman" w:hAnsi="Times New Roman" w:eastAsia="仿宋_GB2312" w:cs="Times New Roman"/>
          <w:color w:val="000000" w:themeColor="text1"/>
          <w:kern w:val="2"/>
          <w:sz w:val="32"/>
          <w:szCs w:val="32"/>
          <w:u w:val="none"/>
          <w:lang w:val="en-US" w:eastAsia="zh-CN"/>
        </w:rPr>
        <w:t>5.95</w:t>
      </w:r>
      <w:r>
        <w:rPr>
          <w:rFonts w:hint="default" w:ascii="Times New Roman" w:hAnsi="Times New Roman" w:eastAsia="仿宋_GB2312" w:cs="Times New Roman"/>
          <w:color w:val="000000" w:themeColor="text1"/>
          <w:kern w:val="2"/>
          <w:sz w:val="32"/>
          <w:szCs w:val="32"/>
          <w:u w:val="none"/>
        </w:rPr>
        <w:t>万元</w:t>
      </w:r>
      <w:r>
        <w:rPr>
          <w:rFonts w:hint="default" w:ascii="Times New Roman" w:hAnsi="Times New Roman" w:eastAsia="仿宋_GB2312" w:cs="Times New Roman"/>
          <w:color w:val="000000" w:themeColor="text1"/>
          <w:kern w:val="2"/>
          <w:sz w:val="32"/>
          <w:szCs w:val="32"/>
          <w:u w:val="none"/>
          <w:lang w:eastAsia="zh-CN"/>
        </w:rPr>
        <w:t>（其中公务接待</w:t>
      </w:r>
      <w:r>
        <w:rPr>
          <w:rFonts w:hint="default" w:ascii="Times New Roman" w:hAnsi="Times New Roman" w:eastAsia="仿宋_GB2312" w:cs="Times New Roman"/>
          <w:color w:val="000000" w:themeColor="text1"/>
          <w:kern w:val="2"/>
          <w:sz w:val="32"/>
          <w:szCs w:val="32"/>
          <w:u w:val="none"/>
          <w:lang w:val="en-US" w:eastAsia="zh-CN"/>
        </w:rPr>
        <w:t>1.2万元，公务用车4.7</w:t>
      </w:r>
      <w:r>
        <w:rPr>
          <w:rFonts w:hint="eastAsia" w:ascii="Times New Roman" w:hAnsi="Times New Roman" w:eastAsia="仿宋_GB2312" w:cs="Times New Roman"/>
          <w:color w:val="000000" w:themeColor="text1"/>
          <w:kern w:val="2"/>
          <w:sz w:val="32"/>
          <w:szCs w:val="32"/>
          <w:u w:val="none"/>
          <w:lang w:val="en-US" w:eastAsia="zh-CN"/>
        </w:rPr>
        <w:t>5</w:t>
      </w:r>
      <w:r>
        <w:rPr>
          <w:rFonts w:hint="default" w:ascii="Times New Roman" w:hAnsi="Times New Roman" w:eastAsia="仿宋_GB2312" w:cs="Times New Roman"/>
          <w:color w:val="000000" w:themeColor="text1"/>
          <w:kern w:val="2"/>
          <w:sz w:val="32"/>
          <w:szCs w:val="32"/>
          <w:u w:val="none"/>
          <w:lang w:val="en-US" w:eastAsia="zh-CN"/>
        </w:rPr>
        <w:t>万元</w:t>
      </w:r>
      <w:r>
        <w:rPr>
          <w:rFonts w:hint="default" w:ascii="Times New Roman" w:hAnsi="Times New Roman" w:eastAsia="仿宋_GB2312" w:cs="Times New Roman"/>
          <w:color w:val="000000" w:themeColor="text1"/>
          <w:kern w:val="2"/>
          <w:sz w:val="32"/>
          <w:szCs w:val="32"/>
          <w:u w:val="none"/>
          <w:lang w:eastAsia="zh-CN"/>
        </w:rPr>
        <w:t>）</w:t>
      </w:r>
      <w:r>
        <w:rPr>
          <w:rFonts w:hint="default" w:ascii="Times New Roman" w:hAnsi="Times New Roman" w:eastAsia="仿宋_GB2312" w:cs="Times New Roman"/>
          <w:color w:val="auto"/>
          <w:kern w:val="2"/>
          <w:sz w:val="32"/>
          <w:szCs w:val="32"/>
          <w:u w:val="none"/>
        </w:rPr>
        <w:t>，商品和服务支出</w:t>
      </w:r>
      <w:r>
        <w:rPr>
          <w:rFonts w:hint="eastAsia" w:ascii="Times New Roman" w:hAnsi="Times New Roman" w:eastAsia="仿宋_GB2312" w:cs="Times New Roman"/>
          <w:color w:val="auto"/>
          <w:kern w:val="2"/>
          <w:sz w:val="32"/>
          <w:szCs w:val="32"/>
          <w:u w:val="none"/>
          <w:lang w:val="en-US" w:eastAsia="zh-CN"/>
        </w:rPr>
        <w:t>119.43</w:t>
      </w:r>
      <w:r>
        <w:rPr>
          <w:rFonts w:hint="default" w:ascii="Times New Roman" w:hAnsi="Times New Roman" w:eastAsia="仿宋_GB2312" w:cs="Times New Roman"/>
          <w:color w:val="auto"/>
          <w:kern w:val="2"/>
          <w:sz w:val="32"/>
          <w:szCs w:val="32"/>
          <w:u w:val="none"/>
        </w:rPr>
        <w:t>万元。</w:t>
      </w:r>
    </w:p>
    <w:p>
      <w:pPr>
        <w:keepNext w:val="0"/>
        <w:keepLines w:val="0"/>
        <w:pageBreakBefore w:val="0"/>
        <w:widowControl/>
        <w:tabs>
          <w:tab w:val="left" w:pos="3396"/>
        </w:tabs>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（二）项目支出</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000000" w:themeColor="text1"/>
          <w:kern w:val="2"/>
          <w:sz w:val="32"/>
          <w:szCs w:val="32"/>
          <w:u w:val="none"/>
          <w:lang w:val="en-US" w:eastAsia="zh-CN" w:bidi="ar-SA"/>
        </w:rPr>
      </w:pPr>
      <w:r>
        <w:rPr>
          <w:rFonts w:hint="default" w:ascii="Times New Roman" w:hAnsi="Times New Roman" w:eastAsia="楷体_GB2312" w:cs="Times New Roman"/>
          <w:color w:val="000000" w:themeColor="text1"/>
          <w:kern w:val="2"/>
          <w:sz w:val="32"/>
          <w:szCs w:val="32"/>
          <w:u w:val="none"/>
          <w:lang w:val="en-US" w:eastAsia="zh-CN" w:bidi="ar-SA"/>
        </w:rPr>
        <w:t>1. 项目资金（包括财政资金、自筹资金等）安排落实、总投入等情况分析。</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项目支出总投入</w:t>
      </w:r>
      <w:r>
        <w:rPr>
          <w:rFonts w:hint="eastAsia" w:eastAsia="仿宋_GB2312" w:cs="Times New Roman"/>
          <w:sz w:val="32"/>
          <w:szCs w:val="32"/>
          <w:lang w:val="en-US" w:eastAsia="zh-CN"/>
        </w:rPr>
        <w:t>624.39</w:t>
      </w:r>
      <w:r>
        <w:rPr>
          <w:rFonts w:hint="default" w:ascii="Times New Roman" w:hAnsi="Times New Roman" w:eastAsia="仿宋_GB2312" w:cs="Times New Roman"/>
          <w:sz w:val="32"/>
          <w:szCs w:val="32"/>
        </w:rPr>
        <w:t>万元，全部为财政资金。</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000000" w:themeColor="text1"/>
          <w:kern w:val="2"/>
          <w:sz w:val="32"/>
          <w:szCs w:val="32"/>
          <w:u w:val="none"/>
          <w:lang w:val="en-US" w:eastAsia="zh-CN" w:bidi="ar-SA"/>
        </w:rPr>
      </w:pPr>
      <w:r>
        <w:rPr>
          <w:rFonts w:hint="default" w:ascii="Times New Roman" w:hAnsi="Times New Roman" w:eastAsia="楷体_GB2312" w:cs="Times New Roman"/>
          <w:color w:val="000000" w:themeColor="text1"/>
          <w:kern w:val="2"/>
          <w:sz w:val="32"/>
          <w:szCs w:val="32"/>
          <w:u w:val="none"/>
          <w:lang w:val="en-US" w:eastAsia="zh-CN" w:bidi="ar-SA"/>
        </w:rPr>
        <w:t>2. 项目资金（主要指财政资金）实际使用情况分析。</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项目支出主要用于：一般行政管理事务</w:t>
      </w:r>
      <w:r>
        <w:rPr>
          <w:rFonts w:hint="default" w:ascii="Times New Roman" w:hAnsi="Times New Roman" w:eastAsia="仿宋_GB2312" w:cs="Times New Roman"/>
          <w:sz w:val="32"/>
          <w:szCs w:val="32"/>
          <w:lang w:eastAsia="zh-CN"/>
        </w:rPr>
        <w:t>（以奖代补等）</w:t>
      </w:r>
      <w:r>
        <w:rPr>
          <w:rFonts w:hint="eastAsia" w:eastAsia="仿宋_GB2312" w:cs="Times New Roman"/>
          <w:sz w:val="32"/>
          <w:szCs w:val="32"/>
          <w:lang w:val="en-US" w:eastAsia="zh-CN"/>
        </w:rPr>
        <w:t>131.81</w:t>
      </w:r>
      <w:r>
        <w:rPr>
          <w:rFonts w:hint="default" w:ascii="Times New Roman" w:hAnsi="Times New Roman" w:eastAsia="仿宋_GB2312" w:cs="Times New Roman"/>
          <w:sz w:val="32"/>
          <w:szCs w:val="32"/>
        </w:rPr>
        <w:t>万元，基层司法业务</w:t>
      </w:r>
      <w:r>
        <w:rPr>
          <w:rFonts w:hint="default" w:ascii="Times New Roman" w:hAnsi="Times New Roman" w:eastAsia="仿宋_GB2312" w:cs="Times New Roman"/>
          <w:sz w:val="32"/>
          <w:szCs w:val="32"/>
          <w:lang w:eastAsia="zh-CN"/>
        </w:rPr>
        <w:t>（安置帮教及人民调解经费）</w:t>
      </w:r>
      <w:r>
        <w:rPr>
          <w:rFonts w:hint="eastAsia" w:eastAsia="仿宋_GB2312" w:cs="Times New Roman"/>
          <w:sz w:val="32"/>
          <w:szCs w:val="32"/>
          <w:lang w:val="en-US" w:eastAsia="zh-CN"/>
        </w:rPr>
        <w:t>46</w:t>
      </w:r>
      <w:r>
        <w:rPr>
          <w:rFonts w:hint="default" w:ascii="Times New Roman" w:hAnsi="Times New Roman" w:eastAsia="仿宋_GB2312" w:cs="Times New Roman"/>
          <w:sz w:val="32"/>
          <w:szCs w:val="32"/>
        </w:rPr>
        <w:t>万元，普法宣传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依法治县专项经费</w:t>
      </w:r>
      <w:r>
        <w:rPr>
          <w:rFonts w:hint="eastAsia" w:eastAsia="仿宋_GB2312" w:cs="Times New Roman"/>
          <w:sz w:val="32"/>
          <w:szCs w:val="32"/>
          <w:lang w:val="en-US" w:eastAsia="zh-CN"/>
        </w:rPr>
        <w:t>68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公共法律服务</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万元，社区矫正</w:t>
      </w:r>
      <w:r>
        <w:rPr>
          <w:rFonts w:hint="eastAsia" w:eastAsia="仿宋_GB2312" w:cs="Times New Roman"/>
          <w:sz w:val="32"/>
          <w:szCs w:val="32"/>
          <w:lang w:val="en-US" w:eastAsia="zh-CN"/>
        </w:rPr>
        <w:t>71</w:t>
      </w:r>
      <w:r>
        <w:rPr>
          <w:rFonts w:hint="default" w:ascii="Times New Roman" w:hAnsi="Times New Roman" w:eastAsia="仿宋_GB2312" w:cs="Times New Roman"/>
          <w:sz w:val="32"/>
          <w:szCs w:val="32"/>
        </w:rPr>
        <w:t>万元，其他司法支出</w:t>
      </w:r>
      <w:r>
        <w:rPr>
          <w:rFonts w:hint="default" w:ascii="Times New Roman" w:hAnsi="Times New Roman" w:eastAsia="仿宋_GB2312" w:cs="Times New Roman"/>
          <w:sz w:val="32"/>
          <w:szCs w:val="32"/>
          <w:lang w:eastAsia="zh-CN"/>
        </w:rPr>
        <w:t>（中央政法转移支付）</w:t>
      </w:r>
      <w:r>
        <w:rPr>
          <w:rFonts w:hint="eastAsia" w:eastAsia="仿宋_GB2312" w:cs="Times New Roman"/>
          <w:sz w:val="32"/>
          <w:szCs w:val="32"/>
          <w:lang w:val="en-US" w:eastAsia="zh-CN"/>
        </w:rPr>
        <w:t>175.18</w:t>
      </w:r>
      <w:r>
        <w:rPr>
          <w:rFonts w:hint="default" w:ascii="Times New Roman" w:hAnsi="Times New Roman" w:eastAsia="仿宋_GB2312" w:cs="Times New Roman"/>
          <w:sz w:val="32"/>
          <w:szCs w:val="32"/>
        </w:rPr>
        <w:t>万元，其他公共安全支出</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文化旅游体育与传媒支出</w:t>
      </w:r>
      <w:r>
        <w:rPr>
          <w:rFonts w:hint="eastAsia" w:eastAsia="仿宋_GB2312" w:cs="Times New Roman"/>
          <w:sz w:val="32"/>
          <w:szCs w:val="32"/>
          <w:lang w:val="en-US" w:eastAsia="zh-CN"/>
        </w:rPr>
        <w:t>30.95万元，其他支出50.45万元。</w:t>
      </w:r>
    </w:p>
    <w:p>
      <w:pPr>
        <w:keepNext w:val="0"/>
        <w:keepLines w:val="0"/>
        <w:pageBreakBefore w:val="0"/>
        <w:widowControl/>
        <w:numPr>
          <w:ilvl w:val="0"/>
          <w:numId w:val="1"/>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000000" w:themeColor="text1"/>
          <w:kern w:val="2"/>
          <w:sz w:val="32"/>
          <w:szCs w:val="32"/>
          <w:u w:val="none"/>
          <w:lang w:val="en-US" w:eastAsia="zh-CN" w:bidi="ar-SA"/>
        </w:rPr>
      </w:pPr>
      <w:r>
        <w:rPr>
          <w:rFonts w:hint="default" w:ascii="Times New Roman" w:hAnsi="Times New Roman" w:eastAsia="楷体_GB2312" w:cs="Times New Roman"/>
          <w:color w:val="000000" w:themeColor="text1"/>
          <w:kern w:val="2"/>
          <w:sz w:val="32"/>
          <w:szCs w:val="32"/>
          <w:u w:val="none"/>
          <w:lang w:val="en-US" w:eastAsia="zh-CN" w:bidi="ar-SA"/>
        </w:rPr>
        <w:t>项目资金管理情况分析，主要包括管理制度、办法的制订及执行情况。</w:t>
      </w:r>
    </w:p>
    <w:p>
      <w:pPr>
        <w:keepNext w:val="0"/>
        <w:keepLines w:val="0"/>
        <w:pageBreakBefore w:val="0"/>
        <w:kinsoku/>
        <w:wordWrap/>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我局高度重视项目资金的管理，制定了财务管理制度和司法所经费管理规定，严格按照项目支出的范围、用途依法依规支出，对</w:t>
      </w:r>
      <w:r>
        <w:rPr>
          <w:rFonts w:hint="default" w:ascii="Times New Roman" w:hAnsi="Times New Roman" w:eastAsia="仿宋_GB2312" w:cs="Times New Roman"/>
          <w:sz w:val="32"/>
          <w:szCs w:val="32"/>
        </w:rPr>
        <w:t>专项经费的使用</w:t>
      </w:r>
      <w:r>
        <w:rPr>
          <w:rFonts w:hint="default" w:ascii="Times New Roman" w:hAnsi="Times New Roman" w:eastAsia="仿宋_GB2312" w:cs="Times New Roman"/>
          <w:sz w:val="32"/>
          <w:szCs w:val="32"/>
          <w:lang w:eastAsia="zh-CN"/>
        </w:rPr>
        <w:t>做到</w:t>
      </w:r>
      <w:r>
        <w:rPr>
          <w:rFonts w:hint="default" w:ascii="Times New Roman" w:hAnsi="Times New Roman" w:eastAsia="仿宋_GB2312" w:cs="Times New Roman"/>
          <w:sz w:val="32"/>
          <w:szCs w:val="32"/>
        </w:rPr>
        <w:t>专款专用</w:t>
      </w:r>
      <w:r>
        <w:rPr>
          <w:rFonts w:hint="default" w:ascii="Times New Roman" w:hAnsi="Times New Roman" w:eastAsia="仿宋_GB2312" w:cs="Times New Roman"/>
          <w:sz w:val="32"/>
          <w:szCs w:val="32"/>
          <w:lang w:eastAsia="zh-CN"/>
        </w:rPr>
        <w:t>。同时，加强对资金的专项清理和检查，对资金使用情况进行自查，提高项目资金使用效益，确保项目资金的安全。支出</w:t>
      </w:r>
      <w:r>
        <w:rPr>
          <w:rFonts w:hint="default" w:ascii="Times New Roman" w:hAnsi="Times New Roman" w:eastAsia="仿宋_GB2312" w:cs="Times New Roman"/>
          <w:sz w:val="32"/>
          <w:szCs w:val="32"/>
        </w:rPr>
        <w:t>时</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财务相关</w:t>
      </w:r>
      <w:r>
        <w:rPr>
          <w:rFonts w:hint="default" w:ascii="Times New Roman" w:hAnsi="Times New Roman" w:eastAsia="仿宋_GB2312" w:cs="Times New Roman"/>
          <w:sz w:val="32"/>
          <w:szCs w:val="32"/>
        </w:rPr>
        <w:t>规定，经局财务联审会签小组</w:t>
      </w:r>
      <w:r>
        <w:rPr>
          <w:rFonts w:hint="default" w:ascii="Times New Roman" w:hAnsi="Times New Roman" w:eastAsia="仿宋_GB2312" w:cs="Times New Roman"/>
          <w:sz w:val="32"/>
          <w:szCs w:val="32"/>
          <w:lang w:eastAsia="zh-CN"/>
        </w:rPr>
        <w:t>会审、财务分管领导签字审批</w:t>
      </w:r>
      <w:r>
        <w:rPr>
          <w:rFonts w:hint="default" w:ascii="Times New Roman" w:hAnsi="Times New Roman" w:eastAsia="仿宋_GB2312" w:cs="Times New Roman"/>
          <w:sz w:val="32"/>
          <w:szCs w:val="32"/>
        </w:rPr>
        <w:t>同意后，在局财务室报账</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各项目均认真推</w:t>
      </w:r>
      <w:r>
        <w:rPr>
          <w:rFonts w:hint="default" w:ascii="Times New Roman" w:hAnsi="Times New Roman" w:eastAsia="仿宋_GB2312" w:cs="Times New Roman"/>
          <w:sz w:val="32"/>
          <w:szCs w:val="32"/>
          <w:lang w:eastAsia="zh-CN"/>
        </w:rPr>
        <w:t>进，</w:t>
      </w:r>
      <w:r>
        <w:rPr>
          <w:rFonts w:eastAsia="仿宋_GB2312"/>
          <w:color w:val="000000"/>
          <w:kern w:val="0"/>
          <w:sz w:val="32"/>
          <w:szCs w:val="32"/>
        </w:rPr>
        <w:t>在经费使用过程中严格执行相关会计制度和财务管理制度，保证</w:t>
      </w:r>
      <w:r>
        <w:rPr>
          <w:rFonts w:hint="eastAsia" w:eastAsia="仿宋_GB2312"/>
          <w:color w:val="000000"/>
          <w:kern w:val="0"/>
          <w:sz w:val="32"/>
          <w:szCs w:val="32"/>
          <w:lang w:eastAsia="zh-CN"/>
        </w:rPr>
        <w:t>了</w:t>
      </w:r>
      <w:r>
        <w:rPr>
          <w:rFonts w:hint="eastAsia" w:eastAsia="仿宋_GB2312"/>
          <w:color w:val="000000"/>
          <w:kern w:val="0"/>
          <w:sz w:val="32"/>
          <w:szCs w:val="32"/>
        </w:rPr>
        <w:t>各类项目的顺利实施，充分发挥了资金的使用效益</w:t>
      </w:r>
      <w:r>
        <w:rPr>
          <w:rFonts w:hint="eastAsia" w:eastAsia="仿宋_GB2312"/>
          <w:color w:val="000000"/>
          <w:kern w:val="0"/>
          <w:sz w:val="32"/>
          <w:szCs w:val="32"/>
          <w:lang w:eastAsia="zh-CN"/>
        </w:rPr>
        <w:t>，</w:t>
      </w:r>
      <w:r>
        <w:rPr>
          <w:rFonts w:hint="default" w:ascii="Times New Roman" w:hAnsi="Times New Roman" w:eastAsia="仿宋_GB2312" w:cs="Times New Roman"/>
          <w:sz w:val="32"/>
          <w:szCs w:val="32"/>
          <w:lang w:eastAsia="zh-CN"/>
        </w:rPr>
        <w:t>相关管理制度得到有效执行</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三、项目组织实施情况</w:t>
      </w:r>
    </w:p>
    <w:p>
      <w:pPr>
        <w:keepNext w:val="0"/>
        <w:keepLines w:val="0"/>
        <w:pageBreakBefore w:val="0"/>
        <w:kinsoku/>
        <w:wordWrap/>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sz w:val="32"/>
          <w:szCs w:val="32"/>
          <w:lang w:eastAsia="zh-CN"/>
        </w:rPr>
        <w:t>全面</w:t>
      </w:r>
      <w:r>
        <w:rPr>
          <w:rFonts w:hint="default" w:ascii="Times New Roman" w:hAnsi="Times New Roman" w:eastAsia="仿宋_GB2312" w:cs="Times New Roman"/>
          <w:b/>
          <w:bCs/>
          <w:sz w:val="32"/>
          <w:szCs w:val="32"/>
          <w:lang w:eastAsia="zh-CN"/>
        </w:rPr>
        <w:t>依法</w:t>
      </w:r>
      <w:r>
        <w:rPr>
          <w:rFonts w:hint="default" w:ascii="Times New Roman" w:hAnsi="Times New Roman" w:eastAsia="仿宋_GB2312" w:cs="Times New Roman"/>
          <w:b/>
          <w:bCs/>
          <w:sz w:val="32"/>
          <w:szCs w:val="32"/>
          <w:lang w:eastAsia="zh-CN"/>
        </w:rPr>
        <w:t>治县工作</w:t>
      </w:r>
    </w:p>
    <w:p>
      <w:pPr>
        <w:keepNext w:val="0"/>
        <w:keepLines w:val="0"/>
        <w:pageBreakBefore w:val="0"/>
        <w:kinsoku/>
        <w:wordWrap/>
        <w:overflowPunct/>
        <w:topLinePunct w:val="0"/>
        <w:autoSpaceDE/>
        <w:autoSpaceDN/>
        <w:bidi w:val="0"/>
        <w:spacing w:line="594"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调整充实了依法治县领导机构，县委9名常委全部纳入全面依法治县委员会，强化了法治建设组织保障</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sz w:val="32"/>
          <w:szCs w:val="32"/>
          <w:lang w:eastAsia="zh-CN"/>
        </w:rPr>
        <w:t>加大</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全面依法治县工作在县绩效考核中的比重，精准</w:t>
      </w:r>
      <w:r>
        <w:rPr>
          <w:rFonts w:hint="default" w:ascii="Times New Roman" w:hAnsi="Times New Roman" w:eastAsia="仿宋_GB2312" w:cs="Times New Roman"/>
          <w:sz w:val="32"/>
          <w:szCs w:val="32"/>
        </w:rPr>
        <w:t>运用全面依法治县绩效考核“指挥棒”</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val="en-US" w:eastAsia="zh-CN"/>
        </w:rPr>
        <w:t>组织召开</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县委全面依法治县工作暨党政主要负责人集中述法会议、委员会2023年第一次会议</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，协调推动</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司法、执法、守法普法三个协调小组实体化运转，切实承担起全面依法治县统筹协调、督促指导和推动落实等职能。</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将党政主要负责人履行推进法治建设第一责任人职责清单完成情况，作为常态化法治督察和年度法治考核的重点内容，各级党政“一把手”履行法治建设第一责任人职责更加明晰。</w:t>
      </w:r>
      <w:r>
        <w:rPr>
          <w:rFonts w:hint="eastAsia"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对标对表编制法治桃江、法治政府、法治社会实施细则以及配套措施清单，开展法治建设督察，实地督察覆盖15个乡镇和13个重点行政执法部门，法治建设责任进一步压实。</w:t>
      </w:r>
    </w:p>
    <w:p>
      <w:pPr>
        <w:keepNext w:val="0"/>
        <w:keepLines w:val="0"/>
        <w:pageBreakBefore w:val="0"/>
        <w:numPr>
          <w:ilvl w:val="0"/>
          <w:numId w:val="2"/>
        </w:numPr>
        <w:tabs>
          <w:tab w:val="left" w:pos="1032"/>
        </w:tabs>
        <w:kinsoku/>
        <w:wordWrap/>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法治政府建设</w:t>
      </w:r>
      <w:r>
        <w:rPr>
          <w:rFonts w:hint="default" w:ascii="Times New Roman" w:hAnsi="Times New Roman" w:eastAsia="仿宋_GB2312" w:cs="Times New Roman"/>
          <w:b/>
          <w:bCs/>
          <w:sz w:val="32"/>
          <w:szCs w:val="32"/>
        </w:rPr>
        <w:t>工作</w:t>
      </w:r>
    </w:p>
    <w:p>
      <w:pPr>
        <w:pStyle w:val="3"/>
        <w:keepNext w:val="0"/>
        <w:keepLines w:val="0"/>
        <w:pageBreakBefore w:val="0"/>
        <w:kinsoku/>
        <w:wordWrap/>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巩固拓展“全省第一批法治政府建设示范地区”创建成果，健全科学行政决策机制，将政府会议纪要纳入法制审查范围，全年共审查县政府规范性文件31件、非规范性文件83件、会议纪要72件。</w:t>
      </w:r>
      <w:r>
        <w:rPr>
          <w:rFonts w:hint="eastAsia"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eastAsia="zh-CN"/>
        </w:rPr>
        <w:t>督促落实行政机关负责人出庭应诉制度，行政机关负责人出庭应诉率达</w:t>
      </w:r>
      <w:r>
        <w:rPr>
          <w:rFonts w:hint="default"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color w:val="auto"/>
          <w:sz w:val="32"/>
          <w:szCs w:val="32"/>
          <w:lang w:val="en-US" w:eastAsia="zh-CN"/>
        </w:rPr>
        <w:t>。全力畅通行政复议渠道，全年共受理行政复议案件56件，审结52件，受理案件比去年同比增长69.7%。</w:t>
      </w:r>
      <w:r>
        <w:rPr>
          <w:rFonts w:hint="eastAsia"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出台</w:t>
      </w:r>
      <w:r>
        <w:rPr>
          <w:rFonts w:hint="eastAsia" w:ascii="Times New Roman" w:hAnsi="Times New Roman" w:cs="Times New Roman"/>
          <w:b w:val="0"/>
          <w:bCs w:val="0"/>
          <w:color w:val="auto"/>
          <w:sz w:val="32"/>
          <w:szCs w:val="32"/>
          <w:lang w:val="en-US" w:eastAsia="zh-CN"/>
        </w:rPr>
        <w:t>了</w:t>
      </w:r>
      <w:r>
        <w:rPr>
          <w:rFonts w:hint="default" w:ascii="Times New Roman" w:hAnsi="Times New Roman" w:eastAsia="仿宋_GB2312" w:cs="Times New Roman"/>
          <w:b w:val="0"/>
          <w:bCs w:val="0"/>
          <w:color w:val="auto"/>
          <w:sz w:val="32"/>
          <w:szCs w:val="32"/>
          <w:lang w:val="en-US" w:eastAsia="zh-CN"/>
        </w:rPr>
        <w:t>《桃江县“十佳十差”股室评选行政监管行政执法类股室部门评价方案》，</w:t>
      </w:r>
      <w:r>
        <w:rPr>
          <w:rFonts w:hint="default" w:ascii="Times New Roman" w:hAnsi="Times New Roman" w:eastAsia="仿宋_GB2312" w:cs="Times New Roman"/>
          <w:sz w:val="32"/>
          <w:szCs w:val="32"/>
          <w:lang w:val="en-US" w:eastAsia="zh-CN"/>
        </w:rPr>
        <w:t>加强对行政执法行为的监督考核。</w:t>
      </w:r>
      <w:r>
        <w:rPr>
          <w:rFonts w:hint="default" w:ascii="Times New Roman" w:hAnsi="Times New Roman" w:eastAsia="仿宋_GB2312" w:cs="Times New Roman"/>
          <w:color w:val="auto"/>
          <w:kern w:val="0"/>
          <w:sz w:val="32"/>
          <w:szCs w:val="32"/>
          <w:lang w:val="en-US" w:eastAsia="zh-CN"/>
        </w:rPr>
        <w:t>开展行政执法监督检查，列出行政执法“三项制度”落实不到位、案件事实不清晰等问题清单191项，整改完成率100%。</w:t>
      </w:r>
      <w:r>
        <w:rPr>
          <w:rFonts w:hint="eastAsia" w:eastAsia="仿宋_GB2312" w:cs="Times New Roman"/>
          <w:b/>
          <w:bCs/>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严格落实涉企检查备案制度，明确重点检查事项53项，一般检查事项212项；督促并指导各主要行政执法单位制定涉企柔性执法“四张清单”，依法确定减轻或不予处罚事项238项</w:t>
      </w:r>
      <w:r>
        <w:rPr>
          <w:rFonts w:hint="eastAsia" w:eastAsia="仿宋_GB2312" w:cs="Times New Roman"/>
          <w:b w:val="0"/>
          <w:bCs w:val="0"/>
          <w:color w:val="auto"/>
          <w:sz w:val="32"/>
          <w:szCs w:val="32"/>
          <w:lang w:val="en-US" w:eastAsia="zh-CN"/>
        </w:rPr>
        <w:t>。</w:t>
      </w:r>
    </w:p>
    <w:p>
      <w:pPr>
        <w:keepNext w:val="0"/>
        <w:keepLines w:val="0"/>
        <w:pageBreakBefore w:val="0"/>
        <w:numPr>
          <w:ilvl w:val="0"/>
          <w:numId w:val="2"/>
        </w:numPr>
        <w:tabs>
          <w:tab w:val="left" w:pos="1032"/>
        </w:tabs>
        <w:kinsoku/>
        <w:wordWrap/>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普法宣传工作</w:t>
      </w:r>
    </w:p>
    <w:p>
      <w:pPr>
        <w:keepNext w:val="0"/>
        <w:keepLines w:val="0"/>
        <w:pageBreakBefore w:val="0"/>
        <w:kinsoku/>
        <w:wordWrap/>
        <w:overflowPunct/>
        <w:topLinePunct w:val="0"/>
        <w:autoSpaceDE/>
        <w:autoSpaceDN/>
        <w:bidi w:val="0"/>
        <w:spacing w:line="594" w:lineRule="exact"/>
        <w:ind w:firstLine="643" w:firstLineChars="200"/>
        <w:jc w:val="both"/>
        <w:textAlignment w:val="auto"/>
        <w:rPr>
          <w:rFonts w:hint="default" w:ascii="Times New Roman" w:hAnsi="Times New Roman" w:eastAsia="仿宋_GB2312" w:cs="Times New Roman"/>
          <w:b/>
          <w:sz w:val="32"/>
          <w:szCs w:val="32"/>
        </w:rPr>
      </w:pPr>
      <w:r>
        <w:rPr>
          <w:rFonts w:hint="eastAsia" w:eastAsia="仿宋_GB2312" w:cs="Times New Roman"/>
          <w:b/>
          <w:bCs/>
          <w:color w:val="auto"/>
          <w:kern w:val="0"/>
          <w:sz w:val="32"/>
          <w:szCs w:val="32"/>
          <w:lang w:val="en-US" w:eastAsia="zh-CN"/>
        </w:rPr>
        <w:t>一是</w:t>
      </w:r>
      <w:r>
        <w:rPr>
          <w:rFonts w:hint="default" w:ascii="Nimbus Roman" w:hAnsi="Nimbus Roman" w:eastAsia="仿宋_GB2312" w:cs="Nimbus Roman"/>
          <w:b w:val="0"/>
          <w:bCs w:val="0"/>
          <w:sz w:val="32"/>
          <w:szCs w:val="32"/>
          <w:lang w:eastAsia="zh-CN"/>
        </w:rPr>
        <w:t>将普法依法治理工作纳入全面依法治县考评内容并与县绩效考核接轨，</w:t>
      </w:r>
      <w:r>
        <w:rPr>
          <w:rFonts w:hint="eastAsia" w:ascii="Nimbus Roman" w:hAnsi="Nimbus Roman" w:eastAsia="仿宋_GB2312" w:cs="Nimbus Roman"/>
          <w:b w:val="0"/>
          <w:bCs w:val="0"/>
          <w:sz w:val="32"/>
          <w:szCs w:val="32"/>
          <w:lang w:eastAsia="zh-CN"/>
        </w:rPr>
        <w:t>把</w:t>
      </w:r>
      <w:r>
        <w:rPr>
          <w:rFonts w:hint="default" w:ascii="Nimbus Roman" w:hAnsi="Nimbus Roman" w:eastAsia="仿宋_GB2312" w:cs="Nimbus Roman"/>
          <w:b w:val="0"/>
          <w:bCs w:val="0"/>
          <w:sz w:val="32"/>
          <w:szCs w:val="32"/>
          <w:lang w:eastAsia="zh-CN"/>
        </w:rPr>
        <w:t>公职人员学法考法成绩作为年度评先评优、晋职晋级的重要依据。</w:t>
      </w:r>
      <w:r>
        <w:rPr>
          <w:rFonts w:hint="eastAsia" w:eastAsia="仿宋_GB2312" w:cs="Times New Roman"/>
          <w:b/>
          <w:bCs/>
          <w:color w:val="auto"/>
          <w:kern w:val="0"/>
          <w:sz w:val="32"/>
          <w:szCs w:val="32"/>
          <w:lang w:val="en-US" w:eastAsia="zh-CN"/>
        </w:rPr>
        <w:t>二是</w:t>
      </w:r>
      <w:r>
        <w:rPr>
          <w:rFonts w:hint="default" w:ascii="Times New Roman" w:hAnsi="Times New Roman" w:eastAsia="仿宋_GB2312" w:cs="Times New Roman"/>
          <w:color w:val="auto"/>
          <w:kern w:val="0"/>
          <w:sz w:val="32"/>
          <w:szCs w:val="32"/>
          <w:lang w:val="en-US" w:eastAsia="zh-CN"/>
        </w:rPr>
        <w:t>多形式开展法治宣传</w:t>
      </w:r>
      <w:r>
        <w:rPr>
          <w:rFonts w:hint="eastAsia" w:eastAsia="仿宋_GB2312" w:cs="Times New Roman"/>
          <w:color w:val="auto"/>
          <w:kern w:val="0"/>
          <w:sz w:val="32"/>
          <w:szCs w:val="32"/>
          <w:lang w:val="en-US" w:eastAsia="zh-CN"/>
        </w:rPr>
        <w:t>活动</w:t>
      </w:r>
      <w:r>
        <w:rPr>
          <w:rFonts w:hint="default" w:ascii="Times New Roman" w:hAnsi="Times New Roman" w:eastAsia="仿宋_GB2312" w:cs="Times New Roman"/>
          <w:color w:val="auto"/>
          <w:kern w:val="0"/>
          <w:sz w:val="32"/>
          <w:szCs w:val="32"/>
          <w:lang w:val="en-US" w:eastAsia="zh-CN"/>
        </w:rPr>
        <w:t>，组织全县各单位及普法志愿者开展法律“九进”活动200余场次、举办法治讲座100余场次、发放资料5万余份</w:t>
      </w:r>
      <w:r>
        <w:rPr>
          <w:rFonts w:hint="eastAsia" w:eastAsia="仿宋_GB2312" w:cs="Times New Roman"/>
          <w:color w:val="auto"/>
          <w:kern w:val="0"/>
          <w:sz w:val="32"/>
          <w:szCs w:val="32"/>
          <w:lang w:val="en-US" w:eastAsia="zh-CN"/>
        </w:rPr>
        <w:t>。</w:t>
      </w:r>
      <w:r>
        <w:rPr>
          <w:rFonts w:hint="eastAsia" w:eastAsia="仿宋_GB2312" w:cs="Times New Roman"/>
          <w:b/>
          <w:bCs/>
          <w:color w:val="auto"/>
          <w:kern w:val="0"/>
          <w:sz w:val="32"/>
          <w:szCs w:val="32"/>
          <w:lang w:val="en-US" w:eastAsia="zh-CN"/>
        </w:rPr>
        <w:t>三是</w:t>
      </w:r>
      <w:r>
        <w:rPr>
          <w:rFonts w:hint="default" w:ascii="Times New Roman" w:hAnsi="Times New Roman" w:eastAsia="仿宋_GB2312" w:cs="Times New Roman"/>
          <w:color w:val="auto"/>
          <w:kern w:val="0"/>
          <w:sz w:val="32"/>
          <w:szCs w:val="32"/>
          <w:lang w:val="en-US" w:eastAsia="zh-CN"/>
        </w:rPr>
        <w:t>开展全县农村法治宣传教育月活动，印发法律宣传资料5万余份，开展“法律明白人培训”20余场次</w:t>
      </w:r>
      <w:r>
        <w:rPr>
          <w:rFonts w:hint="eastAsia" w:eastAsia="仿宋_GB2312" w:cs="Times New Roman"/>
          <w:color w:val="auto"/>
          <w:kern w:val="0"/>
          <w:sz w:val="32"/>
          <w:szCs w:val="32"/>
          <w:lang w:val="en-US" w:eastAsia="zh-CN"/>
        </w:rPr>
        <w:t>。</w:t>
      </w:r>
      <w:r>
        <w:rPr>
          <w:rFonts w:hint="eastAsia" w:eastAsia="仿宋_GB2312" w:cs="Times New Roman"/>
          <w:b/>
          <w:bCs/>
          <w:color w:val="auto"/>
          <w:kern w:val="0"/>
          <w:sz w:val="32"/>
          <w:szCs w:val="32"/>
          <w:lang w:val="en-US" w:eastAsia="zh-CN"/>
        </w:rPr>
        <w:t>四是</w:t>
      </w:r>
      <w:r>
        <w:rPr>
          <w:rFonts w:hint="default" w:ascii="Times New Roman" w:hAnsi="Times New Roman" w:eastAsia="仿宋_GB2312" w:cs="Times New Roman"/>
          <w:color w:val="auto"/>
          <w:kern w:val="0"/>
          <w:sz w:val="32"/>
          <w:szCs w:val="32"/>
          <w:lang w:val="en-US" w:eastAsia="zh-CN"/>
        </w:rPr>
        <w:t>组织来自85所大学的130名大学生志愿者开展40余场次的送法下乡活动，走访群众1000余户，发放宣传资料5000余份。</w:t>
      </w:r>
      <w:r>
        <w:rPr>
          <w:rFonts w:hint="eastAsia" w:eastAsia="仿宋_GB2312" w:cs="Times New Roman"/>
          <w:b/>
          <w:bCs/>
          <w:color w:val="auto"/>
          <w:kern w:val="0"/>
          <w:sz w:val="32"/>
          <w:szCs w:val="32"/>
          <w:lang w:val="en-US" w:eastAsia="zh-CN"/>
        </w:rPr>
        <w:t>五是</w:t>
      </w:r>
      <w:r>
        <w:rPr>
          <w:rFonts w:hint="default" w:ascii="Times New Roman" w:hAnsi="Times New Roman" w:eastAsia="仿宋_GB2312" w:cs="Times New Roman"/>
          <w:color w:val="auto"/>
          <w:kern w:val="0"/>
          <w:sz w:val="32"/>
          <w:szCs w:val="32"/>
          <w:lang w:val="en-US" w:eastAsia="zh-CN"/>
        </w:rPr>
        <w:t>在芙蓉路桥到花苞洲桥原法治文化长廊基础上，扩建4200米，</w:t>
      </w:r>
      <w:r>
        <w:rPr>
          <w:rFonts w:hint="default" w:ascii="Times New Roman" w:hAnsi="Times New Roman" w:eastAsia="仿宋_GB2312" w:cs="Times New Roman"/>
          <w:color w:val="auto"/>
          <w:kern w:val="0"/>
          <w:sz w:val="32"/>
          <w:szCs w:val="32"/>
          <w:lang w:val="en-US" w:eastAsia="zh-CN"/>
        </w:rPr>
        <w:t>建成“十里法治文化长廊”，有效加强法治文化阵地建设，浓厚全民学法的法治氛围。</w:t>
      </w:r>
      <w:r>
        <w:rPr>
          <w:rFonts w:hint="default" w:ascii="Times New Roman" w:hAnsi="Times New Roman" w:eastAsia="仿宋_GB2312" w:cs="Times New Roman"/>
          <w:b/>
          <w:bCs/>
          <w:color w:val="auto"/>
          <w:kern w:val="0"/>
          <w:sz w:val="32"/>
          <w:szCs w:val="32"/>
          <w:lang w:val="en-US" w:eastAsia="zh-CN"/>
        </w:rPr>
        <w:t>六是</w:t>
      </w:r>
      <w:r>
        <w:rPr>
          <w:rFonts w:hint="default" w:ascii="Times New Roman" w:hAnsi="Times New Roman" w:eastAsia="仿宋_GB2312" w:cs="Times New Roman"/>
          <w:color w:val="auto"/>
          <w:kern w:val="0"/>
          <w:sz w:val="32"/>
          <w:szCs w:val="32"/>
          <w:lang w:val="en-US" w:eastAsia="zh-CN"/>
        </w:rPr>
        <w:t>加大青少年法治宣传教育力度，着力提升法治副校长履职实效。</w:t>
      </w:r>
      <w:r>
        <w:rPr>
          <w:rFonts w:hint="default" w:ascii="Times New Roman" w:hAnsi="Times New Roman" w:eastAsia="仿宋_GB2312" w:cs="Times New Roman"/>
          <w:b w:val="0"/>
          <w:bCs w:val="0"/>
          <w:sz w:val="32"/>
          <w:szCs w:val="32"/>
          <w:lang w:val="en-US" w:eastAsia="zh-CN"/>
        </w:rPr>
        <w:t>法治副校长上法治课100余次，推出法治精品课60余节。</w:t>
      </w:r>
    </w:p>
    <w:p>
      <w:pPr>
        <w:keepNext w:val="0"/>
        <w:keepLines w:val="0"/>
        <w:pageBreakBefore w:val="0"/>
        <w:numPr>
          <w:ilvl w:val="0"/>
          <w:numId w:val="2"/>
        </w:numPr>
        <w:tabs>
          <w:tab w:val="left" w:pos="1032"/>
        </w:tabs>
        <w:kinsoku/>
        <w:wordWrap/>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社区矫正</w:t>
      </w:r>
      <w:r>
        <w:rPr>
          <w:rFonts w:hint="eastAsia" w:eastAsia="仿宋_GB2312" w:cs="Times New Roman"/>
          <w:b/>
          <w:bCs/>
          <w:sz w:val="32"/>
          <w:szCs w:val="32"/>
          <w:lang w:eastAsia="zh-CN"/>
        </w:rPr>
        <w:t>（安置帮教）</w:t>
      </w:r>
      <w:r>
        <w:rPr>
          <w:rFonts w:hint="default" w:ascii="Times New Roman" w:hAnsi="Times New Roman" w:eastAsia="仿宋_GB2312" w:cs="Times New Roman"/>
          <w:b/>
          <w:bCs/>
          <w:sz w:val="32"/>
          <w:szCs w:val="32"/>
          <w:lang w:eastAsia="zh-CN"/>
        </w:rPr>
        <w:t>工作</w:t>
      </w:r>
    </w:p>
    <w:p>
      <w:pPr>
        <w:keepNext w:val="0"/>
        <w:keepLines w:val="0"/>
        <w:pageBreakBefore w:val="0"/>
        <w:kinsoku/>
        <w:wordWrap/>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b w:val="0"/>
          <w:bCs w:val="0"/>
          <w:color w:val="auto"/>
          <w:sz w:val="32"/>
          <w:szCs w:val="32"/>
          <w:lang w:val="en-US" w:eastAsia="zh-CN"/>
        </w:rPr>
        <w:t>2023</w:t>
      </w:r>
      <w:r>
        <w:rPr>
          <w:rFonts w:hint="default" w:ascii="Times New Roman" w:hAnsi="Times New Roman" w:eastAsia="仿宋_GB2312" w:cs="Times New Roman"/>
          <w:b w:val="0"/>
          <w:bCs w:val="0"/>
          <w:color w:val="auto"/>
          <w:sz w:val="32"/>
          <w:szCs w:val="32"/>
          <w:lang w:val="en-US" w:eastAsia="zh-CN"/>
        </w:rPr>
        <w:t>年共受理调查评估300例，接收社矫对象251人，解除248人，在矫281人，信息化定位监管100%</w:t>
      </w:r>
      <w:r>
        <w:rPr>
          <w:rFonts w:hint="eastAsia" w:eastAsia="仿宋_GB2312" w:cs="Times New Roman"/>
          <w:b w:val="0"/>
          <w:bCs w:val="0"/>
          <w:color w:val="auto"/>
          <w:sz w:val="32"/>
          <w:szCs w:val="32"/>
          <w:lang w:val="en-US" w:eastAsia="zh-CN"/>
        </w:rPr>
        <w:t>。</w:t>
      </w:r>
      <w:r>
        <w:rPr>
          <w:rFonts w:hint="default" w:ascii="Times New Roman" w:hAnsi="Times New Roman" w:eastAsia="仿宋" w:cs="Times New Roman"/>
          <w:sz w:val="32"/>
          <w:szCs w:val="32"/>
        </w:rPr>
        <w:t>安置帮教在册</w:t>
      </w:r>
      <w:r>
        <w:rPr>
          <w:rFonts w:hint="eastAsia" w:eastAsia="仿宋" w:cs="Times New Roman"/>
          <w:sz w:val="32"/>
          <w:szCs w:val="32"/>
          <w:lang w:val="en-US" w:eastAsia="zh-CN"/>
        </w:rPr>
        <w:t>2621</w:t>
      </w:r>
      <w:r>
        <w:rPr>
          <w:rFonts w:hint="default" w:ascii="Times New Roman" w:hAnsi="Times New Roman" w:eastAsia="仿宋" w:cs="Times New Roman"/>
          <w:sz w:val="32"/>
          <w:szCs w:val="32"/>
        </w:rPr>
        <w:t>人，接收</w:t>
      </w:r>
      <w:r>
        <w:rPr>
          <w:rFonts w:hint="eastAsia" w:eastAsia="仿宋" w:cs="Times New Roman"/>
          <w:sz w:val="32"/>
          <w:szCs w:val="32"/>
          <w:lang w:val="en-US" w:eastAsia="zh-CN"/>
        </w:rPr>
        <w:t>492</w:t>
      </w:r>
      <w:r>
        <w:rPr>
          <w:rFonts w:hint="default" w:ascii="Times New Roman" w:hAnsi="Times New Roman" w:eastAsia="仿宋" w:cs="Times New Roman"/>
          <w:sz w:val="32"/>
          <w:szCs w:val="32"/>
        </w:rPr>
        <w:t>人，安置帮教率100%</w:t>
      </w:r>
      <w:r>
        <w:rPr>
          <w:rFonts w:hint="default" w:ascii="Times New Roman" w:hAnsi="Times New Roman" w:eastAsia="仿宋" w:cs="Times New Roman"/>
          <w:sz w:val="32"/>
          <w:szCs w:val="32"/>
          <w:lang w:eastAsia="zh-CN"/>
        </w:rPr>
        <w:t>。</w:t>
      </w:r>
      <w:r>
        <w:rPr>
          <w:rFonts w:hint="eastAsia" w:ascii="Times New Roman" w:hAnsi="Times New Roman" w:eastAsia="仿宋_GB2312" w:cs="Times New Roman"/>
          <w:sz w:val="32"/>
          <w:szCs w:val="32"/>
          <w:lang w:val="en-US" w:eastAsia="zh-CN"/>
        </w:rPr>
        <w:t>办理监狱服刑人员家属远程视频会见</w:t>
      </w:r>
      <w:r>
        <w:rPr>
          <w:rFonts w:hint="eastAsia" w:eastAsia="仿宋_GB2312" w:cs="Times New Roman"/>
          <w:sz w:val="32"/>
          <w:szCs w:val="32"/>
          <w:lang w:val="en-US" w:eastAsia="zh-CN"/>
        </w:rPr>
        <w:t>464</w:t>
      </w:r>
      <w:r>
        <w:rPr>
          <w:rFonts w:hint="eastAsia" w:ascii="Times New Roman" w:hAnsi="Times New Roman" w:eastAsia="仿宋_GB2312" w:cs="Times New Roman"/>
          <w:sz w:val="32"/>
          <w:szCs w:val="32"/>
          <w:lang w:val="en-US" w:eastAsia="zh-CN"/>
        </w:rPr>
        <w:t>人，帮扶服刑人员、社矫对象未成年子女</w:t>
      </w: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人。</w:t>
      </w:r>
      <w:r>
        <w:rPr>
          <w:rFonts w:hint="eastAsia" w:eastAsia="仿宋" w:cs="Times New Roman"/>
          <w:sz w:val="32"/>
          <w:szCs w:val="32"/>
          <w:lang w:val="en-US" w:eastAsia="zh-CN"/>
        </w:rPr>
        <w:t>2023</w:t>
      </w:r>
      <w:r>
        <w:rPr>
          <w:rFonts w:hint="default" w:ascii="Times New Roman" w:hAnsi="Times New Roman" w:eastAsia="仿宋" w:cs="Times New Roman"/>
          <w:sz w:val="32"/>
          <w:szCs w:val="32"/>
        </w:rPr>
        <w:t>年辖区内刑满释放人员重新犯罪率低于3%</w:t>
      </w:r>
      <w:r>
        <w:rPr>
          <w:rFonts w:hint="eastAsia" w:eastAsia="仿宋" w:cs="Times New Roman"/>
          <w:sz w:val="32"/>
          <w:szCs w:val="32"/>
          <w:lang w:eastAsia="zh-CN"/>
        </w:rPr>
        <w:t>。</w:t>
      </w:r>
      <w:r>
        <w:rPr>
          <w:rFonts w:hint="default" w:ascii="Times New Roman" w:hAnsi="Times New Roman" w:eastAsia="仿宋" w:cs="Times New Roman"/>
          <w:sz w:val="32"/>
          <w:szCs w:val="32"/>
          <w:lang w:eastAsia="zh-CN"/>
        </w:rPr>
        <w:t>主要做了几个方面的工作：</w:t>
      </w:r>
      <w:r>
        <w:rPr>
          <w:rFonts w:hint="eastAsia"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坚持社区矫正硬、软件建设两手抓，投入近150万元建成“智慧矫正中心”，办</w:t>
      </w:r>
      <w:r>
        <w:rPr>
          <w:rFonts w:hint="default" w:ascii="Times New Roman" w:hAnsi="Times New Roman" w:eastAsia="仿宋" w:cs="Times New Roman"/>
          <w:sz w:val="32"/>
          <w:szCs w:val="32"/>
        </w:rPr>
        <w:t>公面积近600平方米，</w:t>
      </w:r>
      <w:r>
        <w:rPr>
          <w:rFonts w:hint="default" w:ascii="Times New Roman" w:hAnsi="Times New Roman" w:eastAsia="仿宋_GB2312" w:cs="Times New Roman"/>
          <w:b w:val="0"/>
          <w:bCs w:val="0"/>
          <w:color w:val="auto"/>
          <w:sz w:val="32"/>
          <w:szCs w:val="32"/>
          <w:lang w:val="en-US" w:eastAsia="zh-CN"/>
        </w:rPr>
        <w:t>社区矫正工作规范化、智能化、精细化水平全面提升</w:t>
      </w:r>
      <w:r>
        <w:rPr>
          <w:rFonts w:hint="eastAsia" w:eastAsia="仿宋_GB2312" w:cs="Times New Roman"/>
          <w:b w:val="0"/>
          <w:bCs w:val="0"/>
          <w:color w:val="auto"/>
          <w:sz w:val="32"/>
          <w:szCs w:val="32"/>
          <w:lang w:val="en-US" w:eastAsia="zh-CN"/>
        </w:rPr>
        <w:t>。</w:t>
      </w:r>
      <w:r>
        <w:rPr>
          <w:rFonts w:hint="eastAsia" w:eastAsia="仿宋" w:cs="Times New Roman"/>
          <w:b/>
          <w:sz w:val="32"/>
          <w:szCs w:val="32"/>
          <w:lang w:val="en-US" w:eastAsia="zh-CN"/>
        </w:rPr>
        <w:t>二</w:t>
      </w:r>
      <w:r>
        <w:rPr>
          <w:rFonts w:hint="default" w:ascii="Times New Roman" w:hAnsi="Times New Roman" w:eastAsia="仿宋" w:cs="Times New Roman"/>
          <w:b/>
          <w:sz w:val="32"/>
          <w:szCs w:val="32"/>
          <w:lang w:val="en-US" w:eastAsia="zh-CN"/>
        </w:rPr>
        <w:t>是</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年向县公安局出入境管理大队提请备案</w:t>
      </w:r>
      <w:r>
        <w:rPr>
          <w:rFonts w:hint="eastAsia" w:eastAsia="仿宋_GB2312" w:cs="Times New Roman"/>
          <w:sz w:val="32"/>
          <w:szCs w:val="32"/>
          <w:lang w:val="en-US" w:eastAsia="zh-CN"/>
        </w:rPr>
        <w:t>224</w:t>
      </w:r>
      <w:r>
        <w:rPr>
          <w:rFonts w:hint="default" w:ascii="Times New Roman" w:hAnsi="Times New Roman" w:eastAsia="仿宋_GB2312" w:cs="Times New Roman"/>
          <w:sz w:val="32"/>
          <w:szCs w:val="32"/>
        </w:rPr>
        <w:t>人，对</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社矫人员的护照、港澳台通行证等</w:t>
      </w:r>
      <w:r>
        <w:rPr>
          <w:rFonts w:hint="default" w:ascii="Times New Roman" w:hAnsi="Times New Roman" w:eastAsia="仿宋_GB2312" w:cs="Times New Roman"/>
          <w:sz w:val="32"/>
          <w:szCs w:val="32"/>
          <w:lang w:eastAsia="zh-CN"/>
        </w:rPr>
        <w:t>证件</w:t>
      </w:r>
      <w:r>
        <w:rPr>
          <w:rFonts w:hint="default" w:ascii="Times New Roman" w:hAnsi="Times New Roman" w:eastAsia="仿宋_GB2312" w:cs="Times New Roman"/>
          <w:sz w:val="32"/>
          <w:szCs w:val="32"/>
        </w:rPr>
        <w:t>予以及时收缴</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统一保管。</w:t>
      </w:r>
      <w:r>
        <w:rPr>
          <w:rFonts w:hint="eastAsia" w:eastAsia="仿宋" w:cs="Times New Roman"/>
          <w:b/>
          <w:sz w:val="32"/>
          <w:szCs w:val="32"/>
          <w:lang w:val="en-US" w:eastAsia="zh-CN"/>
        </w:rPr>
        <w:t>三</w:t>
      </w:r>
      <w:r>
        <w:rPr>
          <w:rFonts w:hint="default" w:ascii="Times New Roman" w:hAnsi="Times New Roman" w:eastAsia="仿宋" w:cs="Times New Roman"/>
          <w:b/>
          <w:sz w:val="32"/>
          <w:szCs w:val="32"/>
          <w:lang w:val="en-US" w:eastAsia="zh-CN"/>
        </w:rPr>
        <w:t>是</w:t>
      </w:r>
      <w:r>
        <w:rPr>
          <w:rFonts w:hint="default" w:ascii="Times New Roman" w:hAnsi="Times New Roman" w:eastAsia="仿宋_GB2312" w:cs="Times New Roman"/>
          <w:sz w:val="32"/>
          <w:szCs w:val="32"/>
        </w:rPr>
        <w:t>严格落实社区矫正管理措施，</w:t>
      </w:r>
      <w:r>
        <w:rPr>
          <w:rFonts w:hint="default" w:ascii="Times New Roman" w:hAnsi="Times New Roman" w:eastAsia="仿宋_GB2312" w:cs="Times New Roman"/>
          <w:sz w:val="32"/>
          <w:szCs w:val="32"/>
          <w:lang w:val="en-US" w:eastAsia="zh-CN"/>
        </w:rPr>
        <w:t>依托一体化平台实时监控社矫对象每日人脸签到和在线活动轨迹，确保不脱管漏管；按照请假外出、执行地变更等规定，严把外出审批关。</w:t>
      </w:r>
    </w:p>
    <w:p>
      <w:pPr>
        <w:keepNext w:val="0"/>
        <w:keepLines w:val="0"/>
        <w:pageBreakBefore w:val="0"/>
        <w:numPr>
          <w:ilvl w:val="0"/>
          <w:numId w:val="2"/>
        </w:numPr>
        <w:tabs>
          <w:tab w:val="left" w:pos="1032"/>
        </w:tabs>
        <w:kinsoku/>
        <w:wordWrap/>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人民调解</w:t>
      </w:r>
      <w:r>
        <w:rPr>
          <w:rFonts w:hint="eastAsia" w:eastAsia="仿宋_GB2312" w:cs="Times New Roman"/>
          <w:b/>
          <w:bCs/>
          <w:sz w:val="32"/>
          <w:szCs w:val="32"/>
          <w:lang w:eastAsia="zh-CN"/>
        </w:rPr>
        <w:t>（以奖代补）</w:t>
      </w:r>
      <w:r>
        <w:rPr>
          <w:rFonts w:hint="default" w:ascii="Times New Roman" w:hAnsi="Times New Roman" w:eastAsia="仿宋_GB2312" w:cs="Times New Roman"/>
          <w:b/>
          <w:bCs/>
          <w:sz w:val="32"/>
          <w:szCs w:val="32"/>
          <w:lang w:eastAsia="zh-CN"/>
        </w:rPr>
        <w:t>工作</w:t>
      </w:r>
    </w:p>
    <w:p>
      <w:pPr>
        <w:keepNext w:val="0"/>
        <w:keepLines w:val="0"/>
        <w:pageBreakBefore w:val="0"/>
        <w:widowControl/>
        <w:numPr>
          <w:ilvl w:val="0"/>
          <w:numId w:val="0"/>
        </w:numPr>
        <w:kinsoku/>
        <w:wordWrap/>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全县各级人民调解组织共调处纠纷</w:t>
      </w:r>
      <w:r>
        <w:rPr>
          <w:rFonts w:hint="default" w:ascii="Times New Roman" w:hAnsi="Times New Roman" w:eastAsia="仿宋_GB2312" w:cs="Times New Roman"/>
          <w:sz w:val="32"/>
          <w:szCs w:val="32"/>
          <w:lang w:val="en-US" w:eastAsia="zh-CN"/>
        </w:rPr>
        <w:t>4900余</w:t>
      </w:r>
      <w:r>
        <w:rPr>
          <w:rFonts w:hint="default" w:ascii="Times New Roman" w:hAnsi="Times New Roman" w:eastAsia="仿宋_GB2312" w:cs="Times New Roman"/>
          <w:sz w:val="32"/>
          <w:szCs w:val="32"/>
        </w:rPr>
        <w:t>件，</w:t>
      </w:r>
      <w:r>
        <w:rPr>
          <w:rFonts w:hint="default" w:ascii="Times New Roman" w:hAnsi="Times New Roman" w:eastAsia="仿宋_GB2312" w:cs="Times New Roman"/>
          <w:b w:val="0"/>
          <w:bCs w:val="0"/>
          <w:color w:val="auto"/>
          <w:sz w:val="32"/>
          <w:szCs w:val="32"/>
          <w:lang w:val="en-US" w:eastAsia="zh-CN"/>
        </w:rPr>
        <w:t>涉案金额达5700余万元，</w:t>
      </w:r>
      <w:r>
        <w:rPr>
          <w:rFonts w:hint="default" w:ascii="Times New Roman" w:hAnsi="Times New Roman" w:eastAsia="仿宋_GB2312" w:cs="Times New Roman"/>
          <w:sz w:val="32"/>
          <w:szCs w:val="32"/>
        </w:rPr>
        <w:t>没有发生因矛盾纠纷调处不及时或处理不到位</w:t>
      </w:r>
      <w:r>
        <w:rPr>
          <w:rFonts w:hint="default" w:ascii="Times New Roman" w:hAnsi="Times New Roman" w:eastAsia="仿宋_GB2312" w:cs="Times New Roman"/>
          <w:sz w:val="32"/>
          <w:szCs w:val="32"/>
          <w:lang w:eastAsia="zh-CN"/>
        </w:rPr>
        <w:t>而</w:t>
      </w:r>
      <w:r>
        <w:rPr>
          <w:rFonts w:hint="default" w:ascii="Times New Roman" w:hAnsi="Times New Roman" w:eastAsia="仿宋_GB2312" w:cs="Times New Roman"/>
          <w:sz w:val="32"/>
          <w:szCs w:val="32"/>
        </w:rPr>
        <w:t>引发的群体性械斗、非正常死亡、集体性上访等事件。</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rPr>
        <w:t>严格落实村（社区）每周、乡镇每半月、县区每月矛盾纠纷排查制度，对重点区域、重点对象、重点领域和重要时间段开展重点排查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加强司法所规范化建设，</w:t>
      </w:r>
      <w:r>
        <w:rPr>
          <w:rFonts w:hint="default" w:ascii="Times New Roman" w:hAnsi="Times New Roman" w:eastAsia="仿宋_GB2312" w:cs="Times New Roman"/>
          <w:sz w:val="32"/>
          <w:szCs w:val="32"/>
        </w:rPr>
        <w:t>坚持发展新时代“枫桥经验”，</w:t>
      </w:r>
      <w:r>
        <w:rPr>
          <w:rFonts w:hint="default" w:ascii="Times New Roman" w:hAnsi="Times New Roman" w:eastAsia="仿宋_GB2312" w:cs="Times New Roman"/>
          <w:sz w:val="32"/>
          <w:szCs w:val="32"/>
          <w:lang w:eastAsia="zh-CN"/>
        </w:rPr>
        <w:t>实现小事不出村，大事不出乡，矛盾不上交。</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推动专业性行业性调委会充分发挥作用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鼓励引导发展调解组织，</w:t>
      </w:r>
      <w:r>
        <w:rPr>
          <w:rFonts w:hint="default" w:ascii="Times New Roman" w:hAnsi="Times New Roman" w:eastAsia="仿宋_GB2312" w:cs="Times New Roman"/>
          <w:b w:val="0"/>
          <w:bCs w:val="0"/>
          <w:color w:val="auto"/>
          <w:sz w:val="32"/>
          <w:szCs w:val="32"/>
          <w:lang w:val="en-US" w:eastAsia="zh-CN"/>
        </w:rPr>
        <w:t>指导成立桃花江镇“有话好说”社会事务调解工作室</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rPr>
        <w:t>推进人民调解队伍建设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组织全县100余名调解骨干</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业务培训，进一步提高新任人民调解员能力素质和依法调解水平，使调解队伍更专业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rPr>
        <w:t>严格落实《桃江县人民调解“以奖代补”实施细则》，202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评查</w:t>
      </w:r>
      <w:r>
        <w:rPr>
          <w:rFonts w:hint="default" w:ascii="Times New Roman" w:hAnsi="Times New Roman" w:eastAsia="仿宋_GB2312" w:cs="Times New Roman"/>
          <w:sz w:val="32"/>
          <w:szCs w:val="32"/>
        </w:rPr>
        <w:t>全县人民调解案卷</w:t>
      </w:r>
      <w:r>
        <w:rPr>
          <w:rFonts w:hint="default" w:ascii="Times New Roman" w:hAnsi="Times New Roman" w:eastAsia="仿宋_GB2312" w:cs="Times New Roman"/>
          <w:sz w:val="32"/>
          <w:szCs w:val="32"/>
          <w:lang w:val="en-US" w:eastAsia="zh-CN"/>
        </w:rPr>
        <w:t>4270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eastAsia="zh-CN"/>
        </w:rPr>
        <w:t>“以奖代补”</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余万</w:t>
      </w:r>
      <w:r>
        <w:rPr>
          <w:rFonts w:hint="default" w:ascii="Times New Roman" w:hAnsi="Times New Roman" w:eastAsia="仿宋_GB2312" w:cs="Times New Roman"/>
          <w:sz w:val="32"/>
          <w:szCs w:val="32"/>
        </w:rPr>
        <w:t>元。</w:t>
      </w:r>
    </w:p>
    <w:p>
      <w:pPr>
        <w:keepNext w:val="0"/>
        <w:keepLines w:val="0"/>
        <w:pageBreakBefore w:val="0"/>
        <w:numPr>
          <w:ilvl w:val="0"/>
          <w:numId w:val="2"/>
        </w:numPr>
        <w:tabs>
          <w:tab w:val="left" w:pos="1032"/>
        </w:tabs>
        <w:kinsoku/>
        <w:wordWrap/>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仿宋_GB2312" w:cs="Times New Roman"/>
          <w:b/>
          <w:bCs/>
          <w:sz w:val="32"/>
          <w:szCs w:val="32"/>
          <w:lang w:eastAsia="zh-CN"/>
        </w:rPr>
      </w:pPr>
      <w:r>
        <w:rPr>
          <w:rFonts w:hint="eastAsia" w:eastAsia="仿宋_GB2312" w:cs="Times New Roman"/>
          <w:b/>
          <w:bCs/>
          <w:sz w:val="32"/>
          <w:szCs w:val="32"/>
          <w:lang w:eastAsia="zh-CN"/>
        </w:rPr>
        <w:t>公共法律服务（</w:t>
      </w:r>
      <w:r>
        <w:rPr>
          <w:rFonts w:hint="default" w:ascii="Times New Roman" w:hAnsi="Times New Roman" w:eastAsia="仿宋_GB2312" w:cs="Times New Roman"/>
          <w:b/>
          <w:bCs/>
          <w:sz w:val="32"/>
          <w:szCs w:val="32"/>
          <w:lang w:eastAsia="zh-CN"/>
        </w:rPr>
        <w:t>法律援助</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lang w:eastAsia="zh-CN"/>
        </w:rPr>
        <w:t>工作</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bCs/>
          <w:color w:val="auto"/>
          <w:sz w:val="32"/>
          <w:szCs w:val="32"/>
          <w:lang w:val="en-US" w:eastAsia="zh-CN"/>
        </w:rPr>
        <w:t>一是着力护航企业发展。</w:t>
      </w:r>
      <w:r>
        <w:rPr>
          <w:rFonts w:hint="default" w:ascii="Times New Roman" w:hAnsi="Times New Roman" w:eastAsia="仿宋_GB2312" w:cs="Times New Roman"/>
          <w:b w:val="0"/>
          <w:bCs w:val="0"/>
          <w:color w:val="auto"/>
          <w:sz w:val="32"/>
          <w:szCs w:val="32"/>
          <w:lang w:val="en-US" w:eastAsia="zh-CN"/>
        </w:rPr>
        <w:t>联合法律服务团队开展 “千所联千企”法治体检活动，与企业负责人深入分析交流、答疑解惑、“把脉问诊”，得到企业一致好评；大力运用省、县两级互联网+政务服务平台在线服务企业和群众，有效推进“一件事一次办”，全年共提供</w:t>
      </w:r>
      <w:r>
        <w:rPr>
          <w:rFonts w:hint="eastAsia" w:eastAsia="仿宋_GB2312" w:cs="Times New Roman"/>
          <w:b w:val="0"/>
          <w:bCs w:val="0"/>
          <w:color w:val="auto"/>
          <w:sz w:val="32"/>
          <w:szCs w:val="32"/>
          <w:lang w:val="en-US" w:eastAsia="zh-CN"/>
        </w:rPr>
        <w:t>法律</w:t>
      </w:r>
      <w:r>
        <w:rPr>
          <w:rFonts w:hint="default" w:ascii="Times New Roman" w:hAnsi="Times New Roman" w:eastAsia="仿宋_GB2312" w:cs="Times New Roman"/>
          <w:b w:val="0"/>
          <w:bCs w:val="0"/>
          <w:color w:val="auto"/>
          <w:sz w:val="32"/>
          <w:szCs w:val="32"/>
          <w:lang w:val="en-US" w:eastAsia="zh-CN"/>
        </w:rPr>
        <w:t>服务325次。</w:t>
      </w:r>
      <w:r>
        <w:rPr>
          <w:rFonts w:hint="default" w:ascii="Times New Roman" w:hAnsi="Times New Roman" w:eastAsia="仿宋_GB2312" w:cs="Times New Roman"/>
          <w:b/>
          <w:bCs/>
          <w:color w:val="auto"/>
          <w:sz w:val="32"/>
          <w:szCs w:val="32"/>
          <w:lang w:val="en-US" w:eastAsia="zh-CN"/>
        </w:rPr>
        <w:t>二是着力保障民生福祉。</w:t>
      </w:r>
      <w:r>
        <w:rPr>
          <w:rFonts w:hint="default" w:ascii="Times New Roman" w:hAnsi="Times New Roman" w:eastAsia="仿宋_GB2312" w:cs="Times New Roman"/>
          <w:b w:val="0"/>
          <w:bCs w:val="0"/>
          <w:color w:val="auto"/>
          <w:sz w:val="32"/>
          <w:szCs w:val="32"/>
          <w:lang w:val="en-US" w:eastAsia="zh-CN"/>
        </w:rPr>
        <w:t>开展农民工、残疾人等弱势群体和军人军属法律援助专项活动，共受理法律援助案件267件；</w:t>
      </w:r>
      <w:r>
        <w:rPr>
          <w:rFonts w:hint="default" w:ascii="Times New Roman" w:hAnsi="Times New Roman" w:eastAsia="仿宋_GB2312" w:cs="Times New Roman"/>
          <w:color w:val="auto"/>
          <w:sz w:val="32"/>
          <w:szCs w:val="32"/>
        </w:rPr>
        <w:t>公共法律服务实体、热线、网络</w:t>
      </w:r>
      <w:r>
        <w:rPr>
          <w:rFonts w:hint="default" w:ascii="Times New Roman" w:hAnsi="Times New Roman" w:eastAsia="仿宋_GB2312" w:cs="Times New Roman"/>
          <w:b w:val="0"/>
          <w:bCs w:val="0"/>
          <w:color w:val="auto"/>
          <w:sz w:val="32"/>
          <w:szCs w:val="32"/>
          <w:lang w:val="en-US" w:eastAsia="zh-CN"/>
        </w:rPr>
        <w:t>“三大平台”为群众提供法律咨询700余件，群众满意度100%；深化刑事案件律师辩护全覆盖，安排律师在法院、检察院、看守所定期值班，提供法律帮助963件。</w:t>
      </w:r>
      <w:r>
        <w:rPr>
          <w:rFonts w:hint="default" w:ascii="Times New Roman" w:hAnsi="Times New Roman" w:eastAsia="仿宋_GB2312" w:cs="Times New Roman"/>
          <w:b/>
          <w:bCs/>
          <w:color w:val="auto"/>
          <w:sz w:val="32"/>
          <w:szCs w:val="32"/>
          <w:lang w:val="en-US" w:eastAsia="zh-CN"/>
        </w:rPr>
        <w:t>三是着力强化行业监管。</w:t>
      </w:r>
      <w:r>
        <w:rPr>
          <w:rFonts w:hint="default" w:ascii="Times New Roman" w:hAnsi="Times New Roman" w:eastAsia="仿宋_GB2312" w:cs="Times New Roman"/>
          <w:b w:val="0"/>
          <w:bCs w:val="0"/>
          <w:color w:val="auto"/>
          <w:sz w:val="32"/>
          <w:szCs w:val="32"/>
          <w:lang w:val="en-US" w:eastAsia="zh-CN"/>
        </w:rPr>
        <w:t>开展律所、法律服务所、司法鉴定机构执业检查，公布投诉举报电话，全年零投诉。两家司法鉴定所办结司法鉴定778件。加快推进公证体制改革，桃江公证处在年内恢复执业，全年共协助办理公证事项743件。</w:t>
      </w:r>
    </w:p>
    <w:p>
      <w:pPr>
        <w:keepNext w:val="0"/>
        <w:keepLines w:val="0"/>
        <w:pageBreakBefore w:val="0"/>
        <w:numPr>
          <w:ilvl w:val="0"/>
          <w:numId w:val="0"/>
        </w:numPr>
        <w:kinsoku/>
        <w:wordWrap/>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四、部门整体支出绩效情况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2023年</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rPr>
        <w:t>全县司法行政系统在县委县政府的正确领导和县委政法委的精心指导下，坚持以习近平新时代中国特色社会主义思想为指导，坚定践行习近平法治思想，担当作为、奋发进取，各项工作实现</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新突破、取得</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新进展。</w:t>
      </w:r>
      <w:r>
        <w:rPr>
          <w:rFonts w:hint="eastAsia"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婚姻调解中心“三网三访”婚调模式获央视推介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高新区劳动人事争议调解中心、桃花江镇劳动人事争议调解中心获湖南省劳动争议金牌调解组织称号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高桥镇婚恋纠纷“有话好说”纠纷工作法获枫桥经验创新工作法先进典型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我局被评为2023年度清廉桃江建设工作优秀单位；关爱青少年成长普法教育项目获得桃江县2023年度最佳文明实践志愿服务项目。</w:t>
      </w:r>
    </w:p>
    <w:p>
      <w:pPr>
        <w:pStyle w:val="8"/>
        <w:keepNext w:val="0"/>
        <w:keepLines w:val="0"/>
        <w:pageBreakBefore w:val="0"/>
        <w:widowControl/>
        <w:kinsoku/>
        <w:wordWrap/>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经过综合评估，</w:t>
      </w:r>
      <w:r>
        <w:rPr>
          <w:rFonts w:hint="eastAsia" w:ascii="Times New Roman" w:hAnsi="Times New Roman" w:eastAsia="仿宋_GB2312" w:cs="Times New Roman"/>
          <w:color w:val="000000"/>
          <w:sz w:val="32"/>
          <w:szCs w:val="32"/>
          <w:u w:val="none"/>
          <w:lang w:val="en-US" w:eastAsia="zh-CN"/>
        </w:rPr>
        <w:t>2023年</w:t>
      </w:r>
      <w:r>
        <w:rPr>
          <w:rFonts w:hint="eastAsia" w:ascii="Times New Roman" w:hAnsi="Times New Roman" w:eastAsia="仿宋_GB2312" w:cs="Times New Roman"/>
          <w:color w:val="000000"/>
          <w:sz w:val="32"/>
          <w:szCs w:val="32"/>
          <w:u w:val="none"/>
        </w:rPr>
        <w:t>部门支出</w:t>
      </w:r>
      <w:r>
        <w:rPr>
          <w:rFonts w:hint="default" w:ascii="Times New Roman" w:hAnsi="Times New Roman" w:eastAsia="仿宋_GB2312" w:cs="Times New Roman"/>
          <w:color w:val="000000"/>
          <w:sz w:val="32"/>
          <w:szCs w:val="32"/>
          <w:u w:val="none"/>
          <w:lang w:val="en-US" w:eastAsia="zh-CN"/>
        </w:rPr>
        <w:t>在</w:t>
      </w:r>
      <w:r>
        <w:rPr>
          <w:rFonts w:hint="default" w:ascii="Times New Roman" w:hAnsi="Times New Roman" w:eastAsia="仿宋_GB2312" w:cs="Times New Roman"/>
          <w:color w:val="000000"/>
          <w:sz w:val="32"/>
          <w:szCs w:val="32"/>
          <w:u w:val="none"/>
        </w:rPr>
        <w:t>经济性、效率性、有效性和可持续性等方面都达到</w:t>
      </w:r>
      <w:r>
        <w:rPr>
          <w:rFonts w:hint="eastAsia" w:ascii="Times New Roman" w:hAnsi="Times New Roman" w:eastAsia="仿宋_GB2312" w:cs="Times New Roman"/>
          <w:color w:val="000000"/>
          <w:sz w:val="32"/>
          <w:szCs w:val="32"/>
          <w:u w:val="none"/>
          <w:lang w:eastAsia="zh-CN"/>
        </w:rPr>
        <w:t>了</w:t>
      </w:r>
      <w:r>
        <w:rPr>
          <w:rFonts w:hint="default" w:ascii="Times New Roman" w:hAnsi="Times New Roman" w:eastAsia="仿宋_GB2312" w:cs="Times New Roman"/>
          <w:color w:val="000000"/>
          <w:sz w:val="32"/>
          <w:szCs w:val="32"/>
          <w:u w:val="none"/>
        </w:rPr>
        <w:t>财政绩效管理的</w:t>
      </w:r>
      <w:r>
        <w:rPr>
          <w:rFonts w:hint="default" w:ascii="Times New Roman" w:hAnsi="Times New Roman" w:eastAsia="仿宋_GB2312" w:cs="Times New Roman"/>
          <w:color w:val="000000"/>
          <w:sz w:val="32"/>
          <w:szCs w:val="32"/>
          <w:u w:val="none"/>
          <w:lang w:eastAsia="zh-CN"/>
        </w:rPr>
        <w:t>预期目标</w:t>
      </w:r>
      <w:r>
        <w:rPr>
          <w:rFonts w:hint="eastAsia" w:ascii="Times New Roman" w:hAnsi="Times New Roman" w:eastAsia="仿宋_GB2312" w:cs="Times New Roman"/>
          <w:color w:val="000000"/>
          <w:sz w:val="32"/>
          <w:szCs w:val="32"/>
          <w:u w:val="none"/>
          <w:lang w:eastAsia="zh-CN"/>
        </w:rPr>
        <w:t>。</w:t>
      </w:r>
    </w:p>
    <w:p>
      <w:pPr>
        <w:keepNext w:val="0"/>
        <w:keepLines w:val="0"/>
        <w:pageBreakBefore w:val="0"/>
        <w:numPr>
          <w:ilvl w:val="0"/>
          <w:numId w:val="3"/>
        </w:numPr>
        <w:kinsoku/>
        <w:wordWrap/>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绩效评价工作开展情况</w:t>
      </w:r>
    </w:p>
    <w:p>
      <w:pPr>
        <w:keepNext w:val="0"/>
        <w:keepLines w:val="0"/>
        <w:pageBreakBefore w:val="0"/>
        <w:numPr>
          <w:ilvl w:val="0"/>
          <w:numId w:val="4"/>
        </w:numPr>
        <w:kinsoku/>
        <w:wordWrap/>
        <w:autoSpaceDE/>
        <w:autoSpaceDN/>
        <w:bidi w:val="0"/>
        <w:adjustRightInd/>
        <w:snapToGrid/>
        <w:spacing w:line="600" w:lineRule="exact"/>
        <w:ind w:firstLine="640" w:firstLineChars="200"/>
        <w:textAlignment w:val="auto"/>
        <w:rPr>
          <w:rFonts w:eastAsia="仿宋_GB2312"/>
          <w:sz w:val="32"/>
          <w:szCs w:val="32"/>
        </w:rPr>
      </w:pPr>
      <w:r>
        <w:rPr>
          <w:rFonts w:eastAsia="楷体_GB2312"/>
          <w:sz w:val="32"/>
          <w:szCs w:val="32"/>
        </w:rPr>
        <w:t>绩效评价目的</w:t>
      </w:r>
    </w:p>
    <w:p>
      <w:pPr>
        <w:keepNext w:val="0"/>
        <w:keepLines w:val="0"/>
        <w:pageBreakBefore w:val="0"/>
        <w:kinsoku/>
        <w:wordWrap/>
        <w:topLinePunct/>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本次绩效评价的目的是为全面分析和综合评价我局财政预算资金的使用管理情况，增强财政支出绩效理念，提高预算绩效管理水平，科学合理编制年度预算，加强项目和资金管理，切实发挥财政资金资源配置作用，切实提高预算资金使用效率。</w:t>
      </w:r>
    </w:p>
    <w:p>
      <w:pPr>
        <w:keepNext w:val="0"/>
        <w:keepLines w:val="0"/>
        <w:pageBreakBefore w:val="0"/>
        <w:numPr>
          <w:ilvl w:val="0"/>
          <w:numId w:val="4"/>
        </w:numPr>
        <w:kinsoku/>
        <w:wordWrap/>
        <w:autoSpaceDE/>
        <w:autoSpaceDN/>
        <w:bidi w:val="0"/>
        <w:adjustRightInd/>
        <w:snapToGrid/>
        <w:spacing w:line="600" w:lineRule="exact"/>
        <w:ind w:firstLine="640" w:firstLineChars="200"/>
        <w:textAlignment w:val="auto"/>
        <w:rPr>
          <w:rFonts w:eastAsia="楷体_GB2312"/>
          <w:sz w:val="32"/>
          <w:szCs w:val="32"/>
        </w:rPr>
      </w:pPr>
      <w:r>
        <w:rPr>
          <w:rFonts w:eastAsia="楷体_GB2312"/>
          <w:sz w:val="32"/>
          <w:szCs w:val="32"/>
        </w:rPr>
        <w:t>绩效评价工作过程</w:t>
      </w:r>
    </w:p>
    <w:p>
      <w:pPr>
        <w:keepNext w:val="0"/>
        <w:keepLines w:val="0"/>
        <w:pageBreakBefore w:val="0"/>
        <w:numPr>
          <w:ilvl w:val="0"/>
          <w:numId w:val="5"/>
        </w:numPr>
        <w:kinsoku/>
        <w:wordWrap/>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前期准备：我局</w:t>
      </w:r>
      <w:r>
        <w:rPr>
          <w:rFonts w:hint="eastAsia" w:eastAsia="仿宋_GB2312"/>
          <w:sz w:val="32"/>
          <w:szCs w:val="32"/>
        </w:rPr>
        <w:t>及时</w:t>
      </w:r>
      <w:r>
        <w:rPr>
          <w:rFonts w:eastAsia="仿宋_GB2312"/>
          <w:sz w:val="32"/>
          <w:szCs w:val="32"/>
        </w:rPr>
        <w:t>成立绩效评价工作</w:t>
      </w:r>
      <w:r>
        <w:rPr>
          <w:rFonts w:hint="eastAsia" w:eastAsia="仿宋_GB2312"/>
          <w:sz w:val="32"/>
          <w:szCs w:val="32"/>
        </w:rPr>
        <w:t>领导</w:t>
      </w:r>
      <w:r>
        <w:rPr>
          <w:rFonts w:eastAsia="仿宋_GB2312"/>
          <w:sz w:val="32"/>
          <w:szCs w:val="32"/>
        </w:rPr>
        <w:t>小组，</w:t>
      </w:r>
      <w:r>
        <w:rPr>
          <w:rFonts w:hint="eastAsia" w:eastAsia="仿宋_GB2312"/>
          <w:sz w:val="32"/>
          <w:szCs w:val="32"/>
        </w:rPr>
        <w:t>明确责任领导，指定专人负责</w:t>
      </w:r>
      <w:r>
        <w:rPr>
          <w:rFonts w:eastAsia="仿宋_GB2312"/>
          <w:sz w:val="32"/>
          <w:szCs w:val="32"/>
        </w:rPr>
        <w:t>绩效评价工作。</w:t>
      </w:r>
    </w:p>
    <w:p>
      <w:pPr>
        <w:keepNext w:val="0"/>
        <w:keepLines w:val="0"/>
        <w:pageBreakBefore w:val="0"/>
        <w:numPr>
          <w:ilvl w:val="0"/>
          <w:numId w:val="5"/>
        </w:numPr>
        <w:kinsoku/>
        <w:wordWrap/>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开展自评：按照要求开展自评，</w:t>
      </w:r>
      <w:r>
        <w:rPr>
          <w:rFonts w:hint="eastAsia" w:eastAsia="仿宋_GB2312"/>
          <w:sz w:val="32"/>
          <w:szCs w:val="32"/>
        </w:rPr>
        <w:t>检查202</w:t>
      </w:r>
      <w:r>
        <w:rPr>
          <w:rFonts w:hint="eastAsia" w:eastAsia="仿宋_GB2312"/>
          <w:sz w:val="32"/>
          <w:szCs w:val="32"/>
          <w:lang w:val="en-US" w:eastAsia="zh-CN"/>
        </w:rPr>
        <w:t>3</w:t>
      </w:r>
      <w:r>
        <w:rPr>
          <w:rFonts w:hint="eastAsia" w:eastAsia="仿宋_GB2312"/>
          <w:sz w:val="32"/>
          <w:szCs w:val="32"/>
        </w:rPr>
        <w:t>年基本支出、项目支出有关账目，收集整理相关资料</w:t>
      </w:r>
      <w:r>
        <w:rPr>
          <w:rFonts w:eastAsia="仿宋_GB2312"/>
          <w:sz w:val="32"/>
          <w:szCs w:val="32"/>
        </w:rPr>
        <w:t>。</w:t>
      </w:r>
    </w:p>
    <w:p>
      <w:pPr>
        <w:keepNext w:val="0"/>
        <w:keepLines w:val="0"/>
        <w:pageBreakBefore w:val="0"/>
        <w:numPr>
          <w:ilvl w:val="0"/>
          <w:numId w:val="5"/>
        </w:numPr>
        <w:kinsoku/>
        <w:wordWrap/>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出具报告：对收集资料进行定量定性分析，形成评价结论，出具绩效评价报告。</w:t>
      </w:r>
    </w:p>
    <w:p>
      <w:pPr>
        <w:keepNext w:val="0"/>
        <w:keepLines w:val="0"/>
        <w:pageBreakBefore w:val="0"/>
        <w:kinsoku/>
        <w:wordWrap/>
        <w:autoSpaceDE/>
        <w:autoSpaceDN/>
        <w:bidi w:val="0"/>
        <w:adjustRightInd/>
        <w:snapToGrid/>
        <w:spacing w:line="600" w:lineRule="exact"/>
        <w:ind w:firstLine="640" w:firstLineChars="200"/>
        <w:textAlignment w:val="auto"/>
        <w:rPr>
          <w:rFonts w:hint="eastAsia" w:eastAsia="黑体"/>
          <w:sz w:val="32"/>
          <w:szCs w:val="32"/>
          <w:lang w:eastAsia="zh-CN"/>
        </w:rPr>
      </w:pPr>
      <w:r>
        <w:rPr>
          <w:rFonts w:eastAsia="黑体"/>
          <w:sz w:val="32"/>
          <w:szCs w:val="32"/>
        </w:rPr>
        <w:t>六、存在的</w:t>
      </w:r>
      <w:r>
        <w:rPr>
          <w:rFonts w:hint="eastAsia" w:eastAsia="黑体"/>
          <w:sz w:val="32"/>
          <w:szCs w:val="32"/>
          <w:lang w:eastAsia="zh-CN"/>
        </w:rPr>
        <w:t>问题及改进措施</w:t>
      </w:r>
    </w:p>
    <w:p>
      <w:pPr>
        <w:pStyle w:val="2"/>
        <w:ind w:firstLine="640" w:firstLineChars="200"/>
        <w:rPr>
          <w:rFonts w:hint="default"/>
        </w:rPr>
      </w:pPr>
      <w:r>
        <w:rPr>
          <w:rFonts w:hint="eastAsia" w:eastAsia="仿宋_GB2312"/>
          <w:sz w:val="32"/>
          <w:szCs w:val="32"/>
        </w:rPr>
        <w:t>通过上述对我局整体支出绩效情况的分析，我们认识到虽然达到了预期的绩效目标，但仍然存在一些</w:t>
      </w:r>
      <w:r>
        <w:rPr>
          <w:rFonts w:hint="eastAsia" w:eastAsia="仿宋_GB2312"/>
          <w:sz w:val="32"/>
          <w:szCs w:val="32"/>
          <w:lang w:eastAsia="zh-CN"/>
        </w:rPr>
        <w:t>困难</w:t>
      </w:r>
      <w:r>
        <w:rPr>
          <w:rFonts w:hint="eastAsia" w:eastAsia="仿宋_GB2312"/>
          <w:sz w:val="32"/>
          <w:szCs w:val="32"/>
        </w:rPr>
        <w:t>和问题：</w:t>
      </w:r>
      <w:r>
        <w:rPr>
          <w:rFonts w:hint="default" w:ascii="Times New Roman" w:hAnsi="Times New Roman" w:eastAsia="仿宋_GB2312" w:cs="Times New Roman"/>
          <w:color w:val="auto"/>
          <w:sz w:val="32"/>
          <w:szCs w:val="32"/>
        </w:rPr>
        <w:t>党建工作</w:t>
      </w:r>
      <w:r>
        <w:rPr>
          <w:rFonts w:hint="eastAsia" w:ascii="Times New Roman" w:hAnsi="Times New Roman" w:eastAsia="仿宋_GB2312" w:cs="Times New Roman"/>
          <w:color w:val="auto"/>
          <w:sz w:val="32"/>
          <w:szCs w:val="32"/>
          <w:lang w:val="en-US" w:eastAsia="zh-CN"/>
        </w:rPr>
        <w:t>管理</w:t>
      </w:r>
      <w:r>
        <w:rPr>
          <w:rFonts w:hint="eastAsia" w:ascii="Times New Roman" w:hAnsi="Times New Roman" w:eastAsia="仿宋_GB2312" w:cs="Times New Roman"/>
          <w:color w:val="auto"/>
          <w:sz w:val="32"/>
          <w:szCs w:val="32"/>
          <w:lang w:eastAsia="zh-CN"/>
        </w:rPr>
        <w:t>还需</w:t>
      </w:r>
      <w:r>
        <w:rPr>
          <w:rFonts w:hint="default" w:ascii="Times New Roman" w:hAnsi="Times New Roman" w:eastAsia="仿宋_GB2312" w:cs="Times New Roman"/>
          <w:color w:val="auto"/>
          <w:sz w:val="32"/>
          <w:szCs w:val="32"/>
        </w:rPr>
        <w:t>强化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法治桃江建设亮点特色不多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行政执法监督力度有待加强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社区矫正</w:t>
      </w:r>
      <w:r>
        <w:rPr>
          <w:rFonts w:hint="eastAsia" w:ascii="Times New Roman" w:hAnsi="Times New Roman" w:eastAsia="仿宋_GB2312" w:cs="Times New Roman"/>
          <w:color w:val="auto"/>
          <w:sz w:val="32"/>
          <w:szCs w:val="32"/>
          <w:lang w:val="en-US" w:eastAsia="zh-CN"/>
        </w:rPr>
        <w:t>监管还不够严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司法所规范化建设</w:t>
      </w:r>
      <w:r>
        <w:rPr>
          <w:rFonts w:hint="eastAsia" w:ascii="Times New Roman" w:hAnsi="Times New Roman" w:eastAsia="仿宋_GB2312" w:cs="Times New Roman"/>
          <w:color w:val="auto"/>
          <w:sz w:val="32"/>
          <w:szCs w:val="32"/>
          <w:lang w:eastAsia="zh-CN"/>
        </w:rPr>
        <w:t>尚有差距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少数干部担当意识不强、实干本领不足</w:t>
      </w:r>
      <w:r>
        <w:rPr>
          <w:rFonts w:hint="default"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eastAsia="zh-CN"/>
        </w:rPr>
        <w:t>。</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sz w:val="32"/>
          <w:szCs w:val="32"/>
          <w:lang w:val="en-US" w:eastAsia="zh-CN"/>
        </w:rPr>
        <w:t>改进措施：</w:t>
      </w:r>
      <w:r>
        <w:rPr>
          <w:rFonts w:hint="default" w:ascii="Times New Roman" w:hAnsi="Times New Roman" w:eastAsia="仿宋" w:cs="Times New Roman"/>
          <w:b/>
          <w:bCs w:val="0"/>
          <w:sz w:val="32"/>
          <w:szCs w:val="32"/>
          <w:lang w:val="en-US" w:eastAsia="zh-CN"/>
        </w:rPr>
        <w:t>一是</w:t>
      </w:r>
      <w:r>
        <w:rPr>
          <w:rFonts w:hint="eastAsia" w:ascii="Times New Roman" w:hAnsi="Times New Roman" w:eastAsia="仿宋" w:cs="Times New Roman"/>
          <w:sz w:val="32"/>
          <w:szCs w:val="32"/>
          <w:lang w:val="en-US" w:eastAsia="zh-CN"/>
        </w:rPr>
        <w:t>切实强化</w:t>
      </w:r>
      <w:r>
        <w:rPr>
          <w:rFonts w:hint="default" w:ascii="Times New Roman" w:hAnsi="Times New Roman" w:eastAsia="仿宋" w:cs="Times New Roman"/>
          <w:sz w:val="32"/>
          <w:szCs w:val="32"/>
          <w:lang w:eastAsia="zh-CN"/>
        </w:rPr>
        <w:t>县委全面依法治县办</w:t>
      </w:r>
      <w:r>
        <w:rPr>
          <w:rFonts w:hint="eastAsia" w:ascii="Times New Roman" w:hAnsi="Times New Roman" w:eastAsia="仿宋" w:cs="Times New Roman"/>
          <w:sz w:val="32"/>
          <w:szCs w:val="32"/>
          <w:lang w:val="en-US" w:eastAsia="zh-CN"/>
        </w:rPr>
        <w:t>统筹协调作用，</w:t>
      </w:r>
      <w:r>
        <w:rPr>
          <w:rFonts w:hint="default" w:ascii="Times New Roman" w:hAnsi="Times New Roman" w:eastAsia="仿宋" w:cs="Times New Roman"/>
          <w:sz w:val="32"/>
          <w:szCs w:val="32"/>
        </w:rPr>
        <w:t>完善全面依法治县工作实施体系，</w:t>
      </w:r>
      <w:r>
        <w:rPr>
          <w:rFonts w:hint="default" w:ascii="Times New Roman" w:hAnsi="Times New Roman" w:eastAsia="仿宋" w:cs="Times New Roman"/>
          <w:sz w:val="32"/>
          <w:szCs w:val="32"/>
          <w:lang w:val="en-US" w:eastAsia="zh-CN"/>
        </w:rPr>
        <w:t>全面</w:t>
      </w:r>
      <w:r>
        <w:rPr>
          <w:rFonts w:hint="eastAsia" w:ascii="Times New Roman" w:hAnsi="Times New Roman" w:eastAsia="仿宋" w:cs="Times New Roman"/>
          <w:sz w:val="32"/>
          <w:szCs w:val="32"/>
          <w:lang w:val="en-US" w:eastAsia="zh-CN"/>
        </w:rPr>
        <w:t>推进法治政府建设，</w:t>
      </w:r>
      <w:r>
        <w:rPr>
          <w:rFonts w:hint="default" w:ascii="Times New Roman" w:hAnsi="Times New Roman" w:eastAsia="仿宋" w:cs="Times New Roman"/>
          <w:sz w:val="32"/>
          <w:szCs w:val="32"/>
        </w:rPr>
        <w:t>深入推进“八五”普法实施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着力提升法治桃江建设水平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val="0"/>
          <w:sz w:val="32"/>
          <w:szCs w:val="32"/>
          <w:lang w:eastAsia="zh-CN"/>
        </w:rPr>
        <w:t>二是</w:t>
      </w:r>
      <w:r>
        <w:rPr>
          <w:rFonts w:hint="default" w:ascii="Times New Roman" w:hAnsi="Times New Roman" w:eastAsia="仿宋" w:cs="Times New Roman"/>
          <w:sz w:val="32"/>
          <w:szCs w:val="32"/>
          <w:lang w:val="en-US" w:eastAsia="zh-CN"/>
        </w:rPr>
        <w:t>推动司法所规范化建设</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有效做好矛盾纠纷排查化解</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加强重点人群教育管理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推动基层治理法治化进程</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b/>
          <w:bCs w:val="0"/>
          <w:sz w:val="32"/>
          <w:szCs w:val="32"/>
          <w:lang w:eastAsia="zh-CN"/>
        </w:rPr>
        <w:t>三是</w:t>
      </w:r>
      <w:r>
        <w:rPr>
          <w:rFonts w:hint="eastAsia" w:ascii="Times New Roman" w:hAnsi="Times New Roman" w:eastAsia="仿宋_GB2312" w:cs="Times New Roman"/>
          <w:sz w:val="32"/>
          <w:szCs w:val="32"/>
          <w:lang w:eastAsia="zh-CN"/>
        </w:rPr>
        <w:t>优化公共法律服务体系，</w:t>
      </w:r>
      <w:r>
        <w:rPr>
          <w:rFonts w:hint="default" w:ascii="Times New Roman" w:hAnsi="Times New Roman" w:eastAsia="仿宋_GB2312" w:cs="Times New Roman"/>
          <w:sz w:val="32"/>
          <w:szCs w:val="32"/>
          <w:lang w:val="en-US" w:eastAsia="zh-CN"/>
        </w:rPr>
        <w:t>提升公共法律服务质量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强化法律服务行业监管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auto"/>
          <w:sz w:val="32"/>
          <w:szCs w:val="32"/>
        </w:rPr>
        <w:t>提高公证和司法鉴定的质量与社会公信力</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b/>
          <w:bCs w:val="0"/>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强化司法行政队伍建设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充分激发干部干事创业的内生动力，努力锻造一支忠诚干净担当的司法行政铁军。</w:t>
      </w:r>
    </w:p>
    <w:p>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其他需要说明的问题</w:t>
      </w:r>
    </w:p>
    <w:p>
      <w:pPr>
        <w:pStyle w:val="3"/>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cs="Times New Roman"/>
          <w:lang w:eastAsia="zh-CN"/>
        </w:rPr>
      </w:pPr>
      <w:r>
        <w:rPr>
          <w:rFonts w:hint="default" w:ascii="Times New Roman" w:hAnsi="Times New Roman" w:cs="Times New Roman"/>
          <w:lang w:eastAsia="zh-CN"/>
        </w:rPr>
        <w:t>无</w:t>
      </w:r>
    </w:p>
    <w:p>
      <w:pPr>
        <w:keepNext w:val="0"/>
        <w:keepLines w:val="0"/>
        <w:pageBreakBefore w:val="0"/>
        <w:kinsoku/>
        <w:wordWrap/>
        <w:autoSpaceDE/>
        <w:autoSpaceDN/>
        <w:bidi w:val="0"/>
        <w:adjustRightInd/>
        <w:snapToGrid/>
        <w:spacing w:line="600" w:lineRule="exact"/>
        <w:ind w:firstLine="640" w:firstLineChars="200"/>
        <w:textAlignment w:val="auto"/>
        <w:rPr>
          <w:rFonts w:eastAsia="仿宋_GB2312"/>
          <w:sz w:val="32"/>
          <w:szCs w:val="32"/>
        </w:rPr>
      </w:pPr>
    </w:p>
    <w:p>
      <w:pPr>
        <w:pStyle w:val="3"/>
        <w:keepNext w:val="0"/>
        <w:keepLines w:val="0"/>
        <w:pageBreakBefore w:val="0"/>
        <w:kinsoku/>
        <w:wordWrap/>
        <w:autoSpaceDE/>
        <w:autoSpaceDN/>
        <w:bidi w:val="0"/>
        <w:adjustRightInd/>
        <w:snapToGrid/>
        <w:spacing w:line="600" w:lineRule="exact"/>
        <w:textAlignment w:val="auto"/>
        <w:rPr>
          <w:rFonts w:eastAsia="仿宋_GB2312"/>
          <w:sz w:val="32"/>
          <w:szCs w:val="32"/>
        </w:rPr>
      </w:pPr>
    </w:p>
    <w:p>
      <w:pPr>
        <w:keepNext w:val="0"/>
        <w:keepLines w:val="0"/>
        <w:pageBreakBefore w:val="0"/>
        <w:kinsoku/>
        <w:wordWrap/>
        <w:autoSpaceDE/>
        <w:autoSpaceDN/>
        <w:bidi w:val="0"/>
        <w:adjustRightInd/>
        <w:snapToGrid/>
        <w:spacing w:line="600" w:lineRule="exact"/>
        <w:textAlignment w:val="auto"/>
        <w:rPr>
          <w:rFonts w:eastAsia="仿宋_GB2312"/>
          <w:sz w:val="32"/>
          <w:szCs w:val="32"/>
        </w:rPr>
      </w:pPr>
    </w:p>
    <w:p>
      <w:pPr>
        <w:pStyle w:val="3"/>
        <w:keepNext w:val="0"/>
        <w:keepLines w:val="0"/>
        <w:pageBreakBefore w:val="0"/>
        <w:kinsoku/>
        <w:wordWrap/>
        <w:topLinePunct w:val="0"/>
        <w:autoSpaceDE/>
        <w:autoSpaceDN/>
        <w:bidi w:val="0"/>
        <w:adjustRightInd/>
        <w:snapToGrid/>
        <w:spacing w:line="600" w:lineRule="exact"/>
        <w:ind w:firstLine="6400" w:firstLineChars="2000"/>
        <w:jc w:val="both"/>
        <w:textAlignment w:val="auto"/>
        <w:rPr>
          <w:rFonts w:hint="default" w:ascii="Times New Roman" w:hAnsi="Times New Roman" w:cs="Times New Roman"/>
          <w:lang w:eastAsia="zh-CN"/>
        </w:rPr>
      </w:pPr>
      <w:r>
        <w:rPr>
          <w:rFonts w:hint="default" w:ascii="Times New Roman" w:hAnsi="Times New Roman" w:cs="Times New Roman"/>
          <w:lang w:eastAsia="zh-CN"/>
        </w:rPr>
        <w:t>桃江县司法局</w:t>
      </w:r>
    </w:p>
    <w:p>
      <w:pPr>
        <w:pStyle w:val="3"/>
        <w:keepNext w:val="0"/>
        <w:keepLines w:val="0"/>
        <w:pageBreakBefore w:val="0"/>
        <w:kinsoku/>
        <w:wordWrap/>
        <w:topLinePunct w:val="0"/>
        <w:autoSpaceDE/>
        <w:autoSpaceDN/>
        <w:bidi w:val="0"/>
        <w:adjustRightInd/>
        <w:snapToGrid/>
        <w:spacing w:line="600" w:lineRule="exact"/>
        <w:ind w:firstLine="6080" w:firstLineChars="1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5</w:t>
      </w:r>
      <w:r>
        <w:rPr>
          <w:rFonts w:hint="default" w:ascii="Times New Roman" w:hAnsi="Times New Roman" w:cs="Times New Roman"/>
          <w:lang w:val="en-US" w:eastAsia="zh-CN"/>
        </w:rPr>
        <w:t>日</w:t>
      </w:r>
    </w:p>
    <w:p>
      <w:pPr>
        <w:pStyle w:val="3"/>
      </w:pPr>
      <w:bookmarkStart w:id="0" w:name="_GoBack"/>
      <w:bookmarkEnd w:id="0"/>
    </w:p>
    <w:sectPr>
      <w:footerReference r:id="rId3" w:type="default"/>
      <w:pgSz w:w="11906" w:h="16838"/>
      <w:pgMar w:top="1814" w:right="1361" w:bottom="1587" w:left="1644" w:header="850"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5"/>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FB7FF"/>
    <w:multiLevelType w:val="singleLevel"/>
    <w:tmpl w:val="B14FB7FF"/>
    <w:lvl w:ilvl="0" w:tentative="0">
      <w:start w:val="1"/>
      <w:numFmt w:val="decimal"/>
      <w:suff w:val="space"/>
      <w:lvlText w:val="%1."/>
      <w:lvlJc w:val="left"/>
    </w:lvl>
  </w:abstractNum>
  <w:abstractNum w:abstractNumId="1">
    <w:nsid w:val="D680541C"/>
    <w:multiLevelType w:val="singleLevel"/>
    <w:tmpl w:val="D680541C"/>
    <w:lvl w:ilvl="0" w:tentative="0">
      <w:start w:val="5"/>
      <w:numFmt w:val="chineseCounting"/>
      <w:suff w:val="nothing"/>
      <w:lvlText w:val="%1、"/>
      <w:lvlJc w:val="left"/>
      <w:rPr>
        <w:rFonts w:hint="eastAsia"/>
      </w:rPr>
    </w:lvl>
  </w:abstractNum>
  <w:abstractNum w:abstractNumId="2">
    <w:nsid w:val="F897C931"/>
    <w:multiLevelType w:val="singleLevel"/>
    <w:tmpl w:val="F897C931"/>
    <w:lvl w:ilvl="0" w:tentative="0">
      <w:start w:val="3"/>
      <w:numFmt w:val="decimal"/>
      <w:suff w:val="space"/>
      <w:lvlText w:val="%1."/>
      <w:lvlJc w:val="left"/>
    </w:lvl>
  </w:abstractNum>
  <w:abstractNum w:abstractNumId="3">
    <w:nsid w:val="41296E8C"/>
    <w:multiLevelType w:val="singleLevel"/>
    <w:tmpl w:val="41296E8C"/>
    <w:lvl w:ilvl="0" w:tentative="0">
      <w:start w:val="2"/>
      <w:numFmt w:val="decimal"/>
      <w:suff w:val="space"/>
      <w:lvlText w:val="%1."/>
      <w:lvlJc w:val="left"/>
      <w:pPr>
        <w:ind w:left="640" w:leftChars="0" w:firstLine="0" w:firstLineChars="0"/>
      </w:pPr>
    </w:lvl>
  </w:abstractNum>
  <w:abstractNum w:abstractNumId="4">
    <w:nsid w:val="630EC705"/>
    <w:multiLevelType w:val="singleLevel"/>
    <w:tmpl w:val="630EC705"/>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UxOGYyOTQxNzI3MGFiYjJlOGMzMDY2YWFiOGZkNmYifQ=="/>
  </w:docVars>
  <w:rsids>
    <w:rsidRoot w:val="00B3774A"/>
    <w:rsid w:val="00001418"/>
    <w:rsid w:val="0000436E"/>
    <w:rsid w:val="000661FF"/>
    <w:rsid w:val="000707A9"/>
    <w:rsid w:val="000A4772"/>
    <w:rsid w:val="000A6B38"/>
    <w:rsid w:val="000C3433"/>
    <w:rsid w:val="000F7A83"/>
    <w:rsid w:val="00181D84"/>
    <w:rsid w:val="001D166D"/>
    <w:rsid w:val="00227802"/>
    <w:rsid w:val="002325CD"/>
    <w:rsid w:val="00250A07"/>
    <w:rsid w:val="00295818"/>
    <w:rsid w:val="002A7848"/>
    <w:rsid w:val="002C0EDD"/>
    <w:rsid w:val="003052DE"/>
    <w:rsid w:val="003615C1"/>
    <w:rsid w:val="003B78FA"/>
    <w:rsid w:val="004A05D3"/>
    <w:rsid w:val="004A220A"/>
    <w:rsid w:val="004F70A4"/>
    <w:rsid w:val="0051013D"/>
    <w:rsid w:val="005330D8"/>
    <w:rsid w:val="00561FBD"/>
    <w:rsid w:val="00595B55"/>
    <w:rsid w:val="005D7F12"/>
    <w:rsid w:val="006514CE"/>
    <w:rsid w:val="006E1D1C"/>
    <w:rsid w:val="00713D13"/>
    <w:rsid w:val="007204F7"/>
    <w:rsid w:val="007412F9"/>
    <w:rsid w:val="00755ABC"/>
    <w:rsid w:val="007B309B"/>
    <w:rsid w:val="007C71B1"/>
    <w:rsid w:val="007E52C9"/>
    <w:rsid w:val="007F6BF4"/>
    <w:rsid w:val="0084758D"/>
    <w:rsid w:val="00855800"/>
    <w:rsid w:val="00855FFF"/>
    <w:rsid w:val="008570CE"/>
    <w:rsid w:val="008872CA"/>
    <w:rsid w:val="008B221C"/>
    <w:rsid w:val="008B2982"/>
    <w:rsid w:val="008B6EF6"/>
    <w:rsid w:val="008F2DF1"/>
    <w:rsid w:val="0096440C"/>
    <w:rsid w:val="009E1219"/>
    <w:rsid w:val="00AC143D"/>
    <w:rsid w:val="00B11AA9"/>
    <w:rsid w:val="00B300A6"/>
    <w:rsid w:val="00B3062D"/>
    <w:rsid w:val="00B3774A"/>
    <w:rsid w:val="00B516C3"/>
    <w:rsid w:val="00B53640"/>
    <w:rsid w:val="00B6434E"/>
    <w:rsid w:val="00B81C92"/>
    <w:rsid w:val="00BC0D84"/>
    <w:rsid w:val="00BE2AC4"/>
    <w:rsid w:val="00C078BB"/>
    <w:rsid w:val="00C17443"/>
    <w:rsid w:val="00C330AE"/>
    <w:rsid w:val="00CE35E9"/>
    <w:rsid w:val="00CE7982"/>
    <w:rsid w:val="00CF1229"/>
    <w:rsid w:val="00D30BA9"/>
    <w:rsid w:val="00D5533D"/>
    <w:rsid w:val="00D72B8D"/>
    <w:rsid w:val="00DD5501"/>
    <w:rsid w:val="00DE22FB"/>
    <w:rsid w:val="00DE383F"/>
    <w:rsid w:val="00E073FF"/>
    <w:rsid w:val="00E22D16"/>
    <w:rsid w:val="00E56FE3"/>
    <w:rsid w:val="00E82920"/>
    <w:rsid w:val="00E97137"/>
    <w:rsid w:val="00F36874"/>
    <w:rsid w:val="00F57E37"/>
    <w:rsid w:val="00F75868"/>
    <w:rsid w:val="00F861A9"/>
    <w:rsid w:val="00FE6595"/>
    <w:rsid w:val="01145609"/>
    <w:rsid w:val="01EF4646"/>
    <w:rsid w:val="02225422"/>
    <w:rsid w:val="02292973"/>
    <w:rsid w:val="02671173"/>
    <w:rsid w:val="03224BC7"/>
    <w:rsid w:val="0377517C"/>
    <w:rsid w:val="039E66C2"/>
    <w:rsid w:val="03BF0945"/>
    <w:rsid w:val="03DD7665"/>
    <w:rsid w:val="03E040F7"/>
    <w:rsid w:val="04162614"/>
    <w:rsid w:val="042220D3"/>
    <w:rsid w:val="047F3494"/>
    <w:rsid w:val="049016E7"/>
    <w:rsid w:val="05161392"/>
    <w:rsid w:val="0579456A"/>
    <w:rsid w:val="079A613C"/>
    <w:rsid w:val="082B5A66"/>
    <w:rsid w:val="08511278"/>
    <w:rsid w:val="08722EE6"/>
    <w:rsid w:val="09526CCE"/>
    <w:rsid w:val="09B04AE8"/>
    <w:rsid w:val="0AB613B8"/>
    <w:rsid w:val="0AEC3920"/>
    <w:rsid w:val="0B3A74A5"/>
    <w:rsid w:val="0BA94BA0"/>
    <w:rsid w:val="0DA43772"/>
    <w:rsid w:val="0DF032D8"/>
    <w:rsid w:val="0E5A6942"/>
    <w:rsid w:val="0F103879"/>
    <w:rsid w:val="0F24110D"/>
    <w:rsid w:val="0FA07101"/>
    <w:rsid w:val="100C1D8B"/>
    <w:rsid w:val="1031499A"/>
    <w:rsid w:val="10B64FC9"/>
    <w:rsid w:val="11473B78"/>
    <w:rsid w:val="11620F62"/>
    <w:rsid w:val="11DF2D85"/>
    <w:rsid w:val="128D551F"/>
    <w:rsid w:val="12D22C2E"/>
    <w:rsid w:val="138F770D"/>
    <w:rsid w:val="13B91453"/>
    <w:rsid w:val="13C40DFD"/>
    <w:rsid w:val="143A2A66"/>
    <w:rsid w:val="146A0C46"/>
    <w:rsid w:val="14B32E78"/>
    <w:rsid w:val="14D059D2"/>
    <w:rsid w:val="15154751"/>
    <w:rsid w:val="151C0B13"/>
    <w:rsid w:val="15A925F6"/>
    <w:rsid w:val="15C545F8"/>
    <w:rsid w:val="15CC5FCE"/>
    <w:rsid w:val="16297009"/>
    <w:rsid w:val="16552E7B"/>
    <w:rsid w:val="165A77F7"/>
    <w:rsid w:val="173F30CE"/>
    <w:rsid w:val="17BE6082"/>
    <w:rsid w:val="18A13824"/>
    <w:rsid w:val="190A333F"/>
    <w:rsid w:val="1993771F"/>
    <w:rsid w:val="19E70D73"/>
    <w:rsid w:val="1AAA2B27"/>
    <w:rsid w:val="1B2F762D"/>
    <w:rsid w:val="1B6E43DA"/>
    <w:rsid w:val="1BDD0F99"/>
    <w:rsid w:val="1D920AD6"/>
    <w:rsid w:val="1D9F6DBE"/>
    <w:rsid w:val="1DB87EC1"/>
    <w:rsid w:val="1DD14978"/>
    <w:rsid w:val="1E1F35A0"/>
    <w:rsid w:val="1E4D3AAB"/>
    <w:rsid w:val="20120B0E"/>
    <w:rsid w:val="2025397E"/>
    <w:rsid w:val="21952629"/>
    <w:rsid w:val="22097921"/>
    <w:rsid w:val="220F6630"/>
    <w:rsid w:val="22330D71"/>
    <w:rsid w:val="228B3C0C"/>
    <w:rsid w:val="22F86B8B"/>
    <w:rsid w:val="24522F17"/>
    <w:rsid w:val="251B4D4C"/>
    <w:rsid w:val="252448AD"/>
    <w:rsid w:val="25306F53"/>
    <w:rsid w:val="261E13D4"/>
    <w:rsid w:val="26327342"/>
    <w:rsid w:val="26335C11"/>
    <w:rsid w:val="26811A8B"/>
    <w:rsid w:val="26F50496"/>
    <w:rsid w:val="272D37BF"/>
    <w:rsid w:val="275D6B33"/>
    <w:rsid w:val="27763A84"/>
    <w:rsid w:val="277B3E9F"/>
    <w:rsid w:val="27C616D6"/>
    <w:rsid w:val="28317DF3"/>
    <w:rsid w:val="29023E15"/>
    <w:rsid w:val="291E1746"/>
    <w:rsid w:val="294F6B0F"/>
    <w:rsid w:val="295E5D81"/>
    <w:rsid w:val="29EE3011"/>
    <w:rsid w:val="2A0D3B4F"/>
    <w:rsid w:val="2A2E0F28"/>
    <w:rsid w:val="2B3820D6"/>
    <w:rsid w:val="2B46451B"/>
    <w:rsid w:val="2C50007A"/>
    <w:rsid w:val="2C804AD2"/>
    <w:rsid w:val="2CD86C3B"/>
    <w:rsid w:val="2CF34686"/>
    <w:rsid w:val="2DC55411"/>
    <w:rsid w:val="2DE1269A"/>
    <w:rsid w:val="2F8D4699"/>
    <w:rsid w:val="30D42A8D"/>
    <w:rsid w:val="31180CDD"/>
    <w:rsid w:val="311D4125"/>
    <w:rsid w:val="32126FFE"/>
    <w:rsid w:val="334B6CC7"/>
    <w:rsid w:val="33602981"/>
    <w:rsid w:val="34577550"/>
    <w:rsid w:val="35625AE9"/>
    <w:rsid w:val="35753A2A"/>
    <w:rsid w:val="35887450"/>
    <w:rsid w:val="363037C3"/>
    <w:rsid w:val="368F2A60"/>
    <w:rsid w:val="36A66384"/>
    <w:rsid w:val="36ED0BCC"/>
    <w:rsid w:val="385012BA"/>
    <w:rsid w:val="387826F2"/>
    <w:rsid w:val="393F04CE"/>
    <w:rsid w:val="39577F9F"/>
    <w:rsid w:val="396C5791"/>
    <w:rsid w:val="39F33306"/>
    <w:rsid w:val="3A105410"/>
    <w:rsid w:val="3A492F2A"/>
    <w:rsid w:val="3A5A1DF2"/>
    <w:rsid w:val="3B3D0BED"/>
    <w:rsid w:val="3B4B6D4E"/>
    <w:rsid w:val="3C7F042D"/>
    <w:rsid w:val="3D2115DD"/>
    <w:rsid w:val="3D8D4F32"/>
    <w:rsid w:val="3D916B0D"/>
    <w:rsid w:val="3DC345ED"/>
    <w:rsid w:val="3DD21362"/>
    <w:rsid w:val="3DE444CE"/>
    <w:rsid w:val="3E605BE9"/>
    <w:rsid w:val="3E7808FE"/>
    <w:rsid w:val="3E847217"/>
    <w:rsid w:val="3EE45DEB"/>
    <w:rsid w:val="3EFC0362"/>
    <w:rsid w:val="3F251880"/>
    <w:rsid w:val="3F5220D9"/>
    <w:rsid w:val="3F900825"/>
    <w:rsid w:val="400E2745"/>
    <w:rsid w:val="40323B0C"/>
    <w:rsid w:val="404C4E8B"/>
    <w:rsid w:val="40575ABB"/>
    <w:rsid w:val="42786711"/>
    <w:rsid w:val="429762BD"/>
    <w:rsid w:val="430728B7"/>
    <w:rsid w:val="43164202"/>
    <w:rsid w:val="431C5AFA"/>
    <w:rsid w:val="43AF555F"/>
    <w:rsid w:val="43BB6C43"/>
    <w:rsid w:val="44F05012"/>
    <w:rsid w:val="457558D6"/>
    <w:rsid w:val="458F5ABD"/>
    <w:rsid w:val="46A161E6"/>
    <w:rsid w:val="46CD56FC"/>
    <w:rsid w:val="46F55536"/>
    <w:rsid w:val="47D6143B"/>
    <w:rsid w:val="482253E2"/>
    <w:rsid w:val="4823503C"/>
    <w:rsid w:val="4832354D"/>
    <w:rsid w:val="4848216D"/>
    <w:rsid w:val="48524D29"/>
    <w:rsid w:val="49D31F09"/>
    <w:rsid w:val="49F83A1F"/>
    <w:rsid w:val="4A506004"/>
    <w:rsid w:val="4A6A0322"/>
    <w:rsid w:val="4A9236CC"/>
    <w:rsid w:val="4B2E1530"/>
    <w:rsid w:val="4B4E2A92"/>
    <w:rsid w:val="4B8E3D0A"/>
    <w:rsid w:val="4BA4613C"/>
    <w:rsid w:val="4D3F70B5"/>
    <w:rsid w:val="4D5B6E7D"/>
    <w:rsid w:val="4D877695"/>
    <w:rsid w:val="4DAE49FC"/>
    <w:rsid w:val="4E095755"/>
    <w:rsid w:val="4E5B611C"/>
    <w:rsid w:val="4F645AA2"/>
    <w:rsid w:val="4FB25A45"/>
    <w:rsid w:val="4FCA73EE"/>
    <w:rsid w:val="501A57C8"/>
    <w:rsid w:val="503E4B2F"/>
    <w:rsid w:val="506041FC"/>
    <w:rsid w:val="50F11854"/>
    <w:rsid w:val="516A0C6C"/>
    <w:rsid w:val="519523AE"/>
    <w:rsid w:val="521A1920"/>
    <w:rsid w:val="525F746A"/>
    <w:rsid w:val="526A1DFC"/>
    <w:rsid w:val="52787ADD"/>
    <w:rsid w:val="52B474C5"/>
    <w:rsid w:val="52F931E0"/>
    <w:rsid w:val="531620E8"/>
    <w:rsid w:val="533709E3"/>
    <w:rsid w:val="534B2E1F"/>
    <w:rsid w:val="53A660E7"/>
    <w:rsid w:val="53AB00A2"/>
    <w:rsid w:val="541143F3"/>
    <w:rsid w:val="5417709A"/>
    <w:rsid w:val="544056E1"/>
    <w:rsid w:val="546948BA"/>
    <w:rsid w:val="549F59E8"/>
    <w:rsid w:val="54B65769"/>
    <w:rsid w:val="54C32090"/>
    <w:rsid w:val="555A26FB"/>
    <w:rsid w:val="560E5955"/>
    <w:rsid w:val="562433E1"/>
    <w:rsid w:val="56EF2E4E"/>
    <w:rsid w:val="57D1740A"/>
    <w:rsid w:val="57D77069"/>
    <w:rsid w:val="588328B7"/>
    <w:rsid w:val="58993C19"/>
    <w:rsid w:val="58E97418"/>
    <w:rsid w:val="58EA7E57"/>
    <w:rsid w:val="596E50AC"/>
    <w:rsid w:val="59E95EF8"/>
    <w:rsid w:val="59FB437D"/>
    <w:rsid w:val="5A3F4156"/>
    <w:rsid w:val="5A4437B1"/>
    <w:rsid w:val="5AC62187"/>
    <w:rsid w:val="5B562512"/>
    <w:rsid w:val="5B6F1959"/>
    <w:rsid w:val="5BAC7CE3"/>
    <w:rsid w:val="5CA6429C"/>
    <w:rsid w:val="5D0935F9"/>
    <w:rsid w:val="5E5F251B"/>
    <w:rsid w:val="5E8B64EA"/>
    <w:rsid w:val="5F4B42D5"/>
    <w:rsid w:val="5FDC71A3"/>
    <w:rsid w:val="601B38F1"/>
    <w:rsid w:val="606577BE"/>
    <w:rsid w:val="61006BB0"/>
    <w:rsid w:val="6143200A"/>
    <w:rsid w:val="626A7C77"/>
    <w:rsid w:val="62775D60"/>
    <w:rsid w:val="62C845E0"/>
    <w:rsid w:val="62E41AE0"/>
    <w:rsid w:val="63B52D91"/>
    <w:rsid w:val="63CD5870"/>
    <w:rsid w:val="64342886"/>
    <w:rsid w:val="64A01E15"/>
    <w:rsid w:val="65CD3926"/>
    <w:rsid w:val="67131AC0"/>
    <w:rsid w:val="67236729"/>
    <w:rsid w:val="67346975"/>
    <w:rsid w:val="673668E2"/>
    <w:rsid w:val="67B519A4"/>
    <w:rsid w:val="684B69D2"/>
    <w:rsid w:val="695D226B"/>
    <w:rsid w:val="69961483"/>
    <w:rsid w:val="6A59107F"/>
    <w:rsid w:val="6A7F636D"/>
    <w:rsid w:val="6B0D1BCA"/>
    <w:rsid w:val="6BE50451"/>
    <w:rsid w:val="6BF871BA"/>
    <w:rsid w:val="6C3041A9"/>
    <w:rsid w:val="6C5E72EA"/>
    <w:rsid w:val="6C6B4B95"/>
    <w:rsid w:val="6D0B1891"/>
    <w:rsid w:val="6D305C89"/>
    <w:rsid w:val="6DBC0BA1"/>
    <w:rsid w:val="6DCA3F75"/>
    <w:rsid w:val="6E1F02EB"/>
    <w:rsid w:val="6EFA2466"/>
    <w:rsid w:val="6F5A2F04"/>
    <w:rsid w:val="70592489"/>
    <w:rsid w:val="706F26C2"/>
    <w:rsid w:val="71784869"/>
    <w:rsid w:val="724C6125"/>
    <w:rsid w:val="727B0EC5"/>
    <w:rsid w:val="728D5CE6"/>
    <w:rsid w:val="730E39D4"/>
    <w:rsid w:val="739E33F8"/>
    <w:rsid w:val="7475088E"/>
    <w:rsid w:val="749A0604"/>
    <w:rsid w:val="74C068D5"/>
    <w:rsid w:val="74E62003"/>
    <w:rsid w:val="75910497"/>
    <w:rsid w:val="7596618A"/>
    <w:rsid w:val="75AE68A7"/>
    <w:rsid w:val="75BD76EA"/>
    <w:rsid w:val="75F61D2B"/>
    <w:rsid w:val="76642118"/>
    <w:rsid w:val="769E257A"/>
    <w:rsid w:val="77642563"/>
    <w:rsid w:val="776F6849"/>
    <w:rsid w:val="77EF4B32"/>
    <w:rsid w:val="790B12E7"/>
    <w:rsid w:val="7A8F4065"/>
    <w:rsid w:val="7AED704C"/>
    <w:rsid w:val="7B364098"/>
    <w:rsid w:val="7BB241CD"/>
    <w:rsid w:val="7C735606"/>
    <w:rsid w:val="7C8F00D9"/>
    <w:rsid w:val="7CEB496F"/>
    <w:rsid w:val="7D274367"/>
    <w:rsid w:val="7D5E7BEC"/>
    <w:rsid w:val="7D8A5269"/>
    <w:rsid w:val="7D991F9B"/>
    <w:rsid w:val="7E933067"/>
    <w:rsid w:val="7F364DF4"/>
    <w:rsid w:val="7FA1640C"/>
    <w:rsid w:val="7FA7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ind w:firstLine="200" w:firstLineChars="200"/>
      <w:jc w:val="left"/>
      <w:outlineLvl w:val="0"/>
    </w:pPr>
    <w:rPr>
      <w:rFonts w:ascii="宋体" w:hAnsi="宋体" w:eastAsia="仿宋_GB2312" w:cs="宋体"/>
      <w:bCs/>
      <w:kern w:val="36"/>
      <w:sz w:val="32"/>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qFormat/>
    <w:uiPriority w:val="99"/>
    <w:pPr>
      <w:widowControl w:val="0"/>
      <w:spacing w:line="360" w:lineRule="auto"/>
      <w:jc w:val="left"/>
    </w:pPr>
    <w:rPr>
      <w:rFonts w:ascii="Calibri" w:hAnsi="Calibri" w:eastAsia="宋体" w:cs="Times New Roman"/>
      <w:kern w:val="2"/>
      <w:sz w:val="28"/>
      <w:szCs w:val="28"/>
      <w:lang w:val="en-US" w:eastAsia="zh-CN" w:bidi="ar-SA"/>
    </w:rPr>
  </w:style>
  <w:style w:type="paragraph" w:styleId="4">
    <w:name w:val="Document Map"/>
    <w:basedOn w:val="1"/>
    <w:semiHidden/>
    <w:qFormat/>
    <w:uiPriority w:val="0"/>
    <w:pPr>
      <w:shd w:val="clear" w:color="auto" w:fill="000080"/>
    </w:pPr>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rPr>
      <w:rFonts w:ascii="方正仿宋简体" w:eastAsia="方正仿宋简体" w:cs="方正仿宋简体"/>
    </w:rPr>
  </w:style>
  <w:style w:type="paragraph" w:styleId="8">
    <w:name w:val="Normal (Web)"/>
    <w:basedOn w:val="1"/>
    <w:qFormat/>
    <w:uiPriority w:val="0"/>
    <w:pPr>
      <w:jc w:val="left"/>
    </w:pPr>
    <w:rPr>
      <w:rFonts w:ascii="微软雅黑" w:hAnsi="微软雅黑" w:eastAsia="微软雅黑"/>
      <w:color w:val="2979C3"/>
      <w:kern w:val="0"/>
      <w:szCs w:val="21"/>
      <w:u w:val="single"/>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hint="eastAsia" w:ascii="微软雅黑" w:hAnsi="微软雅黑" w:eastAsia="微软雅黑" w:cs="微软雅黑"/>
      <w:color w:val="333333"/>
      <w:sz w:val="21"/>
      <w:szCs w:val="21"/>
    </w:rPr>
  </w:style>
  <w:style w:type="character" w:styleId="19">
    <w:name w:val="HTML Cite"/>
    <w:basedOn w:val="10"/>
    <w:qFormat/>
    <w:uiPriority w:val="0"/>
  </w:style>
  <w:style w:type="character" w:styleId="20">
    <w:name w:val="HTML Keyboard"/>
    <w:basedOn w:val="10"/>
    <w:qFormat/>
    <w:uiPriority w:val="0"/>
    <w:rPr>
      <w:rFonts w:ascii="Courier New" w:hAnsi="Courier New"/>
      <w:sz w:val="20"/>
    </w:rPr>
  </w:style>
  <w:style w:type="character" w:styleId="21">
    <w:name w:val="HTML Sample"/>
    <w:basedOn w:val="10"/>
    <w:qFormat/>
    <w:uiPriority w:val="0"/>
    <w:rPr>
      <w:rFonts w:ascii="Courier New" w:hAnsi="Courier New"/>
    </w:rPr>
  </w:style>
  <w:style w:type="paragraph" w:customStyle="1" w:styleId="22">
    <w:name w:val="BodyText1I2"/>
    <w:basedOn w:val="23"/>
    <w:qFormat/>
    <w:uiPriority w:val="0"/>
    <w:pPr>
      <w:snapToGrid w:val="0"/>
      <w:spacing w:after="0" w:line="660" w:lineRule="exact"/>
      <w:ind w:left="0" w:leftChars="0" w:firstLine="420" w:firstLineChars="200"/>
    </w:pPr>
    <w:rPr>
      <w:rFonts w:ascii="仿宋_GB2312"/>
      <w:kern w:val="0"/>
    </w:rPr>
  </w:style>
  <w:style w:type="paragraph" w:customStyle="1" w:styleId="23">
    <w:name w:val="BodyTextIndent"/>
    <w:basedOn w:val="1"/>
    <w:qFormat/>
    <w:uiPriority w:val="0"/>
    <w:pPr>
      <w:spacing w:after="120"/>
      <w:ind w:left="420" w:leftChars="200"/>
      <w:textAlignment w:val="baseline"/>
    </w:pPr>
  </w:style>
  <w:style w:type="character" w:customStyle="1" w:styleId="24">
    <w:name w:val="con-all2"/>
    <w:basedOn w:val="10"/>
    <w:qFormat/>
    <w:uiPriority w:val="0"/>
  </w:style>
  <w:style w:type="character" w:customStyle="1" w:styleId="25">
    <w:name w:val="页眉 Char"/>
    <w:basedOn w:val="10"/>
    <w:link w:val="6"/>
    <w:qFormat/>
    <w:uiPriority w:val="0"/>
    <w:rPr>
      <w:kern w:val="2"/>
      <w:sz w:val="18"/>
      <w:szCs w:val="18"/>
    </w:rPr>
  </w:style>
  <w:style w:type="character" w:customStyle="1" w:styleId="26">
    <w:name w:val="页脚 Char"/>
    <w:basedOn w:val="10"/>
    <w:link w:val="5"/>
    <w:qFormat/>
    <w:uiPriority w:val="0"/>
    <w:rPr>
      <w:kern w:val="2"/>
      <w:sz w:val="18"/>
      <w:szCs w:val="18"/>
    </w:rPr>
  </w:style>
  <w:style w:type="character" w:customStyle="1" w:styleId="27">
    <w:name w:val="hj-easyread-speakerprocesser-position-action-icon"/>
    <w:basedOn w:val="10"/>
    <w:qFormat/>
    <w:uiPriority w:val="0"/>
  </w:style>
  <w:style w:type="character" w:customStyle="1" w:styleId="28">
    <w:name w:val="disabled"/>
    <w:basedOn w:val="10"/>
    <w:qFormat/>
    <w:uiPriority w:val="0"/>
    <w:rPr>
      <w:color w:val="999999"/>
      <w:bdr w:val="single" w:color="C5C5C5" w:sz="6" w:space="0"/>
    </w:rPr>
  </w:style>
  <w:style w:type="character" w:customStyle="1" w:styleId="29">
    <w:name w:val="current"/>
    <w:basedOn w:val="10"/>
    <w:qFormat/>
    <w:uiPriority w:val="0"/>
    <w:rPr>
      <w:b/>
      <w:color w:val="FFFFFF"/>
      <w:bdr w:val="single" w:color="1E72B4" w:sz="6" w:space="0"/>
      <w:shd w:val="clear" w:color="auto" w:fill="1E72B4"/>
    </w:rPr>
  </w:style>
  <w:style w:type="character" w:customStyle="1" w:styleId="30">
    <w:name w:val="font"/>
    <w:basedOn w:val="10"/>
    <w:qFormat/>
    <w:uiPriority w:val="0"/>
  </w:style>
  <w:style w:type="character" w:customStyle="1" w:styleId="31">
    <w:name w:val="font1"/>
    <w:basedOn w:val="10"/>
    <w:qFormat/>
    <w:uiPriority w:val="0"/>
  </w:style>
  <w:style w:type="paragraph" w:customStyle="1" w:styleId="32">
    <w:name w:val="p0"/>
    <w:basedOn w:val="1"/>
    <w:qFormat/>
    <w:uiPriority w:val="0"/>
    <w:pPr>
      <w:widowControl/>
    </w:pPr>
    <w:rPr>
      <w:rFonts w:cs="宋体"/>
      <w:kern w:val="0"/>
      <w:szCs w:val="21"/>
    </w:rPr>
  </w:style>
  <w:style w:type="character" w:customStyle="1" w:styleId="33">
    <w:name w:val="NormalCharacter"/>
    <w:semiHidden/>
    <w:qFormat/>
    <w:uiPriority w:val="99"/>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D9F1F-706F-449C-ABFF-9276B5792B2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5486</Words>
  <Characters>5721</Characters>
  <Lines>36</Lines>
  <Paragraphs>10</Paragraphs>
  <TotalTime>1</TotalTime>
  <ScaleCrop>false</ScaleCrop>
  <LinksUpToDate>false</LinksUpToDate>
  <CharactersWithSpaces>5726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2020-04-09T01:51:00Z</dcterms:created>
  <dc:creator>nn</dc:creator>
  <cp:lastModifiedBy>龚芬</cp:lastModifiedBy>
  <cp:lastPrinted>2021-04-25T00:18:00Z</cp:lastPrinted>
  <dcterms:modified xsi:type="dcterms:W3CDTF">2024-05-30T08:17:51Z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3356DBE62CCA4529AA614B2FE15BEBDC</vt:lpwstr>
  </property>
</Properties>
</file>