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eastAsia="方正小标宋简体"/>
          <w:kern w:val="0"/>
          <w:sz w:val="44"/>
          <w:szCs w:val="44"/>
        </w:rPr>
      </w:pPr>
      <w:r>
        <w:rPr>
          <w:rFonts w:eastAsia="方正小标宋简体"/>
          <w:kern w:val="0"/>
          <w:sz w:val="44"/>
          <w:szCs w:val="44"/>
        </w:rPr>
        <w:t>2023年度部门整体支出绩效报告</w:t>
      </w:r>
    </w:p>
    <w:p>
      <w:pPr>
        <w:spacing w:line="594" w:lineRule="exact"/>
        <w:jc w:val="left"/>
        <w:rPr>
          <w:kern w:val="0"/>
          <w:szCs w:val="32"/>
          <w:highlight w:val="none"/>
        </w:rPr>
      </w:pPr>
      <w:r>
        <w:rPr>
          <w:kern w:val="0"/>
          <w:szCs w:val="32"/>
        </w:rPr>
        <w:t xml:space="preserve"> </w:t>
      </w:r>
      <w:r>
        <w:rPr>
          <w:kern w:val="0"/>
          <w:szCs w:val="32"/>
          <w:highlight w:val="none"/>
        </w:rPr>
        <w:t xml:space="preserve">  </w:t>
      </w:r>
    </w:p>
    <w:p>
      <w:pPr>
        <w:spacing w:line="594" w:lineRule="exact"/>
        <w:ind w:firstLine="640" w:firstLineChars="200"/>
        <w:rPr>
          <w:rFonts w:eastAsia="黑体"/>
          <w:kern w:val="0"/>
          <w:szCs w:val="32"/>
          <w:highlight w:val="none"/>
        </w:rPr>
      </w:pPr>
      <w:r>
        <w:rPr>
          <w:rFonts w:eastAsia="黑体"/>
          <w:bCs/>
          <w:kern w:val="0"/>
          <w:szCs w:val="32"/>
          <w:highlight w:val="none"/>
        </w:rPr>
        <w:t xml:space="preserve"> 一、部门概况</w:t>
      </w:r>
    </w:p>
    <w:p>
      <w:pPr>
        <w:spacing w:line="594" w:lineRule="exact"/>
        <w:ind w:firstLine="640" w:firstLineChars="200"/>
        <w:rPr>
          <w:kern w:val="0"/>
          <w:szCs w:val="32"/>
          <w:highlight w:val="none"/>
        </w:rPr>
      </w:pPr>
      <w:r>
        <w:rPr>
          <w:kern w:val="0"/>
          <w:szCs w:val="32"/>
          <w:highlight w:val="none"/>
        </w:rPr>
        <w:t>（一）部门基本情况（包括部门的在职人员情况、机构设置、主要职能及重点工作计划等）。</w:t>
      </w:r>
    </w:p>
    <w:p>
      <w:pPr>
        <w:spacing w:line="594" w:lineRule="exact"/>
        <w:ind w:firstLine="640" w:firstLineChars="200"/>
        <w:rPr>
          <w:rFonts w:hint="default"/>
          <w:kern w:val="0"/>
          <w:szCs w:val="32"/>
          <w:highlight w:val="none"/>
          <w:lang w:val="en-US"/>
        </w:rPr>
      </w:pPr>
      <w:r>
        <w:rPr>
          <w:rFonts w:hint="eastAsia"/>
          <w:kern w:val="0"/>
          <w:szCs w:val="32"/>
          <w:highlight w:val="none"/>
        </w:rPr>
        <w:t>202</w:t>
      </w:r>
      <w:r>
        <w:rPr>
          <w:rFonts w:hint="eastAsia"/>
          <w:kern w:val="0"/>
          <w:szCs w:val="32"/>
          <w:highlight w:val="none"/>
          <w:lang w:val="en-US" w:eastAsia="zh-CN"/>
        </w:rPr>
        <w:t>3</w:t>
      </w:r>
      <w:r>
        <w:rPr>
          <w:rFonts w:hint="eastAsia"/>
          <w:kern w:val="0"/>
          <w:szCs w:val="32"/>
          <w:highlight w:val="none"/>
        </w:rPr>
        <w:t>年</w:t>
      </w:r>
      <w:r>
        <w:rPr>
          <w:rFonts w:hint="eastAsia"/>
          <w:kern w:val="0"/>
          <w:szCs w:val="32"/>
          <w:highlight w:val="none"/>
          <w:lang w:eastAsia="zh-CN"/>
        </w:rPr>
        <w:t>桃花江</w:t>
      </w:r>
      <w:r>
        <w:rPr>
          <w:rFonts w:hint="eastAsia"/>
          <w:kern w:val="0"/>
          <w:szCs w:val="32"/>
          <w:highlight w:val="none"/>
        </w:rPr>
        <w:t>镇人民政府编制人数</w:t>
      </w:r>
      <w:r>
        <w:rPr>
          <w:rFonts w:hint="eastAsia"/>
          <w:kern w:val="0"/>
          <w:szCs w:val="32"/>
          <w:highlight w:val="none"/>
          <w:lang w:val="en-US" w:eastAsia="zh-CN"/>
        </w:rPr>
        <w:t>199</w:t>
      </w:r>
      <w:r>
        <w:rPr>
          <w:rFonts w:hint="eastAsia"/>
          <w:kern w:val="0"/>
          <w:szCs w:val="32"/>
          <w:highlight w:val="none"/>
        </w:rPr>
        <w:t>人</w:t>
      </w:r>
      <w:r>
        <w:rPr>
          <w:rFonts w:hint="eastAsia"/>
          <w:kern w:val="0"/>
          <w:szCs w:val="32"/>
          <w:highlight w:val="none"/>
          <w:lang w:eastAsia="zh-CN"/>
        </w:rPr>
        <w:t>，</w:t>
      </w:r>
      <w:r>
        <w:rPr>
          <w:rFonts w:hint="eastAsia"/>
          <w:kern w:val="0"/>
          <w:szCs w:val="32"/>
          <w:highlight w:val="none"/>
        </w:rPr>
        <w:t>其中行政编制84人、全额事业编制</w:t>
      </w:r>
      <w:r>
        <w:rPr>
          <w:rFonts w:hint="eastAsia"/>
          <w:kern w:val="0"/>
          <w:szCs w:val="32"/>
          <w:highlight w:val="none"/>
          <w:lang w:val="en-US" w:eastAsia="zh-CN"/>
        </w:rPr>
        <w:t>115</w:t>
      </w:r>
      <w:r>
        <w:rPr>
          <w:rFonts w:hint="eastAsia"/>
          <w:kern w:val="0"/>
          <w:szCs w:val="32"/>
          <w:highlight w:val="none"/>
        </w:rPr>
        <w:t>人</w:t>
      </w:r>
      <w:r>
        <w:rPr>
          <w:rFonts w:hint="eastAsia"/>
          <w:kern w:val="0"/>
          <w:szCs w:val="32"/>
          <w:highlight w:val="none"/>
          <w:lang w:eastAsia="zh-CN"/>
        </w:rPr>
        <w:t>，年底实有人数</w:t>
      </w:r>
      <w:r>
        <w:rPr>
          <w:rFonts w:hint="eastAsia"/>
          <w:kern w:val="0"/>
          <w:szCs w:val="32"/>
          <w:highlight w:val="none"/>
          <w:lang w:val="en-US" w:eastAsia="zh-CN"/>
        </w:rPr>
        <w:t>336人（含退休人员），其中一般公共预算财政拨款开支人数199人，一般公共预算财政补助开支人数137人。</w:t>
      </w:r>
    </w:p>
    <w:p>
      <w:pPr>
        <w:snapToGrid w:val="0"/>
        <w:spacing w:line="520" w:lineRule="exact"/>
        <w:ind w:firstLine="640" w:firstLineChars="200"/>
        <w:rPr>
          <w:rFonts w:hint="eastAsia"/>
          <w:kern w:val="0"/>
          <w:szCs w:val="32"/>
          <w:highlight w:val="none"/>
        </w:rPr>
      </w:pPr>
      <w:r>
        <w:rPr>
          <w:rFonts w:hint="eastAsia"/>
          <w:kern w:val="0"/>
          <w:szCs w:val="32"/>
          <w:highlight w:val="none"/>
          <w:lang w:eastAsia="zh-CN"/>
        </w:rPr>
        <w:t>桃花江</w:t>
      </w:r>
      <w:r>
        <w:rPr>
          <w:rFonts w:hint="eastAsia"/>
          <w:kern w:val="0"/>
          <w:szCs w:val="32"/>
          <w:highlight w:val="none"/>
        </w:rPr>
        <w:t>镇政府</w:t>
      </w:r>
      <w:r>
        <w:rPr>
          <w:rFonts w:hint="eastAsia" w:ascii="仿宋_GB2312" w:hAnsi="仿宋" w:eastAsia="仿宋_GB2312"/>
          <w:sz w:val="32"/>
          <w:szCs w:val="32"/>
          <w:highlight w:val="none"/>
        </w:rPr>
        <w:t>内设股室15个，分别为镇纪委、党政办公室、党建办公室、经济发展办公室、社会事务办公室、自然资源和生态环境办公室、社会治安办公室、应急管理办公室、财政所、综合行政执法大队、社会事务综合服务中心、农业综合服务中心、党群和政务服务中心、退役军人服务站以及创建办公室。</w:t>
      </w:r>
    </w:p>
    <w:p>
      <w:pPr>
        <w:spacing w:line="594" w:lineRule="exact"/>
        <w:ind w:firstLine="640" w:firstLineChars="200"/>
        <w:rPr>
          <w:rFonts w:hint="eastAsia"/>
          <w:kern w:val="0"/>
          <w:szCs w:val="32"/>
          <w:highlight w:val="none"/>
        </w:rPr>
      </w:pPr>
      <w:r>
        <w:rPr>
          <w:rFonts w:hint="eastAsia"/>
          <w:kern w:val="0"/>
          <w:szCs w:val="32"/>
          <w:highlight w:val="none"/>
        </w:rPr>
        <w:t>主要职能是贯彻落实国家政策，严格依法行政；实施社会公共管理，提供社会公共服务；发展镇村经济、文化和社会事业；维护社会秩序，确保社会稳定；按计划组织本镇财政收入和税收收入的征收，完成国家财政计划；制定并部署重点工程建设等。</w:t>
      </w:r>
    </w:p>
    <w:p>
      <w:pPr>
        <w:spacing w:line="594" w:lineRule="exact"/>
        <w:ind w:firstLine="640" w:firstLineChars="200"/>
        <w:rPr>
          <w:color w:val="FF0000"/>
          <w:kern w:val="0"/>
          <w:szCs w:val="32"/>
          <w:highlight w:val="none"/>
        </w:rPr>
      </w:pPr>
      <w:r>
        <w:rPr>
          <w:rFonts w:hint="eastAsia"/>
          <w:kern w:val="0"/>
          <w:szCs w:val="32"/>
          <w:highlight w:val="none"/>
        </w:rPr>
        <w:t>202</w:t>
      </w:r>
      <w:r>
        <w:rPr>
          <w:rFonts w:hint="eastAsia"/>
          <w:kern w:val="0"/>
          <w:szCs w:val="32"/>
          <w:highlight w:val="none"/>
          <w:lang w:val="en-US" w:eastAsia="zh-CN"/>
        </w:rPr>
        <w:t>3</w:t>
      </w:r>
      <w:r>
        <w:rPr>
          <w:rFonts w:hint="eastAsia"/>
          <w:kern w:val="0"/>
          <w:szCs w:val="32"/>
          <w:highlight w:val="none"/>
        </w:rPr>
        <w:t>年重点工作计划：完成县下达的农村公路硬化；完成公益林管</w:t>
      </w:r>
      <w:r>
        <w:rPr>
          <w:rFonts w:hint="eastAsia"/>
          <w:color w:val="auto"/>
          <w:kern w:val="0"/>
          <w:szCs w:val="32"/>
          <w:highlight w:val="none"/>
        </w:rPr>
        <w:t>护项目；</w:t>
      </w:r>
      <w:r>
        <w:rPr>
          <w:rFonts w:hint="eastAsia"/>
          <w:color w:val="auto"/>
          <w:kern w:val="0"/>
          <w:szCs w:val="32"/>
          <w:highlight w:val="none"/>
          <w:lang w:eastAsia="zh-CN"/>
        </w:rPr>
        <w:t>桃花江流域治理</w:t>
      </w:r>
      <w:r>
        <w:rPr>
          <w:rFonts w:hint="eastAsia"/>
          <w:color w:val="auto"/>
          <w:kern w:val="0"/>
          <w:szCs w:val="32"/>
          <w:highlight w:val="none"/>
        </w:rPr>
        <w:t>项目、山塘修复河道疏浚项目等。</w:t>
      </w:r>
    </w:p>
    <w:p>
      <w:pPr>
        <w:spacing w:line="594" w:lineRule="exact"/>
        <w:ind w:firstLine="640" w:firstLineChars="200"/>
        <w:rPr>
          <w:kern w:val="0"/>
          <w:szCs w:val="32"/>
          <w:highlight w:val="none"/>
        </w:rPr>
      </w:pPr>
      <w:r>
        <w:rPr>
          <w:kern w:val="0"/>
          <w:szCs w:val="32"/>
          <w:highlight w:val="none"/>
        </w:rPr>
        <w:t>（二）部门整体支出规模、使用方向和主要内容、涉及范围等。</w:t>
      </w:r>
    </w:p>
    <w:p>
      <w:pPr>
        <w:spacing w:line="594" w:lineRule="exact"/>
        <w:ind w:firstLine="640" w:firstLineChars="200"/>
        <w:rPr>
          <w:rFonts w:hint="eastAsia"/>
          <w:color w:val="000000"/>
          <w:kern w:val="0"/>
          <w:szCs w:val="32"/>
          <w:highlight w:val="none"/>
        </w:rPr>
      </w:pPr>
      <w:r>
        <w:rPr>
          <w:rFonts w:hint="eastAsia"/>
          <w:color w:val="000000"/>
          <w:kern w:val="0"/>
          <w:szCs w:val="32"/>
          <w:highlight w:val="none"/>
        </w:rPr>
        <w:t>全年预算完成财政收入</w:t>
      </w:r>
      <w:r>
        <w:rPr>
          <w:rFonts w:hint="eastAsia" w:ascii="仿宋_GB2312" w:hAnsi="仿宋" w:eastAsia="仿宋_GB2312"/>
          <w:sz w:val="32"/>
          <w:szCs w:val="32"/>
          <w:highlight w:val="none"/>
          <w:lang w:val="en-US" w:eastAsia="zh-CN"/>
        </w:rPr>
        <w:t>6317.93</w:t>
      </w:r>
      <w:r>
        <w:rPr>
          <w:rFonts w:hint="eastAsia"/>
          <w:color w:val="000000"/>
          <w:kern w:val="0"/>
          <w:szCs w:val="32"/>
          <w:highlight w:val="none"/>
        </w:rPr>
        <w:t>万元；其中：基本支出</w:t>
      </w:r>
      <w:r>
        <w:rPr>
          <w:rFonts w:hint="eastAsia" w:ascii="仿宋_GB2312" w:hAnsi="仿宋" w:eastAsia="仿宋_GB2312"/>
          <w:sz w:val="32"/>
          <w:szCs w:val="32"/>
          <w:highlight w:val="none"/>
          <w:lang w:val="en-US" w:eastAsia="zh-CN"/>
        </w:rPr>
        <w:t>5368.76</w:t>
      </w:r>
      <w:r>
        <w:rPr>
          <w:rFonts w:hint="eastAsia"/>
          <w:color w:val="000000"/>
          <w:kern w:val="0"/>
          <w:szCs w:val="32"/>
          <w:highlight w:val="none"/>
        </w:rPr>
        <w:t>万元，项目支出</w:t>
      </w:r>
      <w:r>
        <w:rPr>
          <w:rFonts w:hint="eastAsia" w:ascii="仿宋_GB2312" w:hAnsi="仿宋" w:eastAsia="仿宋_GB2312"/>
          <w:sz w:val="32"/>
          <w:szCs w:val="32"/>
          <w:highlight w:val="none"/>
          <w:lang w:val="en-US" w:eastAsia="zh-CN"/>
        </w:rPr>
        <w:t>949.17</w:t>
      </w:r>
      <w:r>
        <w:rPr>
          <w:rFonts w:hint="eastAsia"/>
          <w:color w:val="000000"/>
          <w:kern w:val="0"/>
          <w:szCs w:val="32"/>
          <w:highlight w:val="none"/>
        </w:rPr>
        <w:t>万元，当年可用财力</w:t>
      </w:r>
      <w:r>
        <w:rPr>
          <w:rFonts w:hint="eastAsia" w:ascii="仿宋_GB2312" w:hAnsi="仿宋" w:eastAsia="仿宋_GB2312"/>
          <w:sz w:val="32"/>
          <w:szCs w:val="32"/>
          <w:highlight w:val="none"/>
          <w:lang w:val="en-US" w:eastAsia="zh-CN"/>
        </w:rPr>
        <w:t>6317.93</w:t>
      </w:r>
      <w:r>
        <w:rPr>
          <w:rFonts w:hint="eastAsia"/>
          <w:color w:val="000000"/>
          <w:kern w:val="0"/>
          <w:szCs w:val="32"/>
          <w:highlight w:val="none"/>
        </w:rPr>
        <w:t>万元。</w:t>
      </w:r>
    </w:p>
    <w:p>
      <w:pPr>
        <w:spacing w:line="594" w:lineRule="exact"/>
        <w:ind w:firstLine="640" w:firstLineChars="200"/>
        <w:rPr>
          <w:color w:val="000000"/>
          <w:kern w:val="0"/>
          <w:szCs w:val="32"/>
          <w:highlight w:val="none"/>
        </w:rPr>
      </w:pPr>
      <w:r>
        <w:rPr>
          <w:rFonts w:hint="eastAsia"/>
          <w:color w:val="000000"/>
          <w:kern w:val="0"/>
          <w:szCs w:val="32"/>
          <w:highlight w:val="none"/>
        </w:rPr>
        <w:t>全年预算总支出</w:t>
      </w:r>
      <w:r>
        <w:rPr>
          <w:rFonts w:hint="eastAsia" w:ascii="仿宋_GB2312" w:hAnsi="仿宋" w:eastAsia="仿宋_GB2312"/>
          <w:sz w:val="32"/>
          <w:szCs w:val="32"/>
          <w:highlight w:val="none"/>
          <w:lang w:val="en-US" w:eastAsia="zh-CN"/>
        </w:rPr>
        <w:t>6317.93</w:t>
      </w:r>
      <w:r>
        <w:rPr>
          <w:rFonts w:hint="eastAsia"/>
          <w:color w:val="000000"/>
          <w:kern w:val="0"/>
          <w:szCs w:val="32"/>
          <w:highlight w:val="none"/>
        </w:rPr>
        <w:t>万元，其中基本支出共</w:t>
      </w:r>
      <w:r>
        <w:rPr>
          <w:rFonts w:hint="eastAsia" w:ascii="仿宋_GB2312" w:hAnsi="仿宋" w:eastAsia="仿宋_GB2312"/>
          <w:sz w:val="32"/>
          <w:szCs w:val="32"/>
          <w:highlight w:val="none"/>
          <w:lang w:val="en-US" w:eastAsia="zh-CN"/>
        </w:rPr>
        <w:t>5368.76</w:t>
      </w:r>
      <w:r>
        <w:rPr>
          <w:rFonts w:hint="eastAsia"/>
          <w:color w:val="000000"/>
          <w:kern w:val="0"/>
          <w:szCs w:val="32"/>
          <w:highlight w:val="none"/>
        </w:rPr>
        <w:t>万元，基本支出是为保障各部门正常运转、完成日常工作任务而发生的各项支出，其中包括工资福利支出3335</w:t>
      </w:r>
      <w:r>
        <w:rPr>
          <w:rFonts w:hint="eastAsia"/>
          <w:color w:val="000000"/>
          <w:kern w:val="0"/>
          <w:szCs w:val="32"/>
          <w:highlight w:val="none"/>
          <w:lang w:val="en-US" w:eastAsia="zh-CN"/>
        </w:rPr>
        <w:t>.</w:t>
      </w:r>
      <w:r>
        <w:rPr>
          <w:rFonts w:hint="eastAsia"/>
          <w:color w:val="000000"/>
          <w:kern w:val="0"/>
          <w:szCs w:val="32"/>
          <w:highlight w:val="none"/>
        </w:rPr>
        <w:t>97万元，对个人和家庭补助1190</w:t>
      </w:r>
      <w:r>
        <w:rPr>
          <w:rFonts w:hint="eastAsia"/>
          <w:color w:val="000000"/>
          <w:kern w:val="0"/>
          <w:szCs w:val="32"/>
          <w:highlight w:val="none"/>
          <w:lang w:val="en-US" w:eastAsia="zh-CN"/>
        </w:rPr>
        <w:t>.</w:t>
      </w:r>
      <w:r>
        <w:rPr>
          <w:rFonts w:hint="eastAsia"/>
          <w:color w:val="000000"/>
          <w:kern w:val="0"/>
          <w:szCs w:val="32"/>
          <w:highlight w:val="none"/>
        </w:rPr>
        <w:t>75万元，公用经费</w:t>
      </w:r>
      <w:r>
        <w:rPr>
          <w:rFonts w:hint="eastAsia"/>
          <w:highlight w:val="none"/>
          <w:lang w:val="en-US" w:eastAsia="zh-CN"/>
        </w:rPr>
        <w:t>842.03</w:t>
      </w:r>
      <w:r>
        <w:rPr>
          <w:rFonts w:hint="eastAsia"/>
          <w:color w:val="000000"/>
          <w:kern w:val="0"/>
          <w:szCs w:val="32"/>
          <w:highlight w:val="none"/>
        </w:rPr>
        <w:t>万元；项目支出合计</w:t>
      </w:r>
      <w:r>
        <w:rPr>
          <w:rFonts w:hint="eastAsia" w:ascii="仿宋_GB2312" w:hAnsi="仿宋" w:eastAsia="仿宋_GB2312"/>
          <w:sz w:val="32"/>
          <w:szCs w:val="32"/>
          <w:highlight w:val="none"/>
          <w:lang w:val="en-US" w:eastAsia="zh-CN"/>
        </w:rPr>
        <w:t>949.17</w:t>
      </w:r>
      <w:r>
        <w:rPr>
          <w:rFonts w:hint="eastAsia"/>
          <w:color w:val="000000"/>
          <w:kern w:val="0"/>
          <w:szCs w:val="32"/>
          <w:highlight w:val="none"/>
        </w:rPr>
        <w:t>万元。</w:t>
      </w:r>
    </w:p>
    <w:p>
      <w:pPr>
        <w:spacing w:line="594" w:lineRule="exact"/>
        <w:ind w:firstLine="640" w:firstLineChars="200"/>
        <w:rPr>
          <w:kern w:val="0"/>
          <w:szCs w:val="32"/>
          <w:highlight w:val="none"/>
        </w:rPr>
      </w:pPr>
      <w:r>
        <w:rPr>
          <w:kern w:val="0"/>
          <w:szCs w:val="32"/>
          <w:highlight w:val="none"/>
        </w:rPr>
        <w:t>（三）绩效目标设立情况，主要包括部门中长期绩效目标和年度绩效目标。</w:t>
      </w:r>
    </w:p>
    <w:p>
      <w:pPr>
        <w:spacing w:line="594" w:lineRule="exact"/>
        <w:ind w:firstLine="640" w:firstLineChars="200"/>
        <w:rPr>
          <w:rFonts w:hint="eastAsia"/>
          <w:kern w:val="0"/>
          <w:szCs w:val="32"/>
          <w:highlight w:val="none"/>
        </w:rPr>
      </w:pPr>
      <w:r>
        <w:rPr>
          <w:rFonts w:hint="eastAsia"/>
          <w:kern w:val="0"/>
          <w:szCs w:val="32"/>
          <w:highlight w:val="none"/>
        </w:rPr>
        <w:t>目标：执行镇人民代表大会的决议和上级国家行政机关的决定和命令；发展和管理本镇的经济、教育、科学、文化、卫生、体育事业和财政、民政、公安、司法行政、计划生育等行政工作；维护社会秩序，确保社会稳定，保障公民的人身权利、民主权利和其他权利；</w:t>
      </w:r>
    </w:p>
    <w:p>
      <w:pPr>
        <w:spacing w:line="594" w:lineRule="exact"/>
        <w:ind w:firstLine="640" w:firstLineChars="200"/>
        <w:rPr>
          <w:rFonts w:hint="eastAsia" w:eastAsia="仿宋_GB2312"/>
          <w:kern w:val="0"/>
          <w:szCs w:val="32"/>
          <w:highlight w:val="none"/>
          <w:lang w:eastAsia="zh-CN"/>
        </w:rPr>
      </w:pPr>
      <w:r>
        <w:rPr>
          <w:rFonts w:hint="eastAsia"/>
          <w:kern w:val="0"/>
          <w:szCs w:val="32"/>
          <w:highlight w:val="none"/>
        </w:rPr>
        <w:t>制定并部署重点工程建设、基础设施建设等；办理上级县委、县政府政府交办的其他事项；全年实现财政</w:t>
      </w:r>
      <w:r>
        <w:rPr>
          <w:rFonts w:hint="eastAsia"/>
          <w:color w:val="000000"/>
          <w:kern w:val="0"/>
          <w:szCs w:val="32"/>
          <w:highlight w:val="none"/>
        </w:rPr>
        <w:t>总收入</w:t>
      </w:r>
      <w:r>
        <w:rPr>
          <w:rFonts w:hint="eastAsia" w:ascii="仿宋_GB2312" w:hAnsi="仿宋" w:eastAsia="仿宋_GB2312"/>
          <w:sz w:val="32"/>
          <w:szCs w:val="32"/>
          <w:highlight w:val="none"/>
          <w:lang w:val="en-US" w:eastAsia="zh-CN"/>
        </w:rPr>
        <w:t>6317.93</w:t>
      </w:r>
      <w:r>
        <w:rPr>
          <w:rFonts w:hint="eastAsia"/>
          <w:color w:val="000000"/>
          <w:kern w:val="0"/>
          <w:szCs w:val="32"/>
          <w:highlight w:val="none"/>
        </w:rPr>
        <w:t>万元。</w:t>
      </w:r>
    </w:p>
    <w:p>
      <w:pPr>
        <w:spacing w:line="594" w:lineRule="exact"/>
        <w:ind w:firstLine="640" w:firstLineChars="200"/>
        <w:rPr>
          <w:kern w:val="0"/>
          <w:szCs w:val="32"/>
          <w:highlight w:val="none"/>
        </w:rPr>
      </w:pPr>
      <w:r>
        <w:rPr>
          <w:rFonts w:eastAsia="黑体"/>
          <w:bCs/>
          <w:kern w:val="0"/>
          <w:szCs w:val="32"/>
          <w:highlight w:val="none"/>
        </w:rPr>
        <w:t>二、部门整体支出管理及使用情况分析</w:t>
      </w:r>
    </w:p>
    <w:p>
      <w:pPr>
        <w:spacing w:line="594" w:lineRule="exact"/>
        <w:ind w:firstLine="640" w:firstLineChars="200"/>
        <w:rPr>
          <w:rFonts w:eastAsia="楷体_GB2312"/>
          <w:kern w:val="0"/>
          <w:szCs w:val="32"/>
          <w:highlight w:val="none"/>
        </w:rPr>
      </w:pPr>
      <w:r>
        <w:rPr>
          <w:rFonts w:eastAsia="楷体_GB2312"/>
          <w:kern w:val="0"/>
          <w:szCs w:val="32"/>
          <w:highlight w:val="none"/>
        </w:rPr>
        <w:t>（一）基本支出</w:t>
      </w:r>
    </w:p>
    <w:p>
      <w:pPr>
        <w:spacing w:line="594" w:lineRule="exact"/>
        <w:ind w:firstLine="640" w:firstLineChars="200"/>
        <w:rPr>
          <w:kern w:val="0"/>
          <w:szCs w:val="32"/>
          <w:highlight w:val="none"/>
        </w:rPr>
      </w:pPr>
      <w:r>
        <w:rPr>
          <w:kern w:val="0"/>
          <w:szCs w:val="32"/>
          <w:highlight w:val="none"/>
        </w:rPr>
        <w:t>根据基本支出的主要用途、范围以及资金的管理和制度的建立与落实等情况进行分析，尤其是“三公”经费的使用和管理等情况。</w:t>
      </w:r>
    </w:p>
    <w:p>
      <w:pPr>
        <w:spacing w:line="594" w:lineRule="exact"/>
        <w:ind w:firstLine="640" w:firstLineChars="200"/>
        <w:rPr>
          <w:rFonts w:hint="eastAsia"/>
          <w:kern w:val="0"/>
          <w:szCs w:val="32"/>
          <w:highlight w:val="none"/>
        </w:rPr>
      </w:pPr>
      <w:r>
        <w:rPr>
          <w:rFonts w:hint="eastAsia"/>
          <w:kern w:val="0"/>
          <w:szCs w:val="32"/>
          <w:highlight w:val="none"/>
        </w:rPr>
        <w:t>我镇基本支出的范围和主要用途包括机关的人员经费和日常公用经费。主要用于保障职工基本工资、津贴补贴、奖金、乡镇工作补贴、社会保障缴费、其他工资福利支出等工资福利支出、办公费、三公经费等商品和服务支出、遗属人员生活补助、独生子女奖励金等对个人和家庭的补助等。</w:t>
      </w:r>
    </w:p>
    <w:p>
      <w:pPr>
        <w:wordWrap/>
        <w:adjustRightInd/>
        <w:snapToGrid/>
        <w:spacing w:line="540" w:lineRule="exact"/>
        <w:ind w:firstLine="640" w:firstLineChars="200"/>
        <w:textAlignment w:val="auto"/>
        <w:rPr>
          <w:rFonts w:hint="eastAsia" w:eastAsia="楷体_GB2312"/>
          <w:kern w:val="0"/>
          <w:szCs w:val="32"/>
          <w:highlight w:val="none"/>
          <w:lang w:val="en-US" w:eastAsia="zh-CN"/>
        </w:rPr>
      </w:pPr>
      <w:r>
        <w:rPr>
          <w:rFonts w:hint="eastAsia" w:ascii="仿宋_GB2312" w:hAnsi="微软雅黑" w:eastAsia="仿宋_GB2312" w:cs="微软雅黑"/>
          <w:color w:val="auto"/>
          <w:kern w:val="0"/>
          <w:sz w:val="32"/>
          <w:szCs w:val="32"/>
          <w:highlight w:val="none"/>
          <w:lang w:val="en-US" w:eastAsia="zh-CN"/>
        </w:rPr>
        <w:t>1、</w:t>
      </w:r>
      <w:r>
        <w:rPr>
          <w:rFonts w:hint="eastAsia" w:ascii="仿宋_GB2312" w:hAnsi="微软雅黑" w:cs="微软雅黑"/>
          <w:color w:val="auto"/>
          <w:kern w:val="0"/>
          <w:sz w:val="32"/>
          <w:szCs w:val="32"/>
          <w:highlight w:val="none"/>
          <w:lang w:val="en-US" w:eastAsia="zh-CN"/>
        </w:rPr>
        <w:t>基本支出</w:t>
      </w:r>
      <w:r>
        <w:rPr>
          <w:rFonts w:hint="eastAsia" w:ascii="仿宋_GB2312" w:hAnsi="微软雅黑" w:eastAsia="仿宋_GB2312" w:cs="微软雅黑"/>
          <w:color w:val="auto"/>
          <w:kern w:val="0"/>
          <w:sz w:val="32"/>
          <w:szCs w:val="32"/>
          <w:highlight w:val="none"/>
          <w:lang w:val="en-US" w:eastAsia="zh-CN"/>
        </w:rPr>
        <w:t>使用情况（单位：万元）</w:t>
      </w:r>
    </w:p>
    <w:tbl>
      <w:tblPr>
        <w:tblStyle w:val="2"/>
        <w:tblpPr w:leftFromText="180" w:rightFromText="180" w:vertAnchor="text" w:horzAnchor="page" w:tblpX="1891" w:tblpY="143"/>
        <w:tblOverlap w:val="never"/>
        <w:tblW w:w="79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8"/>
        <w:gridCol w:w="1850"/>
        <w:gridCol w:w="1767"/>
        <w:gridCol w:w="1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28"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rPr>
            </w:pPr>
          </w:p>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费用项目</w:t>
            </w:r>
          </w:p>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rPr>
            </w:pPr>
          </w:p>
        </w:tc>
        <w:tc>
          <w:tcPr>
            <w:tcW w:w="1850"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lang w:eastAsia="zh-CN"/>
              </w:rPr>
            </w:pPr>
            <w:r>
              <w:rPr>
                <w:rFonts w:hint="eastAsia" w:ascii="仿宋_GB2312" w:hAnsi="宋体" w:eastAsia="仿宋_GB2312" w:cs="宋体"/>
                <w:b/>
                <w:bCs/>
                <w:color w:val="000000"/>
                <w:kern w:val="0"/>
                <w:sz w:val="28"/>
                <w:szCs w:val="28"/>
                <w:highlight w:val="none"/>
                <w:lang w:eastAsia="zh-CN"/>
              </w:rPr>
              <w:t>本年</w:t>
            </w:r>
          </w:p>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预算指标</w:t>
            </w:r>
          </w:p>
        </w:tc>
        <w:tc>
          <w:tcPr>
            <w:tcW w:w="1767"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lang w:eastAsia="zh-CN"/>
              </w:rPr>
            </w:pPr>
            <w:r>
              <w:rPr>
                <w:rFonts w:hint="eastAsia" w:ascii="仿宋_GB2312" w:hAnsi="宋体" w:eastAsia="仿宋_GB2312" w:cs="宋体"/>
                <w:b/>
                <w:bCs/>
                <w:color w:val="000000"/>
                <w:kern w:val="0"/>
                <w:sz w:val="28"/>
                <w:szCs w:val="28"/>
                <w:highlight w:val="none"/>
                <w:lang w:eastAsia="zh-CN"/>
              </w:rPr>
              <w:t>本年</w:t>
            </w:r>
          </w:p>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lang w:eastAsia="zh-CN"/>
              </w:rPr>
            </w:pPr>
            <w:r>
              <w:rPr>
                <w:rFonts w:hint="eastAsia" w:ascii="仿宋_GB2312" w:hAnsi="宋体" w:eastAsia="仿宋_GB2312" w:cs="宋体"/>
                <w:b/>
                <w:bCs/>
                <w:color w:val="000000"/>
                <w:kern w:val="0"/>
                <w:sz w:val="28"/>
                <w:szCs w:val="28"/>
                <w:highlight w:val="none"/>
                <w:lang w:eastAsia="zh-CN"/>
              </w:rPr>
              <w:t>决算金额</w:t>
            </w:r>
          </w:p>
        </w:tc>
        <w:tc>
          <w:tcPr>
            <w:tcW w:w="1883"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lang w:val="en-US" w:eastAsia="zh-CN"/>
              </w:rPr>
            </w:pPr>
            <w:r>
              <w:rPr>
                <w:rFonts w:hint="eastAsia" w:ascii="仿宋_GB2312" w:hAnsi="宋体" w:eastAsia="仿宋_GB2312" w:cs="宋体"/>
                <w:b/>
                <w:bCs/>
                <w:color w:val="000000"/>
                <w:kern w:val="0"/>
                <w:sz w:val="28"/>
                <w:szCs w:val="28"/>
                <w:highlight w:val="none"/>
                <w:lang w:val="en-US" w:eastAsia="zh-CN"/>
              </w:rPr>
              <w:t>差额</w:t>
            </w:r>
          </w:p>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lang w:val="en-US" w:eastAsia="zh-CN"/>
              </w:rPr>
              <w:t>（实际-预算）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jc w:val="center"/>
        </w:trPr>
        <w:tc>
          <w:tcPr>
            <w:tcW w:w="2428"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工资福利支出</w:t>
            </w:r>
          </w:p>
        </w:tc>
        <w:tc>
          <w:tcPr>
            <w:tcW w:w="1850"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1925.18</w:t>
            </w:r>
          </w:p>
        </w:tc>
        <w:tc>
          <w:tcPr>
            <w:tcW w:w="1767"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3335.97</w:t>
            </w:r>
          </w:p>
        </w:tc>
        <w:tc>
          <w:tcPr>
            <w:tcW w:w="1883"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1410.79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2428"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商品和服务支出</w:t>
            </w:r>
          </w:p>
        </w:tc>
        <w:tc>
          <w:tcPr>
            <w:tcW w:w="1850"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368.06</w:t>
            </w:r>
          </w:p>
        </w:tc>
        <w:tc>
          <w:tcPr>
            <w:tcW w:w="1767"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default" w:ascii="仿宋_GB2312" w:hAnsi="宋体" w:cs="宋体"/>
                <w:color w:val="000000"/>
                <w:kern w:val="0"/>
                <w:sz w:val="28"/>
                <w:szCs w:val="28"/>
                <w:highlight w:val="none"/>
                <w:lang w:val="en-US" w:eastAsia="zh-CN"/>
              </w:rPr>
              <w:t>842</w:t>
            </w:r>
            <w:r>
              <w:rPr>
                <w:rFonts w:hint="eastAsia" w:ascii="仿宋_GB2312" w:hAnsi="宋体" w:cs="宋体"/>
                <w:color w:val="000000"/>
                <w:kern w:val="0"/>
                <w:sz w:val="28"/>
                <w:szCs w:val="28"/>
                <w:highlight w:val="none"/>
                <w:lang w:val="en-US" w:eastAsia="zh-CN"/>
              </w:rPr>
              <w:t>.</w:t>
            </w:r>
            <w:r>
              <w:rPr>
                <w:rFonts w:hint="default" w:ascii="仿宋_GB2312" w:hAnsi="宋体" w:cs="宋体"/>
                <w:color w:val="000000"/>
                <w:kern w:val="0"/>
                <w:sz w:val="28"/>
                <w:szCs w:val="28"/>
                <w:highlight w:val="none"/>
                <w:lang w:val="en-US" w:eastAsia="zh-CN"/>
              </w:rPr>
              <w:t>03</w:t>
            </w:r>
          </w:p>
        </w:tc>
        <w:tc>
          <w:tcPr>
            <w:tcW w:w="1883"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473.97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2428"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对个人和家庭</w:t>
            </w:r>
          </w:p>
          <w:p>
            <w:pPr>
              <w:widowControl/>
              <w:wordWrap/>
              <w:adjustRightInd/>
              <w:snapToGrid/>
              <w:spacing w:line="540" w:lineRule="exact"/>
              <w:jc w:val="center"/>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补助</w:t>
            </w:r>
          </w:p>
        </w:tc>
        <w:tc>
          <w:tcPr>
            <w:tcW w:w="1850"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200.82</w:t>
            </w:r>
          </w:p>
        </w:tc>
        <w:tc>
          <w:tcPr>
            <w:tcW w:w="1767"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default" w:ascii="仿宋_GB2312" w:hAnsi="宋体" w:cs="宋体"/>
                <w:color w:val="000000"/>
                <w:kern w:val="0"/>
                <w:sz w:val="28"/>
                <w:szCs w:val="28"/>
                <w:highlight w:val="none"/>
                <w:lang w:val="en-US" w:eastAsia="zh-CN"/>
              </w:rPr>
              <w:t>1190</w:t>
            </w:r>
            <w:r>
              <w:rPr>
                <w:rFonts w:hint="eastAsia" w:ascii="仿宋_GB2312" w:hAnsi="宋体" w:cs="宋体"/>
                <w:color w:val="000000"/>
                <w:kern w:val="0"/>
                <w:sz w:val="28"/>
                <w:szCs w:val="28"/>
                <w:highlight w:val="none"/>
                <w:lang w:val="en-US" w:eastAsia="zh-CN"/>
              </w:rPr>
              <w:t>.</w:t>
            </w:r>
            <w:r>
              <w:rPr>
                <w:rFonts w:hint="default" w:ascii="仿宋_GB2312" w:hAnsi="宋体" w:cs="宋体"/>
                <w:color w:val="000000"/>
                <w:kern w:val="0"/>
                <w:sz w:val="28"/>
                <w:szCs w:val="28"/>
                <w:highlight w:val="none"/>
                <w:lang w:val="en-US" w:eastAsia="zh-CN"/>
              </w:rPr>
              <w:t>75</w:t>
            </w:r>
          </w:p>
        </w:tc>
        <w:tc>
          <w:tcPr>
            <w:tcW w:w="1883"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989.93</w:t>
            </w:r>
          </w:p>
        </w:tc>
      </w:tr>
    </w:tbl>
    <w:p>
      <w:pPr>
        <w:wordWrap/>
        <w:adjustRightInd/>
        <w:snapToGrid/>
        <w:spacing w:line="540" w:lineRule="exact"/>
        <w:ind w:firstLine="640" w:firstLineChars="200"/>
        <w:textAlignment w:val="auto"/>
        <w:rPr>
          <w:rFonts w:hint="eastAsia" w:ascii="仿宋_GB2312" w:hAnsi="微软雅黑" w:eastAsia="仿宋_GB2312" w:cs="微软雅黑"/>
          <w:color w:val="000000"/>
          <w:kern w:val="0"/>
          <w:sz w:val="32"/>
          <w:szCs w:val="32"/>
          <w:highlight w:val="none"/>
          <w:lang w:val="en-US" w:eastAsia="zh-CN"/>
        </w:rPr>
      </w:pPr>
      <w:r>
        <w:rPr>
          <w:rFonts w:hint="eastAsia" w:ascii="仿宋_GB2312" w:hAnsi="微软雅黑" w:eastAsia="仿宋_GB2312" w:cs="微软雅黑"/>
          <w:color w:val="000000"/>
          <w:kern w:val="0"/>
          <w:sz w:val="32"/>
          <w:szCs w:val="32"/>
          <w:highlight w:val="none"/>
          <w:lang w:val="en-US" w:eastAsia="zh-CN"/>
        </w:rPr>
        <w:t>2、三公经费使用情况（单位：万元）</w:t>
      </w:r>
    </w:p>
    <w:tbl>
      <w:tblPr>
        <w:tblStyle w:val="2"/>
        <w:tblW w:w="7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6"/>
        <w:gridCol w:w="1425"/>
        <w:gridCol w:w="1395"/>
        <w:gridCol w:w="1206"/>
        <w:gridCol w:w="1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费用项目</w:t>
            </w:r>
          </w:p>
        </w:tc>
        <w:tc>
          <w:tcPr>
            <w:tcW w:w="142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lang w:eastAsia="zh-CN"/>
              </w:rPr>
            </w:pPr>
            <w:r>
              <w:rPr>
                <w:rFonts w:hint="eastAsia" w:ascii="仿宋_GB2312" w:hAnsi="宋体" w:eastAsia="仿宋_GB2312" w:cs="宋体"/>
                <w:b/>
                <w:bCs/>
                <w:color w:val="000000"/>
                <w:kern w:val="0"/>
                <w:sz w:val="28"/>
                <w:szCs w:val="28"/>
                <w:highlight w:val="none"/>
                <w:lang w:eastAsia="zh-CN"/>
              </w:rPr>
              <w:t>本年</w:t>
            </w:r>
          </w:p>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预算指标</w:t>
            </w:r>
          </w:p>
        </w:tc>
        <w:tc>
          <w:tcPr>
            <w:tcW w:w="1395"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lang w:eastAsia="zh-CN"/>
              </w:rPr>
            </w:pPr>
            <w:r>
              <w:rPr>
                <w:rFonts w:hint="eastAsia" w:ascii="仿宋_GB2312" w:hAnsi="宋体" w:eastAsia="仿宋_GB2312" w:cs="宋体"/>
                <w:b/>
                <w:bCs/>
                <w:color w:val="000000"/>
                <w:kern w:val="0"/>
                <w:sz w:val="28"/>
                <w:szCs w:val="28"/>
                <w:highlight w:val="none"/>
                <w:lang w:eastAsia="zh-CN"/>
              </w:rPr>
              <w:t>本年</w:t>
            </w:r>
          </w:p>
          <w:p>
            <w:pPr>
              <w:widowControl/>
              <w:wordWrap/>
              <w:adjustRightInd/>
              <w:snapToGrid/>
              <w:spacing w:line="540" w:lineRule="exact"/>
              <w:ind w:firstLine="138" w:firstLineChars="49"/>
              <w:textAlignment w:val="auto"/>
              <w:rPr>
                <w:rFonts w:hint="eastAsia"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lang w:eastAsia="zh-CN"/>
              </w:rPr>
              <w:t>决算金额</w:t>
            </w:r>
          </w:p>
        </w:tc>
        <w:tc>
          <w:tcPr>
            <w:tcW w:w="1206"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rPr>
            </w:pPr>
            <w:r>
              <w:rPr>
                <w:rFonts w:hint="eastAsia" w:ascii="仿宋_GB2312" w:hAnsi="宋体" w:cs="宋体"/>
                <w:b/>
                <w:bCs/>
                <w:color w:val="000000"/>
                <w:kern w:val="0"/>
                <w:sz w:val="28"/>
                <w:szCs w:val="28"/>
                <w:highlight w:val="none"/>
                <w:lang w:val="en-US" w:eastAsia="zh-CN"/>
              </w:rPr>
              <w:t>2022年</w:t>
            </w:r>
            <w:r>
              <w:rPr>
                <w:rFonts w:hint="eastAsia" w:ascii="仿宋_GB2312" w:hAnsi="宋体" w:eastAsia="仿宋_GB2312" w:cs="宋体"/>
                <w:b/>
                <w:bCs/>
                <w:color w:val="000000"/>
                <w:kern w:val="0"/>
                <w:sz w:val="28"/>
                <w:szCs w:val="28"/>
                <w:highlight w:val="none"/>
                <w:lang w:eastAsia="zh-CN"/>
              </w:rPr>
              <w:t>决算金额</w:t>
            </w:r>
          </w:p>
        </w:tc>
        <w:tc>
          <w:tcPr>
            <w:tcW w:w="1437" w:type="dxa"/>
            <w:tcBorders>
              <w:top w:val="single" w:color="auto" w:sz="4" w:space="0"/>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rPr>
            </w:pPr>
            <w:r>
              <w:rPr>
                <w:rFonts w:hint="eastAsia" w:ascii="仿宋_GB2312" w:hAnsi="宋体" w:cs="宋体"/>
                <w:b/>
                <w:bCs/>
                <w:color w:val="000000"/>
                <w:kern w:val="0"/>
                <w:sz w:val="28"/>
                <w:szCs w:val="28"/>
                <w:highlight w:val="none"/>
                <w:lang w:eastAsia="zh-CN"/>
              </w:rPr>
              <w:t>20</w:t>
            </w:r>
            <w:r>
              <w:rPr>
                <w:rFonts w:hint="eastAsia" w:ascii="仿宋_GB2312" w:hAnsi="宋体" w:cs="宋体"/>
                <w:b/>
                <w:bCs/>
                <w:color w:val="000000"/>
                <w:kern w:val="0"/>
                <w:sz w:val="28"/>
                <w:szCs w:val="28"/>
                <w:highlight w:val="none"/>
                <w:lang w:val="en-US" w:eastAsia="zh-CN"/>
              </w:rPr>
              <w:t>23</w:t>
            </w:r>
            <w:r>
              <w:rPr>
                <w:rFonts w:hint="eastAsia" w:ascii="仿宋_GB2312" w:hAnsi="宋体" w:eastAsia="仿宋_GB2312" w:cs="宋体"/>
                <w:b/>
                <w:bCs/>
                <w:color w:val="000000"/>
                <w:kern w:val="0"/>
                <w:sz w:val="28"/>
                <w:szCs w:val="28"/>
                <w:highlight w:val="none"/>
              </w:rPr>
              <w:t>年度相比上年</w:t>
            </w:r>
          </w:p>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rPr>
            </w:pPr>
            <w:r>
              <w:rPr>
                <w:rFonts w:hint="eastAsia" w:ascii="仿宋_GB2312" w:hAnsi="宋体" w:cs="宋体"/>
                <w:b/>
                <w:bCs/>
                <w:color w:val="000000"/>
                <w:kern w:val="0"/>
                <w:sz w:val="28"/>
                <w:szCs w:val="28"/>
                <w:highlight w:val="none"/>
                <w:lang w:eastAsia="zh-CN"/>
              </w:rPr>
              <w:t>减少</w:t>
            </w:r>
            <w:r>
              <w:rPr>
                <w:rFonts w:hint="eastAsia" w:ascii="仿宋_GB2312" w:hAnsi="宋体" w:eastAsia="仿宋_GB2312" w:cs="宋体"/>
                <w:b/>
                <w:bCs/>
                <w:color w:val="000000"/>
                <w:kern w:val="0"/>
                <w:sz w:val="28"/>
                <w:szCs w:val="28"/>
                <w:highlight w:val="none"/>
              </w:rPr>
              <w:t>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2116"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公务</w:t>
            </w:r>
          </w:p>
          <w:p>
            <w:pPr>
              <w:widowControl/>
              <w:wordWrap/>
              <w:adjustRightInd/>
              <w:snapToGrid/>
              <w:spacing w:line="540" w:lineRule="exact"/>
              <w:jc w:val="center"/>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接待费</w:t>
            </w:r>
          </w:p>
        </w:tc>
        <w:tc>
          <w:tcPr>
            <w:tcW w:w="1425"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66</w:t>
            </w:r>
          </w:p>
        </w:tc>
        <w:tc>
          <w:tcPr>
            <w:tcW w:w="1395"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50.79</w:t>
            </w:r>
          </w:p>
        </w:tc>
        <w:tc>
          <w:tcPr>
            <w:tcW w:w="1206"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50.79</w:t>
            </w:r>
          </w:p>
        </w:tc>
        <w:tc>
          <w:tcPr>
            <w:tcW w:w="1437"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116"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公务用车运行</w:t>
            </w:r>
          </w:p>
          <w:p>
            <w:pPr>
              <w:widowControl/>
              <w:wordWrap/>
              <w:adjustRightInd/>
              <w:snapToGrid/>
              <w:spacing w:line="540" w:lineRule="exact"/>
              <w:jc w:val="center"/>
              <w:textAlignment w:val="auto"/>
              <w:rPr>
                <w:rFonts w:hint="eastAsia" w:ascii="仿宋_GB2312" w:hAnsi="宋体" w:eastAsia="仿宋_GB2312" w:cs="宋体"/>
                <w:color w:val="000000"/>
                <w:kern w:val="0"/>
                <w:sz w:val="28"/>
                <w:szCs w:val="28"/>
                <w:highlight w:val="none"/>
              </w:rPr>
            </w:pPr>
            <w:r>
              <w:rPr>
                <w:rFonts w:hint="eastAsia" w:ascii="仿宋_GB2312" w:hAnsi="宋体" w:eastAsia="仿宋_GB2312" w:cs="宋体"/>
                <w:color w:val="000000"/>
                <w:kern w:val="0"/>
                <w:sz w:val="28"/>
                <w:szCs w:val="28"/>
                <w:highlight w:val="none"/>
              </w:rPr>
              <w:t>维护费</w:t>
            </w:r>
          </w:p>
        </w:tc>
        <w:tc>
          <w:tcPr>
            <w:tcW w:w="1425"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6</w:t>
            </w:r>
          </w:p>
        </w:tc>
        <w:tc>
          <w:tcPr>
            <w:tcW w:w="1395"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3.5</w:t>
            </w:r>
          </w:p>
        </w:tc>
        <w:tc>
          <w:tcPr>
            <w:tcW w:w="1206"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3.5</w:t>
            </w:r>
          </w:p>
        </w:tc>
        <w:tc>
          <w:tcPr>
            <w:tcW w:w="1437"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color w:val="000000"/>
                <w:kern w:val="0"/>
                <w:sz w:val="28"/>
                <w:szCs w:val="28"/>
                <w:highlight w:val="none"/>
                <w:lang w:val="en-US" w:eastAsia="zh-CN"/>
              </w:rPr>
            </w:pPr>
            <w:r>
              <w:rPr>
                <w:rFonts w:hint="eastAsia" w:ascii="仿宋_GB2312" w:hAnsi="宋体" w:cs="宋体"/>
                <w:color w:val="000000"/>
                <w:kern w:val="0"/>
                <w:sz w:val="28"/>
                <w:szCs w:val="28"/>
                <w:highlight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2116" w:type="dxa"/>
            <w:tcBorders>
              <w:top w:val="nil"/>
              <w:left w:val="single" w:color="auto" w:sz="4" w:space="0"/>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eastAsia"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合计</w:t>
            </w:r>
          </w:p>
        </w:tc>
        <w:tc>
          <w:tcPr>
            <w:tcW w:w="1425"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b/>
                <w:bCs/>
                <w:color w:val="000000"/>
                <w:kern w:val="0"/>
                <w:sz w:val="28"/>
                <w:szCs w:val="28"/>
                <w:highlight w:val="none"/>
                <w:lang w:val="en-US" w:eastAsia="zh-CN"/>
              </w:rPr>
            </w:pPr>
            <w:r>
              <w:rPr>
                <w:rFonts w:hint="eastAsia" w:ascii="仿宋_GB2312" w:hAnsi="宋体" w:cs="宋体"/>
                <w:b/>
                <w:bCs/>
                <w:color w:val="000000"/>
                <w:kern w:val="0"/>
                <w:sz w:val="28"/>
                <w:szCs w:val="28"/>
                <w:highlight w:val="none"/>
                <w:lang w:val="en-US" w:eastAsia="zh-CN"/>
              </w:rPr>
              <w:t>72</w:t>
            </w:r>
          </w:p>
        </w:tc>
        <w:tc>
          <w:tcPr>
            <w:tcW w:w="1395"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b/>
                <w:bCs/>
                <w:color w:val="000000"/>
                <w:kern w:val="0"/>
                <w:sz w:val="28"/>
                <w:szCs w:val="28"/>
                <w:highlight w:val="none"/>
                <w:lang w:val="en-US" w:eastAsia="zh-CN"/>
              </w:rPr>
            </w:pPr>
            <w:r>
              <w:rPr>
                <w:rFonts w:hint="eastAsia" w:ascii="仿宋_GB2312" w:hAnsi="宋体" w:cs="宋体"/>
                <w:b/>
                <w:bCs/>
                <w:color w:val="000000"/>
                <w:kern w:val="0"/>
                <w:sz w:val="28"/>
                <w:szCs w:val="28"/>
                <w:highlight w:val="none"/>
                <w:lang w:val="en-US" w:eastAsia="zh-CN"/>
              </w:rPr>
              <w:t>54.29</w:t>
            </w:r>
          </w:p>
        </w:tc>
        <w:tc>
          <w:tcPr>
            <w:tcW w:w="1206"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b/>
                <w:bCs/>
                <w:color w:val="000000"/>
                <w:kern w:val="0"/>
                <w:sz w:val="28"/>
                <w:szCs w:val="28"/>
                <w:highlight w:val="none"/>
                <w:lang w:val="en-US" w:eastAsia="zh-CN"/>
              </w:rPr>
            </w:pPr>
            <w:r>
              <w:rPr>
                <w:rFonts w:hint="eastAsia" w:ascii="仿宋_GB2312" w:hAnsi="宋体" w:cs="宋体"/>
                <w:b/>
                <w:bCs/>
                <w:color w:val="000000"/>
                <w:kern w:val="0"/>
                <w:sz w:val="28"/>
                <w:szCs w:val="28"/>
                <w:highlight w:val="none"/>
                <w:lang w:val="en-US" w:eastAsia="zh-CN"/>
              </w:rPr>
              <w:t>54.29</w:t>
            </w:r>
          </w:p>
        </w:tc>
        <w:tc>
          <w:tcPr>
            <w:tcW w:w="1437" w:type="dxa"/>
            <w:tcBorders>
              <w:top w:val="nil"/>
              <w:left w:val="nil"/>
              <w:bottom w:val="single" w:color="auto" w:sz="4" w:space="0"/>
              <w:right w:val="single" w:color="auto" w:sz="4" w:space="0"/>
            </w:tcBorders>
            <w:noWrap w:val="0"/>
            <w:vAlign w:val="center"/>
          </w:tcPr>
          <w:p>
            <w:pPr>
              <w:widowControl/>
              <w:wordWrap/>
              <w:adjustRightInd/>
              <w:snapToGrid/>
              <w:spacing w:line="540" w:lineRule="exact"/>
              <w:jc w:val="center"/>
              <w:textAlignment w:val="auto"/>
              <w:rPr>
                <w:rFonts w:hint="default" w:ascii="仿宋_GB2312" w:hAnsi="宋体" w:eastAsia="仿宋_GB2312" w:cs="宋体"/>
                <w:b/>
                <w:bCs/>
                <w:color w:val="000000"/>
                <w:kern w:val="0"/>
                <w:sz w:val="28"/>
                <w:szCs w:val="28"/>
                <w:highlight w:val="none"/>
                <w:lang w:val="en-US" w:eastAsia="zh-CN"/>
              </w:rPr>
            </w:pPr>
            <w:r>
              <w:rPr>
                <w:rFonts w:hint="eastAsia" w:ascii="仿宋_GB2312" w:hAnsi="宋体" w:cs="宋体"/>
                <w:b/>
                <w:bCs/>
                <w:color w:val="000000"/>
                <w:kern w:val="0"/>
                <w:sz w:val="28"/>
                <w:szCs w:val="28"/>
                <w:highlight w:val="none"/>
                <w:lang w:val="en-US" w:eastAsia="zh-CN"/>
              </w:rPr>
              <w:t>0</w:t>
            </w:r>
          </w:p>
        </w:tc>
      </w:tr>
    </w:tbl>
    <w:p>
      <w:pPr>
        <w:wordWrap/>
        <w:adjustRightInd/>
        <w:snapToGrid/>
        <w:spacing w:line="540" w:lineRule="exact"/>
        <w:ind w:firstLine="640" w:firstLineChars="200"/>
        <w:textAlignment w:val="auto"/>
        <w:rPr>
          <w:rFonts w:hint="eastAsia" w:eastAsia="楷体_GB2312"/>
          <w:color w:val="000000"/>
          <w:kern w:val="0"/>
          <w:szCs w:val="32"/>
          <w:highlight w:val="none"/>
          <w:lang w:val="en-US" w:eastAsia="zh-CN"/>
        </w:rPr>
      </w:pPr>
      <w:r>
        <w:rPr>
          <w:rFonts w:hint="eastAsia" w:ascii="仿宋_GB2312" w:hAnsi="微软雅黑" w:cs="微软雅黑"/>
          <w:color w:val="000000"/>
          <w:kern w:val="0"/>
          <w:sz w:val="32"/>
          <w:szCs w:val="32"/>
          <w:highlight w:val="none"/>
          <w:lang w:val="en-US" w:eastAsia="zh-CN"/>
        </w:rPr>
        <w:t>2023</w:t>
      </w:r>
      <w:r>
        <w:rPr>
          <w:rFonts w:hint="eastAsia" w:ascii="仿宋_GB2312" w:hAnsi="微软雅黑" w:eastAsia="仿宋_GB2312" w:cs="微软雅黑"/>
          <w:color w:val="000000"/>
          <w:kern w:val="0"/>
          <w:sz w:val="32"/>
          <w:szCs w:val="32"/>
          <w:highlight w:val="none"/>
          <w:lang w:val="en-US" w:eastAsia="zh-CN"/>
        </w:rPr>
        <w:t>我镇“三公”经费中公务接待费与预算金额相差</w:t>
      </w:r>
      <w:r>
        <w:rPr>
          <w:rFonts w:hint="eastAsia" w:ascii="仿宋_GB2312" w:hAnsi="微软雅黑" w:cs="微软雅黑"/>
          <w:color w:val="000000"/>
          <w:kern w:val="0"/>
          <w:sz w:val="32"/>
          <w:szCs w:val="32"/>
          <w:highlight w:val="none"/>
          <w:lang w:val="en-US" w:eastAsia="zh-CN"/>
        </w:rPr>
        <w:t>15.21</w:t>
      </w:r>
      <w:r>
        <w:rPr>
          <w:rFonts w:hint="eastAsia" w:ascii="仿宋_GB2312" w:hAnsi="微软雅黑" w:eastAsia="仿宋_GB2312" w:cs="微软雅黑"/>
          <w:color w:val="000000"/>
          <w:kern w:val="0"/>
          <w:sz w:val="32"/>
          <w:szCs w:val="32"/>
          <w:highlight w:val="none"/>
          <w:lang w:val="en-US" w:eastAsia="zh-CN"/>
        </w:rPr>
        <w:t>万元，相比20</w:t>
      </w:r>
      <w:r>
        <w:rPr>
          <w:rFonts w:hint="eastAsia" w:ascii="仿宋_GB2312" w:hAnsi="微软雅黑" w:cs="微软雅黑"/>
          <w:color w:val="000000"/>
          <w:kern w:val="0"/>
          <w:sz w:val="32"/>
          <w:szCs w:val="32"/>
          <w:highlight w:val="none"/>
          <w:lang w:val="en-US" w:eastAsia="zh-CN"/>
        </w:rPr>
        <w:t>22</w:t>
      </w:r>
      <w:r>
        <w:rPr>
          <w:rFonts w:hint="eastAsia" w:ascii="仿宋_GB2312" w:hAnsi="微软雅黑" w:eastAsia="仿宋_GB2312" w:cs="微软雅黑"/>
          <w:color w:val="000000"/>
          <w:kern w:val="0"/>
          <w:sz w:val="32"/>
          <w:szCs w:val="32"/>
          <w:highlight w:val="none"/>
          <w:lang w:val="en-US" w:eastAsia="zh-CN"/>
        </w:rPr>
        <w:t>年度实际支出</w:t>
      </w:r>
      <w:r>
        <w:rPr>
          <w:rFonts w:hint="eastAsia" w:ascii="仿宋_GB2312" w:hAnsi="微软雅黑" w:cs="微软雅黑"/>
          <w:color w:val="000000"/>
          <w:kern w:val="0"/>
          <w:sz w:val="32"/>
          <w:szCs w:val="32"/>
          <w:highlight w:val="none"/>
          <w:lang w:val="en-US" w:eastAsia="zh-CN"/>
        </w:rPr>
        <w:t>相比减少0万元，</w:t>
      </w:r>
      <w:r>
        <w:rPr>
          <w:rFonts w:hint="eastAsia" w:ascii="仿宋_GB2312" w:hAnsi="微软雅黑" w:eastAsia="仿宋_GB2312" w:cs="微软雅黑"/>
          <w:color w:val="000000"/>
          <w:kern w:val="0"/>
          <w:sz w:val="32"/>
          <w:szCs w:val="32"/>
          <w:highlight w:val="none"/>
          <w:lang w:val="en-US" w:eastAsia="zh-CN"/>
        </w:rPr>
        <w:t>公务用车运行维护费与预算金额相差</w:t>
      </w:r>
      <w:r>
        <w:rPr>
          <w:rFonts w:hint="eastAsia" w:ascii="仿宋_GB2312" w:hAnsi="微软雅黑" w:cs="微软雅黑"/>
          <w:color w:val="000000"/>
          <w:kern w:val="0"/>
          <w:sz w:val="32"/>
          <w:szCs w:val="32"/>
          <w:highlight w:val="none"/>
          <w:lang w:val="en-US" w:eastAsia="zh-CN"/>
        </w:rPr>
        <w:t>2.5</w:t>
      </w:r>
      <w:r>
        <w:rPr>
          <w:rFonts w:hint="eastAsia" w:ascii="仿宋_GB2312" w:hAnsi="微软雅黑" w:eastAsia="仿宋_GB2312" w:cs="微软雅黑"/>
          <w:color w:val="000000"/>
          <w:kern w:val="0"/>
          <w:sz w:val="32"/>
          <w:szCs w:val="32"/>
          <w:highlight w:val="none"/>
          <w:lang w:val="en-US" w:eastAsia="zh-CN"/>
        </w:rPr>
        <w:t>万元，与20</w:t>
      </w:r>
      <w:r>
        <w:rPr>
          <w:rFonts w:hint="eastAsia" w:ascii="仿宋_GB2312" w:hAnsi="微软雅黑" w:cs="微软雅黑"/>
          <w:color w:val="000000"/>
          <w:kern w:val="0"/>
          <w:sz w:val="32"/>
          <w:szCs w:val="32"/>
          <w:highlight w:val="none"/>
          <w:lang w:val="en-US" w:eastAsia="zh-CN"/>
        </w:rPr>
        <w:t>22</w:t>
      </w:r>
      <w:r>
        <w:rPr>
          <w:rFonts w:hint="eastAsia" w:ascii="仿宋_GB2312" w:hAnsi="微软雅黑" w:eastAsia="仿宋_GB2312" w:cs="微软雅黑"/>
          <w:color w:val="000000"/>
          <w:kern w:val="0"/>
          <w:sz w:val="32"/>
          <w:szCs w:val="32"/>
          <w:highlight w:val="none"/>
          <w:lang w:val="en-US" w:eastAsia="zh-CN"/>
        </w:rPr>
        <w:t>年相比</w:t>
      </w:r>
      <w:r>
        <w:rPr>
          <w:rFonts w:hint="eastAsia" w:ascii="仿宋_GB2312" w:hAnsi="微软雅黑" w:cs="微软雅黑"/>
          <w:color w:val="000000"/>
          <w:kern w:val="0"/>
          <w:sz w:val="32"/>
          <w:szCs w:val="32"/>
          <w:highlight w:val="none"/>
          <w:lang w:val="en-US" w:eastAsia="zh-CN"/>
        </w:rPr>
        <w:t>不变</w:t>
      </w:r>
      <w:r>
        <w:rPr>
          <w:rFonts w:hint="eastAsia" w:ascii="仿宋_GB2312" w:hAnsi="微软雅黑" w:eastAsia="仿宋_GB2312" w:cs="微软雅黑"/>
          <w:color w:val="000000"/>
          <w:kern w:val="0"/>
          <w:sz w:val="32"/>
          <w:szCs w:val="32"/>
          <w:highlight w:val="none"/>
          <w:lang w:val="en-US" w:eastAsia="zh-CN"/>
        </w:rPr>
        <w:t>，实现了对三公经费的严格把控与费用节约。其中工资福利支出大于预算指标的</w:t>
      </w:r>
      <w:r>
        <w:rPr>
          <w:rFonts w:hint="eastAsia" w:ascii="仿宋_GB2312" w:hAnsi="微软雅黑" w:cs="微软雅黑"/>
          <w:color w:val="000000"/>
          <w:kern w:val="0"/>
          <w:sz w:val="32"/>
          <w:szCs w:val="32"/>
          <w:highlight w:val="none"/>
          <w:lang w:val="en-US" w:eastAsia="zh-CN"/>
        </w:rPr>
        <w:t>主要</w:t>
      </w:r>
      <w:r>
        <w:rPr>
          <w:rFonts w:hint="eastAsia" w:ascii="仿宋_GB2312" w:hAnsi="微软雅黑" w:eastAsia="仿宋_GB2312" w:cs="微软雅黑"/>
          <w:color w:val="000000"/>
          <w:kern w:val="0"/>
          <w:sz w:val="32"/>
          <w:szCs w:val="32"/>
          <w:highlight w:val="none"/>
          <w:lang w:val="en-US" w:eastAsia="zh-CN"/>
        </w:rPr>
        <w:t>原因在于事业行政单位人员津补贴与绩效工资全面进行了提标。</w:t>
      </w:r>
    </w:p>
    <w:p>
      <w:pPr>
        <w:tabs>
          <w:tab w:val="left" w:pos="3396"/>
        </w:tabs>
        <w:spacing w:line="594" w:lineRule="exact"/>
        <w:ind w:firstLine="640" w:firstLineChars="200"/>
        <w:rPr>
          <w:rFonts w:eastAsia="楷体_GB2312"/>
          <w:kern w:val="0"/>
          <w:szCs w:val="32"/>
          <w:highlight w:val="none"/>
        </w:rPr>
      </w:pPr>
      <w:r>
        <w:rPr>
          <w:rFonts w:eastAsia="楷体_GB2312"/>
          <w:kern w:val="0"/>
          <w:szCs w:val="32"/>
          <w:highlight w:val="none"/>
        </w:rPr>
        <w:t>（二）项目支出</w:t>
      </w:r>
      <w:r>
        <w:rPr>
          <w:rFonts w:eastAsia="楷体_GB2312"/>
          <w:kern w:val="0"/>
          <w:szCs w:val="32"/>
          <w:highlight w:val="none"/>
        </w:rPr>
        <w:tab/>
      </w:r>
    </w:p>
    <w:p>
      <w:pPr>
        <w:spacing w:line="594" w:lineRule="exact"/>
        <w:ind w:firstLine="640" w:firstLineChars="200"/>
        <w:rPr>
          <w:color w:val="000000"/>
          <w:kern w:val="0"/>
          <w:szCs w:val="32"/>
          <w:highlight w:val="none"/>
        </w:rPr>
      </w:pPr>
      <w:r>
        <w:rPr>
          <w:rFonts w:hint="eastAsia"/>
          <w:color w:val="000000"/>
          <w:kern w:val="0"/>
          <w:szCs w:val="32"/>
          <w:highlight w:val="none"/>
          <w:lang w:val="en-US" w:eastAsia="zh-CN"/>
        </w:rPr>
        <w:t>2023</w:t>
      </w:r>
      <w:r>
        <w:rPr>
          <w:rFonts w:hint="eastAsia"/>
          <w:color w:val="000000"/>
          <w:kern w:val="0"/>
          <w:szCs w:val="32"/>
          <w:highlight w:val="none"/>
        </w:rPr>
        <w:t>年我镇项目预算总支出</w:t>
      </w:r>
      <w:r>
        <w:rPr>
          <w:rFonts w:hint="eastAsia" w:ascii="仿宋_GB2312" w:hAnsi="仿宋" w:eastAsia="仿宋_GB2312"/>
          <w:sz w:val="32"/>
          <w:szCs w:val="32"/>
          <w:highlight w:val="none"/>
          <w:lang w:val="en-US" w:eastAsia="zh-CN"/>
        </w:rPr>
        <w:t>1665.06</w:t>
      </w:r>
      <w:r>
        <w:rPr>
          <w:rFonts w:hint="eastAsia"/>
          <w:color w:val="000000"/>
          <w:kern w:val="0"/>
          <w:szCs w:val="32"/>
          <w:highlight w:val="none"/>
        </w:rPr>
        <w:t>万元，项目实际支出为</w:t>
      </w:r>
      <w:r>
        <w:rPr>
          <w:rFonts w:hint="eastAsia" w:ascii="仿宋_GB2312" w:hAnsi="仿宋" w:eastAsia="仿宋_GB2312"/>
          <w:sz w:val="32"/>
          <w:szCs w:val="32"/>
          <w:highlight w:val="none"/>
          <w:lang w:val="en-US" w:eastAsia="zh-CN"/>
        </w:rPr>
        <w:t>949.17</w:t>
      </w:r>
      <w:r>
        <w:rPr>
          <w:rFonts w:hint="eastAsia"/>
          <w:color w:val="000000"/>
          <w:kern w:val="0"/>
          <w:szCs w:val="32"/>
          <w:highlight w:val="none"/>
        </w:rPr>
        <w:t>万元，在一定程度保证了社会各项事业发展的资金，发展镇村经济、文化、民生各项事业；维护社会秩序，促进社会经济健康有序发展。</w:t>
      </w:r>
    </w:p>
    <w:p>
      <w:pPr>
        <w:spacing w:line="594" w:lineRule="exact"/>
        <w:ind w:firstLine="640" w:firstLineChars="200"/>
        <w:rPr>
          <w:rFonts w:eastAsia="黑体"/>
          <w:bCs/>
          <w:color w:val="000000"/>
          <w:kern w:val="0"/>
          <w:szCs w:val="32"/>
          <w:highlight w:val="none"/>
        </w:rPr>
      </w:pPr>
      <w:r>
        <w:rPr>
          <w:rFonts w:eastAsia="黑体"/>
          <w:bCs/>
          <w:color w:val="000000"/>
          <w:kern w:val="0"/>
          <w:szCs w:val="32"/>
          <w:highlight w:val="none"/>
        </w:rPr>
        <w:t>三、项目组织实施情况分析</w:t>
      </w:r>
    </w:p>
    <w:p>
      <w:pPr>
        <w:spacing w:line="594" w:lineRule="exact"/>
        <w:ind w:firstLine="640" w:firstLineChars="200"/>
        <w:rPr>
          <w:rFonts w:hint="eastAsia"/>
          <w:color w:val="000000"/>
          <w:kern w:val="0"/>
          <w:szCs w:val="32"/>
          <w:highlight w:val="none"/>
        </w:rPr>
      </w:pPr>
      <w:r>
        <w:rPr>
          <w:rFonts w:hint="eastAsia"/>
          <w:color w:val="000000"/>
          <w:kern w:val="0"/>
          <w:szCs w:val="32"/>
          <w:highlight w:val="none"/>
        </w:rPr>
        <w:t>我</w:t>
      </w:r>
      <w:r>
        <w:rPr>
          <w:rFonts w:hint="eastAsia"/>
          <w:color w:val="000000"/>
          <w:kern w:val="0"/>
          <w:szCs w:val="32"/>
          <w:highlight w:val="none"/>
          <w:lang w:eastAsia="zh-CN"/>
        </w:rPr>
        <w:t>镇</w:t>
      </w:r>
      <w:r>
        <w:rPr>
          <w:rFonts w:hint="eastAsia"/>
          <w:color w:val="000000"/>
          <w:kern w:val="0"/>
          <w:szCs w:val="32"/>
          <w:highlight w:val="none"/>
        </w:rPr>
        <w:t>建立了专项资金管理办法，严格遵循专款专用、独立核算的管理原则。专项资金的申报严格按照财政资金管理的要求进行，专项资金财政拨款到位后及时进行了项目开展和资金投入。建立专项资金台账，监督专项资金使用。</w:t>
      </w:r>
    </w:p>
    <w:p>
      <w:pPr>
        <w:spacing w:line="594" w:lineRule="exact"/>
        <w:ind w:firstLine="640" w:firstLineChars="200"/>
        <w:rPr>
          <w:rFonts w:eastAsia="黑体"/>
          <w:bCs/>
          <w:color w:val="000000"/>
          <w:kern w:val="0"/>
          <w:szCs w:val="32"/>
          <w:highlight w:val="none"/>
        </w:rPr>
      </w:pPr>
      <w:r>
        <w:rPr>
          <w:rFonts w:eastAsia="黑体"/>
          <w:bCs/>
          <w:color w:val="000000"/>
          <w:kern w:val="0"/>
          <w:szCs w:val="32"/>
          <w:highlight w:val="none"/>
        </w:rPr>
        <w:t>四、部门整体支出绩效情况分析</w:t>
      </w:r>
    </w:p>
    <w:p>
      <w:pPr>
        <w:wordWrap/>
        <w:adjustRightInd/>
        <w:snapToGrid/>
        <w:spacing w:line="54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color w:val="000000"/>
          <w:sz w:val="32"/>
          <w:szCs w:val="32"/>
          <w:highlight w:val="none"/>
          <w:lang w:val="en-US" w:eastAsia="zh-CN"/>
        </w:rPr>
        <w:t>2023</w:t>
      </w:r>
      <w:r>
        <w:rPr>
          <w:rFonts w:hint="eastAsia" w:ascii="仿宋_GB2312" w:eastAsia="仿宋_GB2312"/>
          <w:color w:val="000000"/>
          <w:sz w:val="32"/>
          <w:szCs w:val="32"/>
          <w:highlight w:val="none"/>
          <w:lang w:val="en-US" w:eastAsia="zh-CN"/>
        </w:rPr>
        <w:t>年，我镇根据年初工作规划及财政预算计划，积极履职、强化管理，较好的完成了年度工作目标。通过加强预算收支管理、不断建立健全内部管理制度、梳理内部管理流程，部门整体支出管理情况得到提升。我镇</w:t>
      </w:r>
      <w:r>
        <w:rPr>
          <w:rFonts w:hint="eastAsia" w:ascii="仿宋_GB2312"/>
          <w:color w:val="000000"/>
          <w:sz w:val="32"/>
          <w:szCs w:val="32"/>
          <w:highlight w:val="none"/>
          <w:lang w:val="en-US" w:eastAsia="zh-CN"/>
        </w:rPr>
        <w:t>2023</w:t>
      </w:r>
      <w:r>
        <w:rPr>
          <w:rFonts w:hint="eastAsia" w:ascii="仿宋_GB2312" w:eastAsia="仿宋_GB2312"/>
          <w:color w:val="000000"/>
          <w:sz w:val="32"/>
          <w:szCs w:val="32"/>
          <w:highlight w:val="none"/>
          <w:lang w:val="en-US" w:eastAsia="zh-CN"/>
        </w:rPr>
        <w:t>年度部门整体支出绩效评价自评得分为</w:t>
      </w:r>
      <w:r>
        <w:rPr>
          <w:rFonts w:hint="eastAsia" w:ascii="仿宋_GB2312"/>
          <w:color w:val="000000"/>
          <w:sz w:val="32"/>
          <w:szCs w:val="32"/>
          <w:highlight w:val="none"/>
          <w:lang w:val="en-US" w:eastAsia="zh-CN"/>
        </w:rPr>
        <w:t>100</w:t>
      </w:r>
      <w:r>
        <w:rPr>
          <w:rFonts w:hint="eastAsia" w:ascii="仿宋_GB2312" w:eastAsia="仿宋_GB2312"/>
          <w:color w:val="000000"/>
          <w:sz w:val="32"/>
          <w:szCs w:val="32"/>
          <w:highlight w:val="none"/>
          <w:lang w:val="en-US" w:eastAsia="zh-CN"/>
        </w:rPr>
        <w:t>分。</w:t>
      </w:r>
    </w:p>
    <w:p>
      <w:pPr>
        <w:wordWrap/>
        <w:adjustRightInd/>
        <w:snapToGrid/>
        <w:spacing w:line="54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预算执行管理方面，编制内在职人员控制率小于100%，支出总额控制在预算总额以内，"三公"经费总体控制较好</w:t>
      </w:r>
      <w:r>
        <w:rPr>
          <w:rFonts w:hint="eastAsia" w:ascii="仿宋_GB2312"/>
          <w:color w:val="000000"/>
          <w:sz w:val="32"/>
          <w:szCs w:val="32"/>
          <w:highlight w:val="none"/>
          <w:lang w:val="en-US" w:eastAsia="zh-CN"/>
        </w:rPr>
        <w:t>，</w:t>
      </w:r>
      <w:r>
        <w:rPr>
          <w:rFonts w:hint="eastAsia" w:ascii="仿宋_GB2312" w:eastAsia="仿宋_GB2312"/>
          <w:color w:val="000000"/>
          <w:sz w:val="32"/>
          <w:szCs w:val="32"/>
          <w:highlight w:val="none"/>
          <w:lang w:val="en-US" w:eastAsia="zh-CN"/>
        </w:rPr>
        <w:t>制度执行总体较为有效，但仍需进一步强化，资金使用管理需进一步加强。</w:t>
      </w:r>
    </w:p>
    <w:p>
      <w:pPr>
        <w:wordWrap/>
        <w:adjustRightInd/>
        <w:snapToGrid/>
        <w:spacing w:line="54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目标管理方面，内部财务管理制度健全，制定了工作目标与项目质量要求标准；专项资金专款专用，支出报销审批手续完备，资金拨付审批程序完整；全面完成了年初工作计划，重大事项或者项目的重大调整经过了集体研究，并经常开展财务检查和工作督查落实。</w:t>
      </w:r>
    </w:p>
    <w:p>
      <w:pPr>
        <w:wordWrap/>
        <w:adjustRightInd/>
        <w:snapToGrid/>
        <w:spacing w:line="540" w:lineRule="exact"/>
        <w:ind w:firstLine="640" w:firstLineChars="200"/>
        <w:textAlignment w:val="auto"/>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资产管理方面，建立了资产管理制度，</w:t>
      </w:r>
      <w:r>
        <w:rPr>
          <w:rFonts w:hint="eastAsia" w:ascii="仿宋_GB2312"/>
          <w:color w:val="000000"/>
          <w:sz w:val="32"/>
          <w:szCs w:val="32"/>
          <w:highlight w:val="none"/>
          <w:lang w:val="en-US" w:eastAsia="zh-CN"/>
        </w:rPr>
        <w:t>2023</w:t>
      </w:r>
      <w:r>
        <w:rPr>
          <w:rFonts w:hint="eastAsia" w:ascii="仿宋_GB2312" w:eastAsia="仿宋_GB2312"/>
          <w:color w:val="000000"/>
          <w:sz w:val="32"/>
          <w:szCs w:val="32"/>
          <w:highlight w:val="none"/>
          <w:lang w:val="en-US" w:eastAsia="zh-CN"/>
        </w:rPr>
        <w:t>年对机关资产进行了一次全面盘点清查，制作固定资产卡片由保管人员签字，并拍照存档，装订成册，资产管理落实到位。</w:t>
      </w:r>
    </w:p>
    <w:p>
      <w:pPr>
        <w:wordWrap/>
        <w:adjustRightInd/>
        <w:snapToGrid/>
        <w:spacing w:line="540" w:lineRule="exact"/>
        <w:ind w:firstLine="640" w:firstLineChars="200"/>
        <w:textAlignment w:val="auto"/>
        <w:rPr>
          <w:color w:val="000000"/>
          <w:kern w:val="0"/>
          <w:szCs w:val="32"/>
          <w:highlight w:val="none"/>
        </w:rPr>
      </w:pPr>
      <w:r>
        <w:rPr>
          <w:rFonts w:hint="eastAsia" w:ascii="仿宋_GB2312" w:eastAsia="仿宋_GB2312"/>
          <w:color w:val="000000"/>
          <w:sz w:val="32"/>
          <w:szCs w:val="32"/>
          <w:highlight w:val="none"/>
          <w:lang w:val="en-US" w:eastAsia="zh-CN"/>
        </w:rPr>
        <w:t>进一步优化支出结构，控制三公经费支出，压缩一般性支出，坚决抵制铺张浪费行为，降低政府运行成本，从财政自身做起，合理调度财政资金，保证政府机构正常的工作运转，实现财政资金利益最大化。</w:t>
      </w:r>
    </w:p>
    <w:p>
      <w:pPr>
        <w:spacing w:line="594" w:lineRule="exact"/>
        <w:ind w:firstLine="640" w:firstLineChars="200"/>
        <w:rPr>
          <w:kern w:val="0"/>
          <w:szCs w:val="32"/>
          <w:highlight w:val="none"/>
        </w:rPr>
      </w:pPr>
      <w:r>
        <w:rPr>
          <w:rFonts w:eastAsia="黑体"/>
          <w:bCs/>
          <w:kern w:val="0"/>
          <w:szCs w:val="32"/>
          <w:highlight w:val="none"/>
        </w:rPr>
        <w:t>五、绩效评价工作开展情况</w:t>
      </w:r>
    </w:p>
    <w:p>
      <w:pPr>
        <w:spacing w:line="594" w:lineRule="exact"/>
        <w:ind w:firstLine="640" w:firstLineChars="200"/>
        <w:rPr>
          <w:kern w:val="0"/>
          <w:szCs w:val="32"/>
          <w:highlight w:val="none"/>
        </w:rPr>
      </w:pPr>
      <w:r>
        <w:rPr>
          <w:kern w:val="0"/>
          <w:szCs w:val="32"/>
          <w:highlight w:val="none"/>
        </w:rPr>
        <w:t>（一）绩效评价目的。</w:t>
      </w:r>
    </w:p>
    <w:p>
      <w:pPr>
        <w:numPr>
          <w:ilvl w:val="0"/>
          <w:numId w:val="0"/>
        </w:numPr>
        <w:wordWrap/>
        <w:adjustRightInd/>
        <w:snapToGrid/>
        <w:spacing w:line="540" w:lineRule="exact"/>
        <w:ind w:leftChars="0" w:firstLine="640" w:firstLineChars="200"/>
        <w:textAlignment w:val="auto"/>
        <w:rPr>
          <w:kern w:val="0"/>
          <w:szCs w:val="32"/>
          <w:highlight w:val="none"/>
        </w:rPr>
      </w:pPr>
      <w:r>
        <w:rPr>
          <w:rFonts w:hint="eastAsia" w:ascii="仿宋_GB2312" w:eastAsia="仿宋_GB2312"/>
          <w:color w:val="auto"/>
          <w:sz w:val="32"/>
          <w:szCs w:val="32"/>
          <w:highlight w:val="none"/>
          <w:lang w:val="en-US" w:eastAsia="zh-CN"/>
        </w:rPr>
        <w:t>通过全面开展财政支出绩效评价，强化财政支出绩效理念，科学合理编制年度预算，切实发挥财政资金资源配置作用，逐步建立以科学理财为基础，以精细化管理为手段，以评价结果为导向，以实施过程为监管对象的预算管理体系。</w:t>
      </w:r>
    </w:p>
    <w:p>
      <w:pPr>
        <w:spacing w:line="594" w:lineRule="exact"/>
        <w:ind w:firstLine="640" w:firstLineChars="200"/>
        <w:rPr>
          <w:kern w:val="0"/>
          <w:szCs w:val="32"/>
          <w:highlight w:val="none"/>
        </w:rPr>
      </w:pPr>
      <w:r>
        <w:rPr>
          <w:kern w:val="0"/>
          <w:szCs w:val="32"/>
          <w:highlight w:val="none"/>
        </w:rPr>
        <w:t>（二）绩效评价工作过程，主要包括前期准备、组织实施和分析评价以及自评结果等内容。</w:t>
      </w:r>
    </w:p>
    <w:p>
      <w:pPr>
        <w:wordWrap/>
        <w:adjustRightInd/>
        <w:snapToGrid/>
        <w:spacing w:line="540" w:lineRule="exact"/>
        <w:ind w:firstLine="640" w:firstLineChars="20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根据《桃江县财政性资金绩效评价实施方案》及县财政局会议精神，由财政所牵头，其他部门配合，专门成立了绩效评价工作组，于</w:t>
      </w:r>
      <w:r>
        <w:rPr>
          <w:rFonts w:hint="eastAsia" w:ascii="仿宋_GB2312" w:hAnsi="Times New Roman" w:cs="Times New Roman"/>
          <w:color w:val="auto"/>
          <w:sz w:val="32"/>
          <w:szCs w:val="32"/>
          <w:highlight w:val="none"/>
          <w:lang w:eastAsia="zh-CN"/>
        </w:rPr>
        <w:t>2023</w:t>
      </w:r>
      <w:r>
        <w:rPr>
          <w:rFonts w:hint="eastAsia" w:ascii="仿宋_GB2312" w:hAnsi="Times New Roman" w:eastAsia="仿宋_GB2312" w:cs="Times New Roman"/>
          <w:color w:val="auto"/>
          <w:sz w:val="32"/>
          <w:szCs w:val="32"/>
          <w:highlight w:val="none"/>
        </w:rPr>
        <w:t>年7月下旬起开展了部门整体支出绩效评价工作，具体工作方法包括：</w:t>
      </w:r>
    </w:p>
    <w:p>
      <w:pPr>
        <w:numPr>
          <w:ilvl w:val="1"/>
          <w:numId w:val="1"/>
        </w:numPr>
        <w:wordWrap/>
        <w:adjustRightInd/>
        <w:snapToGrid/>
        <w:spacing w:line="540" w:lineRule="exact"/>
        <w:ind w:left="1050" w:hanging="63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查阅资料。查阅</w:t>
      </w:r>
      <w:r>
        <w:rPr>
          <w:rFonts w:hint="eastAsia" w:ascii="仿宋_GB2312" w:hAnsi="Times New Roman" w:cs="Times New Roman"/>
          <w:color w:val="auto"/>
          <w:sz w:val="32"/>
          <w:szCs w:val="32"/>
          <w:highlight w:val="none"/>
          <w:lang w:eastAsia="zh-CN"/>
        </w:rPr>
        <w:t>2023</w:t>
      </w:r>
      <w:r>
        <w:rPr>
          <w:rFonts w:hint="eastAsia" w:ascii="仿宋_GB2312" w:hAnsi="Times New Roman" w:eastAsia="仿宋_GB2312" w:cs="Times New Roman"/>
          <w:color w:val="auto"/>
          <w:sz w:val="32"/>
          <w:szCs w:val="32"/>
          <w:highlight w:val="none"/>
        </w:rPr>
        <w:t>年度预算安排、预算追加、经费支出、资金管理、资产管理等相关文件资料和财务凭证。</w:t>
      </w:r>
    </w:p>
    <w:p>
      <w:pPr>
        <w:numPr>
          <w:ilvl w:val="1"/>
          <w:numId w:val="1"/>
        </w:numPr>
        <w:wordWrap/>
        <w:adjustRightInd/>
        <w:snapToGrid/>
        <w:spacing w:line="540" w:lineRule="exact"/>
        <w:ind w:left="1050" w:hanging="63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核实数据。对</w:t>
      </w:r>
      <w:r>
        <w:rPr>
          <w:rFonts w:hint="eastAsia" w:ascii="仿宋_GB2312" w:hAnsi="Times New Roman" w:cs="Times New Roman"/>
          <w:color w:val="auto"/>
          <w:sz w:val="32"/>
          <w:szCs w:val="32"/>
          <w:highlight w:val="none"/>
          <w:lang w:eastAsia="zh-CN"/>
        </w:rPr>
        <w:t>2023</w:t>
      </w:r>
      <w:r>
        <w:rPr>
          <w:rFonts w:hint="eastAsia" w:ascii="仿宋_GB2312" w:hAnsi="Times New Roman" w:eastAsia="仿宋_GB2312" w:cs="Times New Roman"/>
          <w:color w:val="auto"/>
          <w:sz w:val="32"/>
          <w:szCs w:val="32"/>
          <w:highlight w:val="none"/>
        </w:rPr>
        <w:t>年度部门整体支出数据的准确性、真实性进行核实。</w:t>
      </w:r>
    </w:p>
    <w:p>
      <w:pPr>
        <w:numPr>
          <w:ilvl w:val="1"/>
          <w:numId w:val="1"/>
        </w:numPr>
        <w:wordWrap/>
        <w:adjustRightInd/>
        <w:snapToGrid/>
        <w:spacing w:line="540" w:lineRule="exact"/>
        <w:ind w:left="1050" w:hanging="63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对比分析。将</w:t>
      </w:r>
      <w:r>
        <w:rPr>
          <w:rFonts w:hint="eastAsia" w:ascii="仿宋_GB2312" w:hAnsi="Times New Roman" w:cs="Times New Roman"/>
          <w:color w:val="auto"/>
          <w:sz w:val="32"/>
          <w:szCs w:val="32"/>
          <w:highlight w:val="none"/>
          <w:lang w:val="en-US" w:eastAsia="zh-CN"/>
        </w:rPr>
        <w:t>2023</w:t>
      </w:r>
      <w:r>
        <w:rPr>
          <w:rFonts w:hint="eastAsia" w:ascii="仿宋_GB2312" w:hAnsi="Times New Roman" w:eastAsia="仿宋_GB2312" w:cs="Times New Roman"/>
          <w:color w:val="auto"/>
          <w:sz w:val="32"/>
          <w:szCs w:val="32"/>
          <w:highlight w:val="none"/>
        </w:rPr>
        <w:t>年度部门整体支出情况与20</w:t>
      </w:r>
      <w:r>
        <w:rPr>
          <w:rFonts w:hint="eastAsia" w:ascii="仿宋_GB2312" w:hAnsi="Times New Roman" w:cs="Times New Roman"/>
          <w:color w:val="auto"/>
          <w:sz w:val="32"/>
          <w:szCs w:val="32"/>
          <w:highlight w:val="none"/>
          <w:lang w:val="en-US" w:eastAsia="zh-CN"/>
        </w:rPr>
        <w:t>22</w:t>
      </w:r>
      <w:r>
        <w:rPr>
          <w:rFonts w:hint="eastAsia" w:ascii="仿宋_GB2312" w:hAnsi="Times New Roman" w:eastAsia="仿宋_GB2312" w:cs="Times New Roman"/>
          <w:color w:val="auto"/>
          <w:sz w:val="32"/>
          <w:szCs w:val="32"/>
          <w:highlight w:val="none"/>
        </w:rPr>
        <w:t>年度预算</w:t>
      </w:r>
      <w:r>
        <w:rPr>
          <w:rFonts w:hint="eastAsia" w:ascii="仿宋_GB2312" w:hAnsi="Times New Roman" w:eastAsia="仿宋_GB2312" w:cs="Times New Roman"/>
          <w:color w:val="auto"/>
          <w:sz w:val="32"/>
          <w:szCs w:val="32"/>
          <w:highlight w:val="none"/>
          <w:lang w:eastAsia="zh-CN"/>
        </w:rPr>
        <w:t>进行对比分析</w:t>
      </w:r>
    </w:p>
    <w:p>
      <w:pPr>
        <w:numPr>
          <w:ilvl w:val="1"/>
          <w:numId w:val="1"/>
        </w:numPr>
        <w:wordWrap/>
        <w:adjustRightInd/>
        <w:snapToGrid/>
        <w:spacing w:line="540" w:lineRule="exact"/>
        <w:ind w:left="1050" w:hanging="63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实地查看。现场查看各类实物资产。</w:t>
      </w:r>
    </w:p>
    <w:p>
      <w:pPr>
        <w:numPr>
          <w:ilvl w:val="1"/>
          <w:numId w:val="1"/>
        </w:numPr>
        <w:wordWrap/>
        <w:adjustRightInd/>
        <w:snapToGrid/>
        <w:spacing w:line="540" w:lineRule="exact"/>
        <w:ind w:left="1050" w:hanging="630"/>
        <w:textAlignment w:val="auto"/>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汇总归纳。根据取得的各项数据及文件资料，结合现场评价情况进行综合分析、归纳汇总，填写基础数据表、评价指标评分表。</w:t>
      </w:r>
    </w:p>
    <w:p>
      <w:pPr>
        <w:numPr>
          <w:ilvl w:val="1"/>
          <w:numId w:val="1"/>
        </w:numPr>
        <w:wordWrap/>
        <w:adjustRightInd/>
        <w:snapToGrid/>
        <w:spacing w:line="540" w:lineRule="exact"/>
        <w:ind w:left="1050" w:hanging="630"/>
        <w:textAlignment w:val="auto"/>
        <w:rPr>
          <w:kern w:val="0"/>
          <w:szCs w:val="32"/>
          <w:highlight w:val="none"/>
        </w:rPr>
      </w:pPr>
      <w:r>
        <w:rPr>
          <w:rFonts w:hint="eastAsia" w:ascii="仿宋_GB2312" w:hAnsi="Times New Roman" w:eastAsia="仿宋_GB2312" w:cs="Times New Roman"/>
          <w:color w:val="auto"/>
          <w:sz w:val="32"/>
          <w:szCs w:val="32"/>
          <w:highlight w:val="none"/>
        </w:rPr>
        <w:t>形成绩效评价报告</w:t>
      </w:r>
    </w:p>
    <w:p>
      <w:pPr>
        <w:spacing w:line="594" w:lineRule="exact"/>
        <w:ind w:firstLine="640" w:firstLineChars="200"/>
        <w:rPr>
          <w:rFonts w:eastAsia="黑体"/>
          <w:bCs/>
          <w:kern w:val="0"/>
          <w:szCs w:val="32"/>
          <w:highlight w:val="none"/>
        </w:rPr>
      </w:pPr>
      <w:r>
        <w:rPr>
          <w:rFonts w:eastAsia="黑体"/>
          <w:bCs/>
          <w:kern w:val="0"/>
          <w:szCs w:val="32"/>
          <w:highlight w:val="none"/>
        </w:rPr>
        <w:t>六、存在的主要问题</w:t>
      </w:r>
    </w:p>
    <w:p>
      <w:pPr>
        <w:spacing w:line="594" w:lineRule="exact"/>
        <w:ind w:firstLine="640" w:firstLineChars="200"/>
        <w:rPr>
          <w:rFonts w:hint="eastAsia" w:ascii="仿宋_GB2312"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预算编制的合理性有待提高。村管费、补助村民委员会等支出编制预算时纳入项目支出，决算时其经济科目在基本支出中核算</w:t>
      </w:r>
      <w:r>
        <w:rPr>
          <w:rFonts w:hint="eastAsia" w:ascii="仿宋_GB2312" w:hAnsi="宋体" w:eastAsia="仿宋_GB2312" w:cs="宋体"/>
          <w:kern w:val="0"/>
          <w:sz w:val="36"/>
          <w:szCs w:val="36"/>
          <w:highlight w:val="none"/>
        </w:rPr>
        <w:t>，</w:t>
      </w:r>
      <w:r>
        <w:rPr>
          <w:rFonts w:hint="eastAsia" w:ascii="仿宋_GB2312" w:hAnsi="Times New Roman" w:eastAsia="仿宋_GB2312" w:cs="Times New Roman"/>
          <w:kern w:val="2"/>
          <w:sz w:val="32"/>
          <w:szCs w:val="32"/>
          <w:highlight w:val="none"/>
          <w:lang w:val="en-US" w:eastAsia="zh-CN" w:bidi="ar-SA"/>
        </w:rPr>
        <w:t>预算编制工作需更细化，财政部门监督缺乏有效手段，部门之</w:t>
      </w:r>
      <w:r>
        <w:rPr>
          <w:rFonts w:hint="eastAsia" w:ascii="仿宋_GB2312" w:eastAsia="仿宋_GB2312" w:cs="Times New Roman"/>
          <w:kern w:val="2"/>
          <w:sz w:val="32"/>
          <w:szCs w:val="32"/>
          <w:highlight w:val="none"/>
          <w:lang w:val="en-US" w:eastAsia="zh-CN" w:bidi="ar-SA"/>
        </w:rPr>
        <w:t>间</w:t>
      </w:r>
      <w:r>
        <w:rPr>
          <w:rFonts w:hint="eastAsia" w:ascii="仿宋_GB2312" w:hAnsi="Times New Roman" w:eastAsia="仿宋_GB2312" w:cs="Times New Roman"/>
          <w:kern w:val="2"/>
          <w:sz w:val="32"/>
          <w:szCs w:val="32"/>
          <w:highlight w:val="none"/>
          <w:lang w:val="en-US" w:eastAsia="zh-CN" w:bidi="ar-SA"/>
        </w:rPr>
        <w:t>缺乏协调共管，使项目实施不顺畅，使资金到位实效性差，影响使用效益</w:t>
      </w:r>
      <w:r>
        <w:rPr>
          <w:rFonts w:hint="eastAsia" w:ascii="仿宋_GB2312" w:eastAsia="仿宋_GB2312" w:cs="Times New Roman"/>
          <w:kern w:val="2"/>
          <w:sz w:val="32"/>
          <w:szCs w:val="32"/>
          <w:highlight w:val="none"/>
          <w:lang w:val="en-US" w:eastAsia="zh-CN" w:bidi="ar-SA"/>
        </w:rPr>
        <w:t>。</w:t>
      </w:r>
    </w:p>
    <w:p>
      <w:pPr>
        <w:spacing w:line="594" w:lineRule="exact"/>
        <w:ind w:firstLine="640" w:firstLineChars="200"/>
        <w:rPr>
          <w:rFonts w:eastAsia="黑体"/>
          <w:bCs/>
          <w:kern w:val="0"/>
          <w:szCs w:val="32"/>
          <w:highlight w:val="none"/>
        </w:rPr>
      </w:pPr>
      <w:r>
        <w:rPr>
          <w:rFonts w:eastAsia="黑体"/>
          <w:bCs/>
          <w:kern w:val="0"/>
          <w:szCs w:val="32"/>
          <w:highlight w:val="none"/>
        </w:rPr>
        <w:t>七、改进措施和有关建议</w:t>
      </w:r>
    </w:p>
    <w:p>
      <w:pPr>
        <w:wordWrap/>
        <w:adjustRightInd/>
        <w:snapToGrid/>
        <w:spacing w:line="540" w:lineRule="exact"/>
        <w:textAlignment w:val="auto"/>
        <w:rPr>
          <w:rFonts w:hint="eastAsia" w:ascii="仿宋_GB2312" w:eastAsia="仿宋_GB2312"/>
          <w:sz w:val="32"/>
          <w:szCs w:val="32"/>
          <w:highlight w:val="none"/>
        </w:rPr>
      </w:pPr>
      <w:r>
        <w:rPr>
          <w:rFonts w:hint="eastAsia" w:ascii="仿宋_GB2312" w:eastAsia="仿宋_GB2312"/>
          <w:sz w:val="32"/>
          <w:szCs w:val="32"/>
          <w:highlight w:val="none"/>
        </w:rPr>
        <w:t>根据我镇部门整体支出管理工作的需要，拟实施改进措施如下：</w:t>
      </w:r>
    </w:p>
    <w:p>
      <w:pPr>
        <w:numPr>
          <w:ilvl w:val="0"/>
          <w:numId w:val="0"/>
        </w:numPr>
        <w:wordWrap/>
        <w:adjustRightInd/>
        <w:snapToGrid/>
        <w:spacing w:line="540" w:lineRule="exact"/>
        <w:ind w:leftChars="0" w:firstLine="640" w:firstLineChars="200"/>
        <w:textAlignment w:val="auto"/>
        <w:rPr>
          <w:rFonts w:hint="eastAsia" w:ascii="仿宋_GB2312" w:eastAsia="仿宋_GB2312"/>
          <w:sz w:val="32"/>
          <w:szCs w:val="32"/>
          <w:highlight w:val="none"/>
        </w:rPr>
      </w:pPr>
      <w:r>
        <w:rPr>
          <w:rFonts w:hint="eastAsia" w:ascii="仿宋_GB2312"/>
          <w:sz w:val="32"/>
          <w:szCs w:val="32"/>
          <w:highlight w:val="none"/>
          <w:lang w:val="en-US" w:eastAsia="zh-CN"/>
        </w:rPr>
        <w:t>1、</w:t>
      </w:r>
      <w:r>
        <w:rPr>
          <w:rFonts w:hint="eastAsia" w:ascii="仿宋_GB2312" w:eastAsia="仿宋_GB2312"/>
          <w:sz w:val="32"/>
          <w:szCs w:val="32"/>
          <w:highlight w:val="none"/>
        </w:rPr>
        <w:t>细化预算编制工作，严格按照预算编制的相关制度和要求做好预算的编制，进一步加强各站所的预算管理意识；全面编制预算项目，优先保障固定的、相对刚性的费用支出项目，尽量压缩变动的、有控制空间的费用项目，进一步提高预算编制的科学性、严谨性和可控性。</w:t>
      </w:r>
    </w:p>
    <w:p>
      <w:pPr>
        <w:numPr>
          <w:ilvl w:val="0"/>
          <w:numId w:val="0"/>
        </w:numPr>
        <w:wordWrap/>
        <w:adjustRightInd/>
        <w:snapToGrid/>
        <w:spacing w:line="540" w:lineRule="exact"/>
        <w:ind w:leftChars="0" w:firstLine="640" w:firstLineChars="200"/>
        <w:textAlignment w:val="auto"/>
        <w:rPr>
          <w:rFonts w:hint="eastAsia" w:ascii="仿宋_GB2312" w:eastAsia="仿宋_GB2312"/>
          <w:sz w:val="32"/>
          <w:szCs w:val="32"/>
          <w:highlight w:val="none"/>
        </w:rPr>
      </w:pPr>
      <w:r>
        <w:rPr>
          <w:rFonts w:hint="eastAsia" w:ascii="仿宋_GB2312"/>
          <w:sz w:val="32"/>
          <w:szCs w:val="32"/>
          <w:highlight w:val="none"/>
          <w:lang w:val="en-US" w:eastAsia="zh-CN"/>
        </w:rPr>
        <w:t>2、</w:t>
      </w:r>
      <w:r>
        <w:rPr>
          <w:rFonts w:hint="eastAsia" w:ascii="仿宋_GB2312" w:eastAsia="仿宋_GB2312"/>
          <w:sz w:val="32"/>
          <w:szCs w:val="32"/>
          <w:highlight w:val="none"/>
        </w:rPr>
        <w:t>建立健全财务管理制度及内部控制制度，积极探索在新形势下财政支出改革的特点，不断更新管理思路，在规范财政收支和控制经费增长上，创新管理手段，用新思路、新方法，改进完善财务管理方法。严格财务审核，在费用报账支付时，按照预算规定的费用项目和用途进行资金审核、列报支付、财务核算，杜绝超支现象的发生。</w:t>
      </w:r>
    </w:p>
    <w:p>
      <w:pPr>
        <w:numPr>
          <w:ilvl w:val="0"/>
          <w:numId w:val="0"/>
        </w:numPr>
        <w:wordWrap/>
        <w:adjustRightInd/>
        <w:snapToGrid/>
        <w:spacing w:line="540" w:lineRule="exact"/>
        <w:ind w:leftChars="0" w:firstLine="640" w:firstLineChars="200"/>
        <w:textAlignment w:val="auto"/>
        <w:rPr>
          <w:rFonts w:hint="eastAsia" w:ascii="仿宋_GB2312" w:eastAsia="仿宋_GB2312"/>
          <w:sz w:val="32"/>
          <w:szCs w:val="32"/>
          <w:highlight w:val="none"/>
        </w:rPr>
      </w:pPr>
      <w:r>
        <w:rPr>
          <w:rFonts w:hint="eastAsia" w:ascii="仿宋_GB2312"/>
          <w:sz w:val="32"/>
          <w:szCs w:val="32"/>
          <w:highlight w:val="none"/>
          <w:lang w:val="en-US" w:eastAsia="zh-CN"/>
        </w:rPr>
        <w:t>3、</w:t>
      </w:r>
      <w:r>
        <w:rPr>
          <w:rFonts w:hint="eastAsia" w:ascii="仿宋_GB2312" w:eastAsia="仿宋_GB2312"/>
          <w:sz w:val="32"/>
          <w:szCs w:val="32"/>
          <w:highlight w:val="none"/>
        </w:rPr>
        <w:t>按照财政支出绩效管理的要求，建立科学的财政资金效益考评体系，牢固树立行政成本意识，不断提高财政资金使用管理的水平和效率。</w:t>
      </w:r>
    </w:p>
    <w:p>
      <w:pPr>
        <w:numPr>
          <w:ilvl w:val="0"/>
          <w:numId w:val="0"/>
        </w:numPr>
        <w:wordWrap/>
        <w:adjustRightInd/>
        <w:snapToGrid/>
        <w:spacing w:line="540" w:lineRule="exact"/>
        <w:ind w:leftChars="0" w:firstLine="640" w:firstLineChars="200"/>
        <w:textAlignment w:val="auto"/>
        <w:rPr>
          <w:rFonts w:hint="eastAsia" w:ascii="仿宋_GB2312" w:eastAsia="仿宋_GB2312"/>
          <w:sz w:val="32"/>
          <w:szCs w:val="32"/>
          <w:highlight w:val="none"/>
        </w:rPr>
      </w:pPr>
    </w:p>
    <w:p>
      <w:pPr>
        <w:numPr>
          <w:ilvl w:val="0"/>
          <w:numId w:val="0"/>
        </w:numPr>
        <w:wordWrap/>
        <w:adjustRightInd/>
        <w:snapToGrid/>
        <w:spacing w:line="540" w:lineRule="exact"/>
        <w:ind w:leftChars="0" w:firstLine="640" w:firstLineChars="200"/>
        <w:textAlignment w:val="auto"/>
        <w:rPr>
          <w:rFonts w:hint="eastAsia" w:ascii="仿宋_GB2312" w:eastAsia="仿宋_GB2312"/>
          <w:sz w:val="32"/>
          <w:szCs w:val="32"/>
          <w:highlight w:val="none"/>
        </w:rPr>
      </w:pPr>
    </w:p>
    <w:p>
      <w:pPr>
        <w:numPr>
          <w:ilvl w:val="0"/>
          <w:numId w:val="0"/>
        </w:numPr>
        <w:wordWrap/>
        <w:adjustRightInd/>
        <w:snapToGrid/>
        <w:spacing w:line="540" w:lineRule="exact"/>
        <w:ind w:leftChars="0" w:firstLine="640" w:firstLineChars="200"/>
        <w:textAlignment w:val="auto"/>
        <w:rPr>
          <w:rFonts w:hint="eastAsia" w:ascii="仿宋_GB2312" w:eastAsia="仿宋_GB2312"/>
          <w:sz w:val="32"/>
          <w:szCs w:val="32"/>
          <w:highlight w:val="none"/>
        </w:rPr>
      </w:pPr>
    </w:p>
    <w:p>
      <w:pPr>
        <w:numPr>
          <w:ilvl w:val="0"/>
          <w:numId w:val="0"/>
        </w:numPr>
        <w:wordWrap/>
        <w:adjustRightInd/>
        <w:snapToGrid/>
        <w:spacing w:line="540" w:lineRule="exact"/>
        <w:ind w:leftChars="0" w:firstLine="640" w:firstLineChars="200"/>
        <w:textAlignment w:val="auto"/>
        <w:rPr>
          <w:rFonts w:hint="eastAsia" w:ascii="仿宋_GB2312" w:eastAsia="仿宋_GB2312"/>
          <w:sz w:val="32"/>
          <w:szCs w:val="32"/>
          <w:highlight w:val="none"/>
        </w:rPr>
      </w:pPr>
    </w:p>
    <w:p>
      <w:pPr>
        <w:numPr>
          <w:ilvl w:val="0"/>
          <w:numId w:val="0"/>
        </w:numPr>
        <w:wordWrap/>
        <w:adjustRightInd/>
        <w:snapToGrid/>
        <w:spacing w:line="540" w:lineRule="exact"/>
        <w:textAlignment w:val="auto"/>
        <w:rPr>
          <w:rFonts w:hint="eastAsia" w:ascii="仿宋_GB2312" w:eastAsia="仿宋_GB2312"/>
          <w:sz w:val="32"/>
          <w:szCs w:val="32"/>
          <w:highlight w:val="none"/>
        </w:rPr>
      </w:pPr>
    </w:p>
    <w:p>
      <w:pPr>
        <w:numPr>
          <w:ilvl w:val="0"/>
          <w:numId w:val="0"/>
        </w:numPr>
        <w:wordWrap/>
        <w:adjustRightInd/>
        <w:snapToGrid/>
        <w:spacing w:line="540" w:lineRule="exact"/>
        <w:ind w:leftChars="0" w:firstLine="640" w:firstLineChars="200"/>
        <w:textAlignment w:val="auto"/>
        <w:rPr>
          <w:rFonts w:hint="eastAsia" w:ascii="仿宋_GB2312" w:eastAsia="仿宋_GB2312"/>
          <w:sz w:val="32"/>
          <w:szCs w:val="32"/>
          <w:highlight w:val="none"/>
        </w:rPr>
      </w:pPr>
    </w:p>
    <w:p>
      <w:pPr>
        <w:spacing w:line="560" w:lineRule="exact"/>
        <w:jc w:val="left"/>
        <w:rPr>
          <w:rFonts w:eastAsia="黑体"/>
          <w:bCs/>
          <w:kern w:val="0"/>
          <w:szCs w:val="32"/>
          <w:highlight w:val="none"/>
        </w:rPr>
      </w:pPr>
    </w:p>
    <w:p>
      <w:pPr>
        <w:numPr>
          <w:ilvl w:val="0"/>
          <w:numId w:val="0"/>
        </w:numPr>
        <w:wordWrap/>
        <w:adjustRightInd/>
        <w:snapToGrid/>
        <w:spacing w:line="540" w:lineRule="exact"/>
        <w:ind w:leftChars="0" w:firstLine="640" w:firstLineChars="200"/>
        <w:jc w:val="right"/>
        <w:textAlignment w:val="auto"/>
        <w:rPr>
          <w:rFonts w:hint="eastAsia" w:ascii="仿宋_GB2312" w:hAnsi="Times New Roman" w:cs="Times New Roman"/>
          <w:sz w:val="32"/>
          <w:szCs w:val="32"/>
          <w:highlight w:val="none"/>
          <w:lang w:val="en-US" w:eastAsia="zh-CN"/>
        </w:rPr>
      </w:pPr>
      <w:r>
        <w:rPr>
          <w:rFonts w:hint="eastAsia" w:ascii="仿宋_GB2312" w:hAnsi="Times New Roman" w:cs="Times New Roman"/>
          <w:sz w:val="32"/>
          <w:szCs w:val="32"/>
          <w:highlight w:val="none"/>
          <w:lang w:val="en-US" w:eastAsia="zh-CN"/>
        </w:rPr>
        <w:t xml:space="preserve">   桃江县桃花江镇人民政府</w:t>
      </w:r>
    </w:p>
    <w:p>
      <w:pPr>
        <w:numPr>
          <w:ilvl w:val="0"/>
          <w:numId w:val="0"/>
        </w:numPr>
        <w:wordWrap/>
        <w:adjustRightInd/>
        <w:snapToGrid/>
        <w:spacing w:line="540" w:lineRule="exact"/>
        <w:ind w:leftChars="0" w:firstLine="640" w:firstLineChars="200"/>
        <w:jc w:val="center"/>
        <w:textAlignment w:val="auto"/>
        <w:rPr>
          <w:rFonts w:hint="default" w:ascii="仿宋_GB2312" w:hAnsi="Times New Roman" w:cs="Times New Roman"/>
          <w:sz w:val="32"/>
          <w:szCs w:val="32"/>
          <w:highlight w:val="none"/>
          <w:lang w:val="en-US" w:eastAsia="zh-CN"/>
        </w:rPr>
      </w:pPr>
      <w:r>
        <w:rPr>
          <w:rFonts w:hint="eastAsia" w:ascii="仿宋_GB2312" w:hAnsi="Times New Roman" w:cs="Times New Roman"/>
          <w:sz w:val="32"/>
          <w:szCs w:val="32"/>
          <w:highlight w:val="none"/>
          <w:lang w:val="en-US" w:eastAsia="zh-CN"/>
        </w:rPr>
        <w:t xml:space="preserve">                          2024年4月20日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43D4F"/>
    <w:multiLevelType w:val="multilevel"/>
    <w:tmpl w:val="57843D4F"/>
    <w:lvl w:ilvl="0" w:tentative="0">
      <w:start w:val="1"/>
      <w:numFmt w:val="decimal"/>
      <w:lvlText w:val="%1、"/>
      <w:lvlJc w:val="left"/>
      <w:pPr>
        <w:tabs>
          <w:tab w:val="left" w:pos="360"/>
        </w:tabs>
        <w:ind w:left="360" w:hanging="360"/>
      </w:pPr>
      <w:rPr>
        <w:rFonts w:hint="default"/>
      </w:rPr>
    </w:lvl>
    <w:lvl w:ilvl="1" w:tentative="0">
      <w:start w:val="1"/>
      <w:numFmt w:val="decimalEnclosedCircle"/>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4ZTlkMTYwOTZjZWFjNTc2MjVkMWRlYzI2OTY4YzgifQ=="/>
  </w:docVars>
  <w:rsids>
    <w:rsidRoot w:val="00000000"/>
    <w:rsid w:val="09401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2024-04-30T02:53:42Z</dcterms:created>
  <dc:creator>Administrator</dc:creator>
  <cp:lastModifiedBy>微信用户</cp:lastModifiedBy>
  <dcterms:modified xsi:type="dcterms:W3CDTF">2024-04-30T02:54:13Z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613AE8045CBC4F419BA4B844F85C8325_12</vt:lpwstr>
  </property>
</Properties>
</file>