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53D6">
      <w:pPr>
        <w:pStyle w:val="4"/>
      </w:pPr>
    </w:p>
    <w:p w14:paraId="20E1009A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039EB6EB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7A6FE70C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2656CFC2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3FD87B0B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kern w:val="0"/>
          <w:sz w:val="44"/>
          <w:szCs w:val="44"/>
        </w:rPr>
        <w:t>年度</w:t>
      </w:r>
      <w:r>
        <w:rPr>
          <w:rFonts w:eastAsia="方正小标宋简体"/>
          <w:kern w:val="0"/>
          <w:sz w:val="44"/>
          <w:szCs w:val="44"/>
        </w:rPr>
        <w:t>部门整体支出绩效报告</w:t>
      </w:r>
      <w:r>
        <w:rPr>
          <w:rFonts w:eastAsia="方正小标宋简体"/>
          <w:kern w:val="0"/>
          <w:sz w:val="44"/>
          <w:szCs w:val="44"/>
        </w:rPr>
        <w:br w:type="textWrapping"/>
      </w:r>
    </w:p>
    <w:p w14:paraId="5EE93555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D26BE4F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819C04E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2D7E9E84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A004FA3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桃江县城市管理和综合执法局</w:t>
      </w:r>
    </w:p>
    <w:p w14:paraId="2F57776F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</w:p>
    <w:p w14:paraId="3884C4FC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06FDBD2E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3B6496A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D325D42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4894264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68CFEAE2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C8AF413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68D89E1B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BE1559E">
      <w:pPr>
        <w:widowControl/>
        <w:spacing w:line="594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</w:t>
      </w:r>
    </w:p>
    <w:p w14:paraId="65654961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</w:p>
    <w:p w14:paraId="15DAA890">
      <w:pPr>
        <w:widowControl/>
        <w:spacing w:line="594" w:lineRule="exact"/>
        <w:ind w:firstLine="640" w:firstLineChars="200"/>
        <w:rPr>
          <w:rFonts w:hint="eastAsia" w:eastAsia="黑体"/>
          <w:bCs/>
          <w:kern w:val="0"/>
          <w:szCs w:val="32"/>
          <w:lang w:eastAsia="zh-CN"/>
        </w:rPr>
      </w:pPr>
    </w:p>
    <w:p w14:paraId="359E5864">
      <w:pPr>
        <w:widowControl/>
        <w:spacing w:line="594" w:lineRule="exact"/>
        <w:ind w:firstLine="3200" w:firstLineChars="10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录</w:t>
      </w:r>
    </w:p>
    <w:p w14:paraId="75269BB5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一、部门概况</w:t>
      </w:r>
    </w:p>
    <w:p w14:paraId="403F1EF8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（一）部门基本情况</w:t>
      </w:r>
    </w:p>
    <w:p w14:paraId="5F9A6FE3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（二）部门整体支出规模</w:t>
      </w:r>
    </w:p>
    <w:p w14:paraId="226D6BFB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（三）部门整体支出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使用方向和主要内容、涉及范围</w:t>
      </w:r>
    </w:p>
    <w:p w14:paraId="5C3B0E12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</w:rPr>
        <w:t>）绩效目标设立情况</w:t>
      </w:r>
    </w:p>
    <w:p w14:paraId="24C12E15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二、部门整体支出管理及使用情况分析</w:t>
      </w:r>
    </w:p>
    <w:p w14:paraId="4F89F47C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（一）基本支出</w:t>
      </w:r>
    </w:p>
    <w:p w14:paraId="15E1DFBE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（二）项目支出</w:t>
      </w:r>
    </w:p>
    <w:p w14:paraId="63DC80D3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1.项目资金安排落实、总投入等情况分析。</w:t>
      </w:r>
    </w:p>
    <w:p w14:paraId="63F107B9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项目资金（财政资金）实际使用情况分析。</w:t>
      </w:r>
    </w:p>
    <w:p w14:paraId="23E6DEAB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项目资金管理情况分析。</w:t>
      </w:r>
    </w:p>
    <w:p w14:paraId="5F9FC57F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三、项目组织实施情况分析</w:t>
      </w:r>
    </w:p>
    <w:p w14:paraId="2D3910FF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（一）项目组织情况分析</w:t>
      </w:r>
    </w:p>
    <w:p w14:paraId="18D4BDA8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（二）项目管理情况分析</w:t>
      </w:r>
    </w:p>
    <w:p w14:paraId="18E62F73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四、部门整体支出绩效情况分析</w:t>
      </w:r>
    </w:p>
    <w:p w14:paraId="0ECD43DF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经济性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分析</w:t>
      </w:r>
    </w:p>
    <w:p w14:paraId="6939F4C6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效率性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分析</w:t>
      </w:r>
    </w:p>
    <w:p w14:paraId="7F6556E8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五、绩效评价工作开展情况</w:t>
      </w:r>
    </w:p>
    <w:p w14:paraId="729BF6D1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（一）绩效评价目的。</w:t>
      </w:r>
    </w:p>
    <w:p w14:paraId="24F9A672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（二）绩效评价工作过程，</w:t>
      </w:r>
    </w:p>
    <w:p w14:paraId="7B975F2F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六、存在的主要问题</w:t>
      </w:r>
    </w:p>
    <w:p w14:paraId="62C8AF5C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2D506AA6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一、部门概况</w:t>
      </w:r>
    </w:p>
    <w:p w14:paraId="111B01AC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（一）部门基本情况</w:t>
      </w:r>
    </w:p>
    <w:p w14:paraId="2D44C5BD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1、机构设置</w:t>
      </w:r>
    </w:p>
    <w:p w14:paraId="4B3A55C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全额拨款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单位1个：桃江县城市管理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和综合</w:t>
      </w:r>
      <w:r>
        <w:rPr>
          <w:rFonts w:hint="eastAsia" w:ascii="仿宋" w:hAnsi="仿宋" w:eastAsia="仿宋" w:cs="仿宋"/>
          <w:sz w:val="32"/>
          <w:szCs w:val="32"/>
        </w:rPr>
        <w:t>执法局</w:t>
      </w:r>
    </w:p>
    <w:p w14:paraId="2A361F7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财政补助事业单位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个：桃江县路灯管理所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、桃江县城市管理综合执法大队、</w:t>
      </w:r>
      <w:r>
        <w:rPr>
          <w:rFonts w:hint="eastAsia" w:ascii="仿宋" w:hAnsi="仿宋" w:eastAsia="仿宋" w:cs="仿宋"/>
          <w:sz w:val="32"/>
          <w:szCs w:val="32"/>
        </w:rPr>
        <w:t>桃江县市政设施管理站、桃江县环境卫生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服务中心。其中</w:t>
      </w:r>
      <w:r>
        <w:rPr>
          <w:rFonts w:hint="eastAsia" w:ascii="仿宋" w:hAnsi="仿宋" w:eastAsia="仿宋" w:cs="仿宋"/>
          <w:sz w:val="32"/>
          <w:szCs w:val="32"/>
        </w:rPr>
        <w:t>桃江县市政设施管理站、桃江县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环境卫生服务中心、桃江县路灯管理所</w:t>
      </w:r>
      <w:r>
        <w:rPr>
          <w:rFonts w:hint="eastAsia" w:ascii="仿宋" w:hAnsi="仿宋" w:eastAsia="仿宋" w:cs="仿宋"/>
          <w:sz w:val="32"/>
          <w:szCs w:val="32"/>
        </w:rPr>
        <w:t>单独填报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预算、</w:t>
      </w:r>
      <w:r>
        <w:rPr>
          <w:rFonts w:hint="eastAsia" w:ascii="仿宋" w:hAnsi="仿宋" w:eastAsia="仿宋" w:cs="仿宋"/>
          <w:sz w:val="32"/>
          <w:szCs w:val="32"/>
        </w:rPr>
        <w:t>决算报表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，未在本整体支出绩效评价报告中反映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D7F4F05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我局下设办公室、人事教育股、计划财务股、政策法规股、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行政审批服务</w:t>
      </w:r>
      <w:r>
        <w:rPr>
          <w:rFonts w:hint="eastAsia" w:ascii="仿宋" w:hAnsi="仿宋" w:eastAsia="仿宋" w:cs="仿宋"/>
          <w:sz w:val="32"/>
          <w:szCs w:val="32"/>
        </w:rPr>
        <w:t>股、督查股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个股室。</w:t>
      </w:r>
    </w:p>
    <w:p w14:paraId="0857D35A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2、人员构成</w:t>
      </w:r>
    </w:p>
    <w:p w14:paraId="1AFD131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全额拨款行政人员：年初在职人数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5人，年末7人；</w:t>
      </w:r>
    </w:p>
    <w:p w14:paraId="50FE474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财政补助</w:t>
      </w:r>
      <w:r>
        <w:rPr>
          <w:rFonts w:hint="eastAsia" w:ascii="仿宋" w:hAnsi="仿宋" w:eastAsia="仿宋" w:cs="仿宋"/>
          <w:sz w:val="32"/>
          <w:szCs w:val="32"/>
        </w:rPr>
        <w:t>事业人员：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在职人数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</w:rPr>
        <w:t>退休人员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2BC797F9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部门主要工作职责</w:t>
      </w:r>
    </w:p>
    <w:p w14:paraId="1BB2FCEF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贯彻执行国家和地方关于城市管理法律、法规、规章和方针、政策。</w:t>
      </w:r>
    </w:p>
    <w:p w14:paraId="1C43AD77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研究制定全县城市管理发展规划、年度计划，起草全县城市管理规范性文件及相关的政策、措施，经批准后组织实施；负责全县城市综合管理的组织、指挥、检查、监督、调度、协调和宣传工作。</w:t>
      </w:r>
    </w:p>
    <w:p w14:paraId="6C64F6FC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负责市容环境卫生、城市建筑垃圾、城市照明、城市绿化、城市道路、城市市政公用设施的监督和行政处罚权利；负责行使《桃江县城市管理相对集中行政处罚权实施办法》（桃政办发【2015】48号）规定的环境保护、城乡规划、工商行政管理方面的行政处罚和县人民政府授权的其他行政处罚。</w:t>
      </w:r>
    </w:p>
    <w:p w14:paraId="54C2F85F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负责路灯照明设施、市政设施、环卫设施的维护管理工作；负责县城洗车场、渣土消纳场、弃土场的管理工作。</w:t>
      </w:r>
    </w:p>
    <w:p w14:paraId="4FF54C3E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⑤、</w:t>
      </w:r>
      <w:r>
        <w:rPr>
          <w:rFonts w:hint="eastAsia" w:ascii="仿宋" w:hAnsi="仿宋" w:eastAsia="仿宋" w:cs="仿宋"/>
          <w:sz w:val="32"/>
          <w:szCs w:val="32"/>
        </w:rPr>
        <w:t>负责依法组织征收渣土调配费、城市生活垃圾处理费、异地绿化费、城市道路临时占用费和挖掘修复费。</w:t>
      </w:r>
    </w:p>
    <w:p w14:paraId="38CB4094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</w:rPr>
        <w:t>参与市政、环卫、路灯等城市基础设施建设项目的可行性研究、方案审查和工程竣工备案及城乡规划审查、实施和验收工作。</w:t>
      </w:r>
    </w:p>
    <w:p w14:paraId="000E0040">
      <w:pPr>
        <w:tabs>
          <w:tab w:val="left" w:pos="60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⑦</w:t>
      </w:r>
      <w:r>
        <w:rPr>
          <w:rFonts w:hint="eastAsia" w:ascii="仿宋" w:hAnsi="仿宋" w:eastAsia="仿宋" w:cs="仿宋"/>
          <w:sz w:val="32"/>
          <w:szCs w:val="32"/>
        </w:rPr>
        <w:t>负责县城规划区内的查违控违拆违监督管理工作，对违法建设进行制止和强制拆除；组织建设项目工程规划竣工验收。</w:t>
      </w:r>
    </w:p>
    <w:p w14:paraId="09952F83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⑧</w:t>
      </w:r>
      <w:r>
        <w:rPr>
          <w:rFonts w:hint="eastAsia" w:ascii="仿宋" w:hAnsi="仿宋" w:eastAsia="仿宋" w:cs="仿宋"/>
          <w:sz w:val="32"/>
          <w:szCs w:val="32"/>
        </w:rPr>
        <w:t>承办县委、县人民政府交办的其他事项。</w:t>
      </w:r>
    </w:p>
    <w:p w14:paraId="0A083C94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）部门整体支出规模</w:t>
      </w:r>
    </w:p>
    <w:p w14:paraId="24516EFF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1、收入</w:t>
      </w:r>
    </w:p>
    <w:p w14:paraId="0E2393DA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财政资金年初预算数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1697.57万元，预算调整数2702.93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年末决算数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2702.93万元。</w:t>
      </w:r>
    </w:p>
    <w:p w14:paraId="174F705C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2、支出</w:t>
      </w:r>
    </w:p>
    <w:p w14:paraId="33DE7B52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1384.77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1318.16万元，合计2702.93万元。</w:t>
      </w:r>
    </w:p>
    <w:p w14:paraId="39093E1C">
      <w:pPr>
        <w:widowControl/>
        <w:numPr>
          <w:ilvl w:val="0"/>
          <w:numId w:val="1"/>
        </w:numPr>
        <w:spacing w:line="560" w:lineRule="exact"/>
        <w:ind w:left="6" w:leftChars="0" w:firstLine="640" w:firstLineChars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部门整体支出使用方向及主要内容、涉及的范围</w:t>
      </w:r>
    </w:p>
    <w:p w14:paraId="61D38849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1384.77万元，主要用于人员工资福利支出及一般公务支出，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包含工资福利支出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1222.04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商品服务支出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161.40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万元、对个人和家庭的补助支出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“三公经费”支出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2022无大幅度的人员调整，2022年基本支出与2021年持平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36B3D2">
      <w:pPr>
        <w:tabs>
          <w:tab w:val="left" w:pos="5175"/>
        </w:tabs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支出总投入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1318.16万元，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主要用于桃江县城市管理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和综合执法局</w:t>
      </w:r>
      <w:r>
        <w:rPr>
          <w:rFonts w:hint="eastAsia" w:ascii="仿宋" w:hAnsi="仿宋" w:eastAsia="仿宋" w:cs="仿宋"/>
          <w:kern w:val="0"/>
          <w:sz w:val="32"/>
          <w:szCs w:val="32"/>
        </w:rPr>
        <w:t>及下属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城市管理综合执法大队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开展城市管理事务而发生的各项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15D1DE56">
      <w:pPr>
        <w:numPr>
          <w:ilvl w:val="0"/>
          <w:numId w:val="0"/>
        </w:numPr>
        <w:tabs>
          <w:tab w:val="left" w:pos="5175"/>
        </w:tabs>
        <w:spacing w:line="560" w:lineRule="exact"/>
        <w:ind w:left="646" w:left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（四）绩效目标设立情况</w:t>
      </w:r>
    </w:p>
    <w:p w14:paraId="2CACA7D6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年度目标：一确保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名干职工及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名退休职工的工资福利发放到位，按时缴纳社会保障费用；二保质保量完成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本职工作；三完成七项基础工作及县委县政府的的重点工作考核任务；四是加强城市管理，创建卫生县城。</w:t>
      </w:r>
    </w:p>
    <w:p w14:paraId="5CBA70C6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中长期目标：深化城市精细化管理，逐步推进城市管理精细化向网格化、信息化纵深发展，稳步提升城市管理和服务水平。</w:t>
      </w:r>
    </w:p>
    <w:p w14:paraId="558AC724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二、部门整体支出管理及使用情况分析</w:t>
      </w:r>
    </w:p>
    <w:p w14:paraId="6167E90C"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（一）基本支出</w:t>
      </w:r>
    </w:p>
    <w:p w14:paraId="335F7BBA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主要用于人员工资福利支出及一般公务支出，我局制定了《财务管理制度》《财务审批内控制度》，要求首先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应当保证本部门履行基本职能所需要的人员经费和公用经费，对其他弹性支出和专项支出应当严格控制。 人员支出必须严格按照国家政策规定和标准，逐项核定，没有政策规定的项目，不得列支。日常公用支出预算的编制应本着节约、从俭的原则编报。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1222.04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商品服务支出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161.40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万元、对个人和家庭的补助支出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2022年无公务接待费用，主要是我局严格落实中央八项规定，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公务接待支出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按《桃江县党政机关国内公务接待管理实施细则（桃办公发[2020]3号）文件相关规定严格执行。</w:t>
      </w:r>
    </w:p>
    <w:p w14:paraId="33E9D45F"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（二）项目支出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ab/>
      </w:r>
    </w:p>
    <w:p w14:paraId="3A4599D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1.项目资金安排落实、总投入等情况分析。</w:t>
      </w:r>
    </w:p>
    <w:p w14:paraId="521B89E6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支出财政资金年初预算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316.3万元，年中追加1001.86万元，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总投入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1318.16万元，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主要项目如下：</w:t>
      </w:r>
    </w:p>
    <w:p w14:paraId="743247A1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城管协管专项经费：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119.63万元</w:t>
      </w:r>
    </w:p>
    <w:p w14:paraId="3F1429E5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专项整治经费：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140万元</w:t>
      </w:r>
    </w:p>
    <w:p w14:paraId="717BEC0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城管执法工作专项经费：126.3万元 </w:t>
      </w:r>
    </w:p>
    <w:p w14:paraId="127F2AF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2021年非税体制结算：138.88万元</w:t>
      </w:r>
    </w:p>
    <w:p w14:paraId="320E0F71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资产处置收入：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103.22万元</w:t>
      </w:r>
    </w:p>
    <w:p w14:paraId="44AC44C4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2022年市政、绿化维护费用：280万</w:t>
      </w:r>
    </w:p>
    <w:p w14:paraId="6E8A32FD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三级联动办整治违法建设工作经费：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100万元</w:t>
      </w:r>
    </w:p>
    <w:p w14:paraId="3A8BDD77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2022年市容市貌专项整治建设经费：100万元</w:t>
      </w:r>
    </w:p>
    <w:p w14:paraId="135EE00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机关运行经费：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70万元</w:t>
      </w:r>
    </w:p>
    <w:p w14:paraId="72AA098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其他：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140.13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</w:t>
      </w:r>
    </w:p>
    <w:p w14:paraId="29365B27">
      <w:pPr>
        <w:pStyle w:val="2"/>
        <w:numPr>
          <w:ilvl w:val="0"/>
          <w:numId w:val="2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项目资金（财政资金）实际使用情况分析。</w:t>
      </w:r>
    </w:p>
    <w:p w14:paraId="250DA6F9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2022年项目资金共计1318.16万元，其中商品和服务支出1318.16万元。</w:t>
      </w:r>
    </w:p>
    <w:p w14:paraId="09D5E1D5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项目资金管理情况分析。</w:t>
      </w:r>
    </w:p>
    <w:p w14:paraId="1748A2D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按照我局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《财务管理制度》《项目资金管理办法》规定项目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资金支出应紧密结合单位当年主要职责任务、工作目标及事业发展设想，并充分考虑单位财力，本着实事求是，从严从紧、区别轻重缓急，急事优先的原则按序安排支出事项。</w:t>
      </w:r>
    </w:p>
    <w:p w14:paraId="3A4804BC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三、项目组织实施情况分析</w:t>
      </w:r>
    </w:p>
    <w:p w14:paraId="1A4989A1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（一）项目组织情况分析</w:t>
      </w:r>
    </w:p>
    <w:p w14:paraId="121F7490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我局项目为大多常年支出项目，其中非税体制结算根据上年度非税完成情况下拨预算指标，主要用于弥补单位经费不足。城管协管经费、专项整治经费为每年固定支出。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市政、绿化维护费用、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三级联动办整治违法建设工作经费、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市容市貌专项整治建设经费等为划拨经费，划拨给各二级机构完成各项目。</w:t>
      </w:r>
    </w:p>
    <w:p w14:paraId="0EE30519">
      <w:pPr>
        <w:widowControl/>
        <w:numPr>
          <w:ilvl w:val="0"/>
          <w:numId w:val="0"/>
        </w:numPr>
        <w:spacing w:line="594" w:lineRule="exact"/>
        <w:ind w:left="646"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项目管理情况分析</w:t>
      </w:r>
    </w:p>
    <w:p w14:paraId="1587F198">
      <w:pPr>
        <w:pStyle w:val="5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为加强项目（专项）资金管理，我局制定了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《专项资金管理办法》，对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县财政局下达的单位部门预算、城维费预算中的具有指定项目和用途的资金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加强管理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，项目从立项、执行、完工到运营的全过程接受县城市管理行政执法局及财政、审计等部门的管理和监督。</w:t>
      </w:r>
    </w:p>
    <w:p w14:paraId="0D9265A4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四、部门整体支出绩效情况分析</w:t>
      </w:r>
    </w:p>
    <w:p w14:paraId="3C108BE5">
      <w:pPr>
        <w:widowControl/>
        <w:spacing w:line="594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（一）经济性分析</w:t>
      </w:r>
    </w:p>
    <w:p w14:paraId="3429907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1222.04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商品服务支出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161.40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万元、对个人和家庭的补助支出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。局行政人员新增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2人、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综合执法大队人员在编人员调出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，人员数并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没有大的变动，支出与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2020年基本持平，2022年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三公经费决算数为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0万元。公务接待费用低主要由于我局严格落实中央八项规定，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公务接待支出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按《桃江县党政机关国内公务接待管理实施细则（桃办公发[2020]3号）文件相关规定严格执行。</w:t>
      </w:r>
    </w:p>
    <w:p w14:paraId="1A1C876A">
      <w:pPr>
        <w:widowControl/>
        <w:numPr>
          <w:ilvl w:val="0"/>
          <w:numId w:val="0"/>
        </w:numPr>
        <w:spacing w:line="594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（二）效率性分析</w:t>
      </w:r>
    </w:p>
    <w:p w14:paraId="5C65B4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违建治理取得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突破</w:t>
      </w:r>
    </w:p>
    <w:p w14:paraId="5F312C4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（1）出台了新方案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。今年以来，我局代拟并经县政府审定，出台了</w:t>
      </w:r>
      <w:r>
        <w:rPr>
          <w:rFonts w:hint="eastAsia" w:ascii="仿宋" w:hAnsi="仿宋" w:eastAsia="仿宋" w:cs="仿宋"/>
          <w:sz w:val="32"/>
          <w:szCs w:val="32"/>
        </w:rPr>
        <w:t>《桃江县县城规划区整治违法建设三年专项行动方案（2022-2024）》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B185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严厉打击新发违建，确保年度新发违建零增长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共开展大型拆违行动35次，中、小型拆违行动78次，拆除各类违法建设237处，拆除面积26894.71平方米，其中拆除存量违建197处，拆除面积24065.75平方米，拆除新发违建40处，拆除2828.96平方米。清除抢种200多株，楼顶圈地占用整治152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7F24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（3）助力全县重点项目推进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。今年配合</w:t>
      </w:r>
      <w:r>
        <w:rPr>
          <w:rFonts w:hint="eastAsia" w:ascii="仿宋" w:hAnsi="仿宋" w:eastAsia="仿宋" w:cs="仿宋"/>
          <w:sz w:val="32"/>
          <w:szCs w:val="32"/>
        </w:rPr>
        <w:t>县工人文化宫、8个老旧小区改造等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多个县城重点项目违法建设的查处与拆除，大力助推重点项目推进。</w:t>
      </w:r>
    </w:p>
    <w:p w14:paraId="029BBB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多措并举抓市容市貌，提升城市品位</w:t>
      </w:r>
    </w:p>
    <w:p w14:paraId="06D4A4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抓实市容秩序整治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采取文明劝导和严格执法双管齐下的方式，开展市容市貌专项整治行动4次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持续推进专项整治进程。截至目前，共劝导、查处流动商贩占道经营15777起；规范越门经营门店13456家；查处规范电动车违规停放635辆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拆除违规设置的帐篷64个、横幅385条；查处非法小广告和“牛皮癣”行为91起；收缴违规发放小广告1400余份；审批户外广告390起，拆除存在安全隐患、违规设置的广告招牌56块；登记保全各类经营物品364件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建立了违停管控平台系统，查处违停车辆38288台次（其中，已审核20092台，驶离15375台）。</w:t>
      </w:r>
    </w:p>
    <w:p w14:paraId="381FC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（2）改建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5座口袋公园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对金盆广场环岛、芙蓉中路绿化带、资江北路花坛、步步高花坛、都汇国际、谷山北路花坛、谷山路花坛绿化区域进行绿化提质，设计五座微型“口袋花园”，花园的建设，注重共创、共建、共享绿色空间，让更多绿地能够见缝插针地出现在城区，让市民在城区有了可畅行、可聊天、可观赏、可休憩的温馨小花园。</w:t>
      </w:r>
    </w:p>
    <w:p w14:paraId="2B3B6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（3）开展城区“亮化”行动。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为解决小街小巷群众出行难的问题，今年在县城各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小街小巷安装路灯共计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组织专人对县城路灯进行维修养护，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共计维修</w:t>
      </w:r>
      <w:r>
        <w:rPr>
          <w:rFonts w:hint="eastAsia" w:ascii="仿宋" w:hAnsi="仿宋" w:eastAsia="仿宋" w:cs="仿宋"/>
          <w:sz w:val="32"/>
          <w:szCs w:val="32"/>
        </w:rPr>
        <w:t>路灯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1710</w:t>
      </w:r>
      <w:r>
        <w:rPr>
          <w:rFonts w:hint="eastAsia" w:ascii="仿宋" w:hAnsi="仿宋" w:eastAsia="仿宋" w:cs="仿宋"/>
          <w:sz w:val="32"/>
          <w:szCs w:val="32"/>
        </w:rPr>
        <w:t>盏、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敷设电缆10254</w:t>
      </w:r>
      <w:r>
        <w:rPr>
          <w:rFonts w:hint="eastAsia" w:ascii="仿宋" w:hAnsi="仿宋" w:eastAsia="仿宋" w:cs="仿宋"/>
          <w:sz w:val="32"/>
          <w:szCs w:val="32"/>
        </w:rPr>
        <w:t>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拆除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（恢</w:t>
      </w:r>
      <w:r>
        <w:rPr>
          <w:rFonts w:hint="eastAsia" w:ascii="仿宋" w:hAnsi="仿宋" w:eastAsia="仿宋" w:cs="仿宋"/>
          <w:sz w:val="32"/>
          <w:szCs w:val="32"/>
        </w:rPr>
        <w:t>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被撞路灯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计维修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景观灯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1000余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盏。</w:t>
      </w:r>
      <w:r>
        <w:rPr>
          <w:rFonts w:hint="eastAsia" w:ascii="仿宋" w:hAnsi="仿宋" w:eastAsia="仿宋" w:cs="仿宋"/>
          <w:sz w:val="32"/>
          <w:szCs w:val="32"/>
        </w:rPr>
        <w:t>清洁路灯杆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野广告</w:t>
      </w:r>
      <w:r>
        <w:rPr>
          <w:rFonts w:hint="eastAsia" w:ascii="仿宋" w:hAnsi="仿宋" w:eastAsia="仿宋" w:cs="仿宋"/>
          <w:sz w:val="32"/>
          <w:szCs w:val="32"/>
        </w:rPr>
        <w:t>1200多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起，</w:t>
      </w:r>
      <w:r>
        <w:rPr>
          <w:rFonts w:hint="eastAsia" w:ascii="仿宋" w:hAnsi="仿宋" w:eastAsia="仿宋" w:cs="仿宋"/>
          <w:sz w:val="32"/>
          <w:szCs w:val="32"/>
        </w:rPr>
        <w:t>清理杆上挂线23处。</w:t>
      </w:r>
    </w:p>
    <w:p w14:paraId="7029AF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3.凝心聚力抓环境治理，提升环境卫生质量</w:t>
      </w:r>
    </w:p>
    <w:p w14:paraId="33EF0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（1）扎实开展蓝天保卫战。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通过全天多方位</w:t>
      </w:r>
      <w:r>
        <w:rPr>
          <w:rFonts w:hint="eastAsia" w:ascii="仿宋" w:hAnsi="仿宋" w:eastAsia="仿宋" w:cs="仿宋"/>
          <w:sz w:val="32"/>
          <w:szCs w:val="32"/>
        </w:rPr>
        <w:t>巡查，督促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县城</w:t>
      </w:r>
      <w:r>
        <w:rPr>
          <w:rFonts w:hint="eastAsia" w:ascii="仿宋" w:hAnsi="仿宋" w:eastAsia="仿宋" w:cs="仿宋"/>
          <w:sz w:val="32"/>
          <w:szCs w:val="32"/>
        </w:rPr>
        <w:t>各项目工地落实扬尘污染防治“六个百分百”要求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专项执法行动7次，出动执法人员415人次，依法巡查和规范在建工地出入口230次，依法规范渣土运输行为304起，依法查扣违法行为渣土车131台，查处渣土违规运输车辆75台次，下发责令整改通知书31份，责令相关部门清洗污染道路112次。依法规范违规经营夜市门店、摊贩926次，督促规范餐饮门店油烟排放289次，完成325家餐饮门店、企事业单位食堂餐饮油烟排放专项摸排，对未按规定安装、使用油烟净化器的单位下发《责令整改通知书》45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大力查处</w:t>
      </w:r>
      <w:r>
        <w:rPr>
          <w:rFonts w:hint="eastAsia" w:ascii="仿宋" w:hAnsi="仿宋" w:eastAsia="仿宋" w:cs="仿宋"/>
          <w:sz w:val="32"/>
          <w:szCs w:val="32"/>
        </w:rPr>
        <w:t>露天焚烧行为。共处置露天焚烧行为51起。</w:t>
      </w:r>
    </w:p>
    <w:p w14:paraId="52582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（2）抓实垃圾场环保整改。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根据省、市“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利剑行动”要求，制定了切实可行的整改计划，明确了整改责任人、责任时限，强化垃圾场日常运营管理，确保了问题整改落实到位。</w:t>
      </w:r>
    </w:p>
    <w:p w14:paraId="679F8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多举措提升环卫质量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通过加大督查力度，督促各清扫保洁公司，抓实人员管理，落实清扫保洁市场化合同要求，基本实现：普扫较到位，保洁较及时，交接班无缝对接，县城环境卫生质量有较大提升。同时，通过宣传引导，促进市民的城市意识、环卫意识。累计发放爱卫倡议书2000余份，现场劝导整改各类破坏市容环境卫生行为600余起，清理卫生死角2500余处，各类大件垃圾500余起，累计组织洒水降尘2650余趟、突击处置各类路面污染210余起。</w:t>
      </w:r>
    </w:p>
    <w:p w14:paraId="71407E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5120" w:firstLineChars="16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D91A752"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五、绩效评价工作开展情况</w:t>
      </w:r>
    </w:p>
    <w:p w14:paraId="3D04A04D"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（一）绩效评价的目的</w:t>
      </w:r>
    </w:p>
    <w:p w14:paraId="57AA0EAD"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为认真贯彻落实十九大报告精神，强化财政支出绩效理念和部门责任意识，规范财政资金管理，提高财政资金使用效益，依据中央、省、市、县相关文件精神和工作要求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对年度财政资金使用情况及产生的效益进行评价。</w:t>
      </w:r>
    </w:p>
    <w:p w14:paraId="59378227">
      <w:pPr>
        <w:numPr>
          <w:ilvl w:val="0"/>
          <w:numId w:val="3"/>
        </w:num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绩效评价的过程</w:t>
      </w:r>
    </w:p>
    <w:p w14:paraId="478F0D13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1、成立绩效评价领导小组。组长：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吴建强</w:t>
      </w:r>
      <w:r>
        <w:rPr>
          <w:rFonts w:hint="eastAsia" w:ascii="仿宋" w:hAnsi="仿宋" w:eastAsia="仿宋" w:cs="仿宋"/>
          <w:sz w:val="32"/>
          <w:szCs w:val="32"/>
        </w:rPr>
        <w:t xml:space="preserve"> 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覃国新、周科明、王军；</w:t>
      </w:r>
      <w:r>
        <w:rPr>
          <w:rFonts w:hint="eastAsia" w:ascii="仿宋" w:hAnsi="仿宋" w:eastAsia="仿宋" w:cs="仿宋"/>
          <w:sz w:val="32"/>
          <w:szCs w:val="32"/>
        </w:rPr>
        <w:t xml:space="preserve"> 成员：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杨君、王小千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曹智慧、贺庆、吴红军</w:t>
      </w:r>
      <w:r>
        <w:rPr>
          <w:rFonts w:hint="eastAsia" w:ascii="仿宋" w:hAnsi="仿宋" w:eastAsia="仿宋" w:cs="仿宋"/>
          <w:sz w:val="32"/>
          <w:szCs w:val="32"/>
        </w:rPr>
        <w:t>、苏照华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、彭灿辉及</w:t>
      </w:r>
      <w:r>
        <w:rPr>
          <w:rFonts w:hint="eastAsia" w:ascii="仿宋" w:hAnsi="仿宋" w:eastAsia="仿宋" w:cs="仿宋"/>
          <w:sz w:val="32"/>
          <w:szCs w:val="32"/>
        </w:rPr>
        <w:t>各二级机构办公室人员。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本职工作每月考核；七项基础工作、县委县政府的重点工作和其他工作按相应考核细则进行考核，由平常抽查考核和局绩效考核领导小组年终考核相结合。</w:t>
      </w:r>
    </w:p>
    <w:p w14:paraId="5E05722C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2、资料收集整理。自评工作资料整理由局财务室牵头，各业务股室、二级机构、直属大队办全面配合，收集相关资料，按绩效评价指标及评分表相关内容一一对照整理成册。</w:t>
      </w:r>
    </w:p>
    <w:p w14:paraId="1EFE036A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3、自查自评。按照《预算绩效管理政策与业务操作手册》的文件要求，对照20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年度部门整体支出绩效评价指标及评分表的内容如实填报相关资料，作出公正、客观、真实的自评。自评分9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55CFA7A4">
      <w:pPr>
        <w:numPr>
          <w:ilvl w:val="0"/>
          <w:numId w:val="0"/>
        </w:numPr>
        <w:spacing w:line="62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b/>
          <w:bCs/>
          <w:color w:val="000000"/>
          <w:spacing w:val="-6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4、上报审核。局财务室工作人员按时上报相关自评资料，对上报资料跟进，及时反馈县财政局提出的审查意见，根据审查结果认真分析工作中存在的不足，进行整改，并对来年财政部门预算编制计划提出建议和意见。</w:t>
      </w:r>
    </w:p>
    <w:p w14:paraId="31A4A563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六、存在的主要问题</w:t>
      </w:r>
    </w:p>
    <w:p w14:paraId="3E50E79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我局在经费保障方面一直得到了县政府及县财政的大力支持与关怀，但随着工作的深入开展，各项支出的增加，经费短缺的矛盾越来越突出，严重影响到我局工作的正常开展。资金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缺口问题，主要</w:t>
      </w:r>
      <w:r>
        <w:rPr>
          <w:rFonts w:hint="eastAsia" w:ascii="仿宋" w:hAnsi="仿宋" w:eastAsia="仿宋" w:cs="仿宋"/>
          <w:sz w:val="32"/>
          <w:szCs w:val="32"/>
        </w:rPr>
        <w:t>是由于按政策可以发放的职工工会福利待遇、伙食补助、年度绩效考核奖励金等未纳入财政预算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，造成人员经费缺口巨大。</w:t>
      </w:r>
    </w:p>
    <w:p w14:paraId="3A94E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1159"/>
    <w:multiLevelType w:val="singleLevel"/>
    <w:tmpl w:val="228F1159"/>
    <w:lvl w:ilvl="0" w:tentative="0">
      <w:start w:val="3"/>
      <w:numFmt w:val="chineseCounting"/>
      <w:suff w:val="nothing"/>
      <w:lvlText w:val="（%1）"/>
      <w:lvlJc w:val="left"/>
      <w:pPr>
        <w:ind w:left="6"/>
      </w:pPr>
      <w:rPr>
        <w:rFonts w:hint="eastAsia"/>
      </w:rPr>
    </w:lvl>
  </w:abstractNum>
  <w:abstractNum w:abstractNumId="1">
    <w:nsid w:val="365CAB77"/>
    <w:multiLevelType w:val="singleLevel"/>
    <w:tmpl w:val="365CAB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5D4C3"/>
    <w:multiLevelType w:val="singleLevel"/>
    <w:tmpl w:val="5E65D4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2JmZTY4MTIyNWFjNmRlNWNjZjRjZjJmMGQzYzQifQ=="/>
  </w:docVars>
  <w:rsids>
    <w:rsidRoot w:val="03DF611C"/>
    <w:rsid w:val="01585E9B"/>
    <w:rsid w:val="01D60DCA"/>
    <w:rsid w:val="03DF611C"/>
    <w:rsid w:val="088209B9"/>
    <w:rsid w:val="09E95841"/>
    <w:rsid w:val="0B846CE0"/>
    <w:rsid w:val="0BDE17BD"/>
    <w:rsid w:val="0CAC26BE"/>
    <w:rsid w:val="0E2C0351"/>
    <w:rsid w:val="0EE91A98"/>
    <w:rsid w:val="0F924021"/>
    <w:rsid w:val="1B595A23"/>
    <w:rsid w:val="2137579E"/>
    <w:rsid w:val="231B29D1"/>
    <w:rsid w:val="2672148A"/>
    <w:rsid w:val="2A2A12F0"/>
    <w:rsid w:val="2D035999"/>
    <w:rsid w:val="2F9451F3"/>
    <w:rsid w:val="33FF6A5A"/>
    <w:rsid w:val="4014567C"/>
    <w:rsid w:val="44FA350F"/>
    <w:rsid w:val="4B533C0F"/>
    <w:rsid w:val="4B981ACB"/>
    <w:rsid w:val="596974D9"/>
    <w:rsid w:val="5ABA70D5"/>
    <w:rsid w:val="5AF043F4"/>
    <w:rsid w:val="5C9F576B"/>
    <w:rsid w:val="62C47E48"/>
    <w:rsid w:val="6382412B"/>
    <w:rsid w:val="65E4627B"/>
    <w:rsid w:val="66EE66D3"/>
    <w:rsid w:val="67435B9E"/>
    <w:rsid w:val="68E43B36"/>
    <w:rsid w:val="697A1F45"/>
    <w:rsid w:val="6FCD30B0"/>
    <w:rsid w:val="7AF950D2"/>
    <w:rsid w:val="7C4F7621"/>
    <w:rsid w:val="7CC405DE"/>
    <w:rsid w:val="7D66388B"/>
    <w:rsid w:val="7F24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4614</Words>
  <Characters>4974</Characters>
  <Lines>0</Lines>
  <Paragraphs>0</Paragraphs>
  <TotalTime>11</TotalTime>
  <ScaleCrop>false</ScaleCrop>
  <LinksUpToDate>false</LinksUpToDate>
  <CharactersWithSpaces>4991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2021-04-14T02:29:00Z</dcterms:created>
  <dc:creator>春天在哪里</dc:creator>
  <cp:lastModifiedBy>千千</cp:lastModifiedBy>
  <cp:lastPrinted>2022-05-31T07:57:00Z</cp:lastPrinted>
  <dcterms:modified xsi:type="dcterms:W3CDTF">2024-08-28T08:36:29Z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BB646687FEAC4F409E8AA07A0FC385CA</vt:lpwstr>
  </property>
</Properties>
</file>