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3EA792F">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580A7C17">
      <w:pPr>
        <w:wordWrap w:val="0"/>
        <w:jc w:val="right"/>
        <w:rPr>
          <w:rFonts w:eastAsia="楷体_GB2312"/>
          <w:b/>
          <w:bCs/>
          <w:sz w:val="30"/>
          <w:szCs w:val="24"/>
          <w:lang w:val="en-US"/>
        </w:rPr>
      </w:pPr>
      <w:r>
        <w:rPr>
          <w:rFonts w:eastAsia="楷体_GB2312"/>
          <w:b/>
          <w:bCs/>
          <w:sz w:val="30"/>
          <w:szCs w:val="24"/>
          <w:lang w:val="en-US"/>
        </w:rPr>
        <w:t xml:space="preserve">   </w:t>
      </w:r>
      <w:r>
        <w:rPr>
          <w:rStyle w:val="14"/>
          <w:b/>
          <w:bCs/>
          <w:sz w:val="30"/>
          <w:szCs w:val="30"/>
          <w:lang w:val="en-US"/>
        </w:rPr>
        <w:t>12430922090862471F</w:t>
      </w:r>
      <w:r>
        <w:rPr>
          <w:rFonts w:eastAsia="楷体_GB2312"/>
          <w:b/>
          <w:bCs/>
          <w:sz w:val="30"/>
          <w:szCs w:val="24"/>
          <w:lang w:val="en-US"/>
        </w:rPr>
        <w:t xml:space="preserve">   </w:t>
      </w:r>
    </w:p>
    <w:p w14:paraId="3DC6B205">
      <w:pPr>
        <w:jc w:val="right"/>
        <w:rPr>
          <w:lang w:val="en-US"/>
        </w:rPr>
      </w:pPr>
    </w:p>
    <w:p w14:paraId="49333D5B">
      <w:pPr>
        <w:jc w:val="right"/>
        <w:rPr>
          <w:lang w:val="en-US"/>
        </w:rPr>
      </w:pPr>
    </w:p>
    <w:p w14:paraId="628300F7">
      <w:pPr>
        <w:jc w:val="right"/>
        <w:rPr>
          <w:lang w:val="en-US"/>
        </w:rPr>
      </w:pPr>
    </w:p>
    <w:p w14:paraId="55B81C01">
      <w:pPr>
        <w:jc w:val="right"/>
        <w:rPr>
          <w:lang w:val="en-US"/>
        </w:rPr>
      </w:pPr>
    </w:p>
    <w:p w14:paraId="25AE4748">
      <w:pPr>
        <w:jc w:val="right"/>
        <w:rPr>
          <w:lang w:val="en-US"/>
        </w:rPr>
      </w:pPr>
    </w:p>
    <w:p w14:paraId="7ED8A4B6">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653F5133">
      <w:pPr>
        <w:jc w:val="center"/>
        <w:rPr>
          <w:rFonts w:eastAsia="黑体"/>
          <w:b/>
          <w:bCs/>
          <w:spacing w:val="30"/>
          <w:lang w:val="en-US"/>
        </w:rPr>
      </w:pPr>
    </w:p>
    <w:p w14:paraId="4F26776F">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4"/>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2EF19CC3">
      <w:pPr>
        <w:jc w:val="center"/>
        <w:rPr>
          <w:sz w:val="36"/>
          <w:szCs w:val="24"/>
          <w:lang w:val="en-US"/>
        </w:rPr>
      </w:pPr>
    </w:p>
    <w:p w14:paraId="08D43457">
      <w:pPr>
        <w:jc w:val="center"/>
        <w:rPr>
          <w:sz w:val="36"/>
          <w:szCs w:val="24"/>
          <w:lang w:val="en-US"/>
        </w:rPr>
      </w:pPr>
    </w:p>
    <w:p w14:paraId="09D85504">
      <w:pPr>
        <w:jc w:val="center"/>
        <w:rPr>
          <w:sz w:val="36"/>
          <w:szCs w:val="24"/>
          <w:lang w:val="en-US"/>
        </w:rPr>
      </w:pPr>
    </w:p>
    <w:p w14:paraId="09F1B740">
      <w:pPr>
        <w:jc w:val="center"/>
        <w:rPr>
          <w:sz w:val="36"/>
          <w:szCs w:val="24"/>
          <w:lang w:val="en-US"/>
        </w:rPr>
      </w:pPr>
    </w:p>
    <w:p w14:paraId="7402FE6C">
      <w:pPr>
        <w:jc w:val="center"/>
        <w:rPr>
          <w:sz w:val="36"/>
          <w:szCs w:val="24"/>
          <w:lang w:val="en-US"/>
        </w:rPr>
      </w:pPr>
    </w:p>
    <w:p w14:paraId="4A3E76AC">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7CF87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774DDE8E">
            <w:pPr>
              <w:jc w:val="distribute"/>
            </w:pPr>
            <w:r>
              <w:rPr>
                <w:rStyle w:val="17"/>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01A4CCB1">
            <w:pPr>
              <w:jc w:val="center"/>
              <w:rPr>
                <w:rFonts w:hint="eastAsia" w:ascii="楷体_GB2312" w:eastAsia="楷体_GB2312" w:cs="楷体_GB2312"/>
                <w:sz w:val="32"/>
                <w:szCs w:val="24"/>
                <w:bdr w:val="none" w:color="auto" w:sz="0" w:space="0"/>
                <w:lang w:val="en-US"/>
              </w:rPr>
            </w:pPr>
            <w:r>
              <w:rPr>
                <w:rStyle w:val="18"/>
                <w:rFonts w:hint="eastAsia" w:ascii="楷体_GB2312" w:eastAsia="楷体_GB2312" w:cs="楷体_GB2312"/>
                <w:sz w:val="32"/>
                <w:szCs w:val="24"/>
                <w:bdr w:val="none" w:color="auto" w:sz="0" w:space="0"/>
                <w:lang w:val="en-US"/>
              </w:rPr>
              <w:t>桃江县财政投资融资管理中心</w:t>
            </w:r>
          </w:p>
        </w:tc>
      </w:tr>
    </w:tbl>
    <w:p w14:paraId="6487A485">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5431F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745E9A92">
            <w:pPr>
              <w:jc w:val="distribute"/>
            </w:pPr>
            <w:r>
              <w:rPr>
                <w:rStyle w:val="17"/>
                <w:b/>
                <w:bCs/>
                <w:sz w:val="36"/>
                <w:szCs w:val="24"/>
                <w:bdr w:val="none" w:color="auto" w:sz="0" w:space="0"/>
              </w:rPr>
              <w:t>法</w:t>
            </w:r>
            <w:r>
              <w:rPr>
                <w:rStyle w:val="17"/>
                <w:b/>
                <w:bCs/>
                <w:spacing w:val="30"/>
                <w:sz w:val="36"/>
                <w:szCs w:val="24"/>
                <w:bdr w:val="none" w:color="auto" w:sz="0" w:space="0"/>
              </w:rPr>
              <w:t>定代表</w:t>
            </w:r>
            <w:r>
              <w:rPr>
                <w:rStyle w:val="17"/>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4481BA14">
            <w:pPr>
              <w:keepNext w:val="0"/>
              <w:keepLines w:val="0"/>
              <w:widowControl/>
              <w:suppressLineNumbers w:val="0"/>
              <w:jc w:val="left"/>
              <w:rPr>
                <w:kern w:val="0"/>
                <w:sz w:val="20"/>
                <w:szCs w:val="20"/>
                <w:bdr w:val="none" w:color="auto" w:sz="0" w:space="0"/>
                <w:lang w:val="en-US"/>
              </w:rPr>
            </w:pPr>
          </w:p>
        </w:tc>
      </w:tr>
    </w:tbl>
    <w:p w14:paraId="58EDD239">
      <w:pPr>
        <w:ind w:left="0" w:firstLine="723" w:firstLineChars="300"/>
        <w:rPr>
          <w:rFonts w:hint="eastAsia" w:ascii="黑体" w:hAnsi="宋体" w:eastAsia="黑体" w:cs="黑体"/>
          <w:b/>
          <w:bCs/>
          <w:sz w:val="24"/>
          <w:szCs w:val="24"/>
          <w:u w:val="single"/>
          <w:lang w:val="en-US"/>
        </w:rPr>
      </w:pPr>
    </w:p>
    <w:p w14:paraId="1BF346E1">
      <w:pPr>
        <w:jc w:val="center"/>
        <w:rPr>
          <w:rFonts w:hint="eastAsia" w:ascii="黑体" w:hAnsi="宋体" w:eastAsia="黑体" w:cs="黑体"/>
          <w:b/>
          <w:bCs/>
          <w:sz w:val="30"/>
          <w:szCs w:val="24"/>
          <w:u w:val="single"/>
          <w:lang w:val="en-US"/>
        </w:rPr>
      </w:pPr>
    </w:p>
    <w:p w14:paraId="1A02AF86">
      <w:pPr>
        <w:jc w:val="center"/>
        <w:rPr>
          <w:rFonts w:hint="eastAsia" w:ascii="黑体" w:hAnsi="宋体" w:eastAsia="黑体" w:cs="黑体"/>
          <w:b/>
          <w:bCs/>
          <w:sz w:val="30"/>
          <w:szCs w:val="24"/>
          <w:u w:val="single"/>
          <w:lang w:val="en-US"/>
        </w:rPr>
      </w:pPr>
    </w:p>
    <w:p w14:paraId="1287B29D">
      <w:pPr>
        <w:jc w:val="center"/>
        <w:rPr>
          <w:u w:val="single"/>
          <w:lang w:val="en-US"/>
        </w:rPr>
      </w:pPr>
    </w:p>
    <w:p w14:paraId="549C5D36">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02FCDC0C">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0650B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725C37A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2A97933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14F24EF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3FCB878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23BC69E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4A4BC3DF">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1300370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10FBE15F">
            <w:pPr>
              <w:spacing w:line="320" w:lineRule="exact"/>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桃江县财政投资融资管理中心</w:t>
            </w:r>
          </w:p>
        </w:tc>
      </w:tr>
      <w:tr w14:paraId="47CF6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A0662B2">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D88BAC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6A4EA14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355CA8A">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为规范财政投资融资行为，化解财政性资金风险提供保障。建设项目计划和投融资管理计划汇总、报批、下达 财务管理 资金监管 桃花江投资建设发展（集团）总会计核算代理</w:t>
            </w:r>
          </w:p>
        </w:tc>
      </w:tr>
      <w:tr w14:paraId="4AA6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18E83CA">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C0A97B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2577C4D">
            <w:pPr>
              <w:jc w:val="left"/>
            </w:pPr>
            <w:r>
              <w:rPr>
                <w:rStyle w:val="19"/>
                <w:rFonts w:hint="eastAsia" w:ascii="楷体_GB2312" w:eastAsia="楷体_GB2312" w:cs="楷体_GB2312"/>
                <w:sz w:val="28"/>
                <w:szCs w:val="28"/>
                <w:bdr w:val="none" w:color="auto" w:sz="0" w:space="0"/>
                <w:lang w:val="en-US"/>
              </w:rPr>
              <w:t>桃江县财政局办公大楼</w:t>
            </w:r>
          </w:p>
        </w:tc>
      </w:tr>
      <w:tr w14:paraId="581F4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8C290AA">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8D5126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786B67A">
            <w:pPr>
              <w:jc w:val="left"/>
            </w:pPr>
            <w:r>
              <w:rPr>
                <w:rStyle w:val="19"/>
                <w:rFonts w:hint="eastAsia" w:ascii="楷体_GB2312" w:eastAsia="楷体_GB2312" w:cs="楷体_GB2312"/>
                <w:sz w:val="28"/>
                <w:szCs w:val="28"/>
                <w:bdr w:val="none" w:color="auto" w:sz="0" w:space="0"/>
                <w:lang w:val="en-US"/>
              </w:rPr>
              <w:t>高治国</w:t>
            </w:r>
          </w:p>
        </w:tc>
      </w:tr>
      <w:tr w14:paraId="1E956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B98967E">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E76AD9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0CC031C">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15</w:t>
            </w:r>
            <w:r>
              <w:rPr>
                <w:rStyle w:val="19"/>
                <w:rFonts w:hint="eastAsia" w:ascii="楷体_GB2312" w:eastAsia="楷体_GB2312" w:cs="楷体_GB2312"/>
                <w:sz w:val="28"/>
                <w:szCs w:val="28"/>
                <w:bdr w:val="none" w:color="auto" w:sz="0" w:space="0"/>
              </w:rPr>
              <w:t>（万元）</w:t>
            </w:r>
          </w:p>
        </w:tc>
      </w:tr>
      <w:tr w14:paraId="7295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F21B4BF">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C2ABE9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1B1A6503">
            <w:pPr>
              <w:jc w:val="left"/>
              <w:rPr>
                <w:sz w:val="32"/>
                <w:szCs w:val="32"/>
                <w:bdr w:val="none" w:color="auto" w:sz="0" w:space="0"/>
                <w:lang w:val="en-US"/>
              </w:rPr>
            </w:pPr>
            <w:r>
              <w:rPr>
                <w:rStyle w:val="19"/>
                <w:rFonts w:hint="eastAsia" w:ascii="楷体_GB2312" w:eastAsia="楷体_GB2312" w:cs="楷体_GB2312"/>
                <w:sz w:val="28"/>
                <w:szCs w:val="28"/>
                <w:bdr w:val="none" w:color="auto" w:sz="0" w:space="0"/>
                <w:lang w:val="en-US"/>
              </w:rPr>
              <w:t>财政补助（财政全额拨款）</w:t>
            </w:r>
          </w:p>
        </w:tc>
      </w:tr>
      <w:tr w14:paraId="522FE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89322E1">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A7CB64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2F6F2992">
            <w:pPr>
              <w:jc w:val="left"/>
            </w:pPr>
            <w:r>
              <w:rPr>
                <w:rStyle w:val="19"/>
                <w:rFonts w:hint="eastAsia" w:ascii="楷体_GB2312" w:eastAsia="楷体_GB2312" w:cs="楷体_GB2312"/>
                <w:sz w:val="28"/>
                <w:szCs w:val="28"/>
                <w:bdr w:val="none" w:color="auto" w:sz="0" w:space="0"/>
                <w:lang w:val="en-US"/>
              </w:rPr>
              <w:t>桃江县财政局</w:t>
            </w:r>
          </w:p>
        </w:tc>
      </w:tr>
      <w:tr w14:paraId="49C1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0B072FFD">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2E0D85F1">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6A0577FC">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1C99CD07">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净资产合计（所有者权益合计）</w:t>
            </w:r>
          </w:p>
        </w:tc>
      </w:tr>
      <w:tr w14:paraId="76293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4C0476A9">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18AD2614">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3FC4F83E">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年末数（万元）</w:t>
            </w:r>
          </w:p>
        </w:tc>
      </w:tr>
      <w:tr w14:paraId="7F3A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11D22AB1">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28A74AA">
            <w:pPr>
              <w:jc w:val="center"/>
              <w:rPr>
                <w:sz w:val="32"/>
                <w:szCs w:val="24"/>
                <w:bdr w:val="none" w:color="auto" w:sz="0" w:space="0"/>
                <w:lang w:val="en-US"/>
              </w:rPr>
            </w:pPr>
            <w:r>
              <w:rPr>
                <w:rStyle w:val="18"/>
                <w:sz w:val="32"/>
                <w:szCs w:val="24"/>
                <w:bdr w:val="none" w:color="auto" w:sz="0" w:space="0"/>
                <w:lang w:val="en-US"/>
              </w:rPr>
              <w:t>15</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7C1BEB88">
            <w:pPr>
              <w:jc w:val="center"/>
            </w:pPr>
            <w:r>
              <w:rPr>
                <w:rStyle w:val="19"/>
                <w:sz w:val="32"/>
                <w:szCs w:val="32"/>
                <w:bdr w:val="none" w:color="auto" w:sz="0" w:space="0"/>
                <w:lang w:val="en-US"/>
              </w:rPr>
              <w:t>15</w:t>
            </w:r>
          </w:p>
        </w:tc>
      </w:tr>
      <w:tr w14:paraId="7FCD0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0BBB0FCD">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6E8EFC53">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桃江县财政投资融资管理中心</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6A541E88">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61760605">
            <w:pPr>
              <w:spacing w:line="0" w:lineRule="atLeast"/>
              <w:jc w:val="left"/>
              <w:rPr>
                <w:rFonts w:hint="eastAsia" w:ascii="楷体_GB2312" w:eastAsia="楷体_GB2312" w:cs="楷体_GB2312"/>
                <w:sz w:val="32"/>
                <w:szCs w:val="24"/>
                <w:bdr w:val="none" w:color="auto" w:sz="0" w:space="0"/>
                <w:lang w:val="en-US"/>
              </w:rPr>
            </w:pPr>
            <w:r>
              <w:rPr>
                <w:rStyle w:val="18"/>
                <w:sz w:val="32"/>
                <w:szCs w:val="24"/>
                <w:bdr w:val="none" w:color="auto" w:sz="0" w:space="0"/>
                <w:lang w:val="en-US"/>
              </w:rPr>
              <w:t>5</w:t>
            </w:r>
          </w:p>
        </w:tc>
      </w:tr>
      <w:tr w14:paraId="42AC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6D84D51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133F652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26FBF8D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54C7BDE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0D0FE9E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5476E77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59CF271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0C671768">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6BF2A64B">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严格按照《条例》和实施细则有关规定执行，本年度无变更登记项目。</w:t>
            </w:r>
          </w:p>
        </w:tc>
      </w:tr>
      <w:tr w14:paraId="7142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12A8225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075AFA6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01130A7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0252AA0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7B8EC36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2789511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14301BD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19CE281D">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082BC5FE">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9"/>
                <w:rFonts w:hint="eastAsia" w:ascii="楷体_GB2312" w:eastAsia="楷体_GB2312" w:cs="楷体_GB2312"/>
                <w:sz w:val="28"/>
                <w:szCs w:val="24"/>
                <w:bdr w:val="none" w:color="auto" w:sz="0" w:space="0"/>
                <w:lang w:val="en-US"/>
              </w:rPr>
              <w:t xml:space="preserve">一、债务管理方面 1、按月完成监测平台的数据更新、编制全口径债务月报表和债务单位未来三个月还本付息资金落实情况表。同时，按月编印了桃江县债务情况简报，并报送县委、县人大、县政府、县政协主要领导和县债务工作领导小组相关成员。 2、制定了《桃江县2023年度债务化解方案》、《桃江县2023年打好防范化解政府债务风险阻击仗考核实施办法》以及《桃江县防范化解地方债务风险“1+7”方案》。 3、完成了市下达的2023年度化债目标任务。 4、接受了省委巡视组对债务相关工作的巡视，以及财政部湖南监管局对我县2023年上半年隐性债务化解和2022年度专项债券资金使用的核查工作。 5、完成新增专项债券111500万元、一般债券13058万元以及再融资债券86674万元的申报发行。 6、完成了打好防范化解债务风险阻击仗的“旬简报、月通报、季总结”的工作任务。 7、完成5.54亿元的新增专项债券调整用途，用于偿还存量政府投资项目锁定yx债务的工作任务。 二、农业保险工作方面 1、申报了2023年农业保险保费补贴资金预算。 2、组织开展了新一轮农业保险承保机构公开竞争性遴选，出台了2023年度农业保险方案，并严格落实，按时拨付保费补贴资金，促进了农业保险工作健康发展。 3、对2022年农业保险保费补贴资金开展了绩效评价工作。 三、创业担保贴息及其他金融工作 1、对2022年的普惠金融资金进行了结算，申报了2023年的普惠金融资金。 2、2023年完成创业担保贷款发放194笔，发放金额8260.17万元，其中发放小微企业贷款19笔，4686万元。全年拨付贴息资426万元。 3、2023年拨付民贸民品贴息资金86.6万元。 4、2023年争取上级道路交通救助基金131万元，拨付道交救助基金63万元。 5、2023年助力4家企业更新了股权改革，获区域性股权市场挂牌省级补助资金55万元，获得区域性股权市场挂牌市级奖励资金110万元。 6、对桃江县农商行的国有股权投资进行了年度检查。 7、启动了“潇湘财银贷”试点工作，并发放贷款支持实体经济发展。 四、完成了党组安排的其他中心工作。 </w:t>
            </w:r>
          </w:p>
          <w:p w14:paraId="7CF0AAE3">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3F7F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216BA480">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5C47CFB5">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4"/>
                <w:bdr w:val="none" w:color="auto" w:sz="0" w:space="0"/>
                <w:lang w:val="en-US"/>
              </w:rPr>
              <w:t>无</w:t>
            </w:r>
          </w:p>
        </w:tc>
      </w:tr>
      <w:tr w14:paraId="16732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01B16B0F">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0915BA38">
            <w:pPr>
              <w:jc w:val="left"/>
            </w:pPr>
            <w:r>
              <w:rPr>
                <w:rStyle w:val="19"/>
                <w:rFonts w:hint="eastAsia" w:ascii="楷体_GB2312" w:eastAsia="楷体_GB2312" w:cs="楷体_GB2312"/>
                <w:sz w:val="28"/>
                <w:szCs w:val="28"/>
                <w:bdr w:val="none" w:color="auto" w:sz="0" w:space="0"/>
                <w:lang w:val="en-US"/>
              </w:rPr>
              <w:t>无</w:t>
            </w:r>
          </w:p>
        </w:tc>
      </w:tr>
      <w:tr w14:paraId="6B99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22D7C943">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77E05C5A">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24B72E5E">
            <w:pPr>
              <w:jc w:val="left"/>
            </w:pPr>
            <w:r>
              <w:rPr>
                <w:rStyle w:val="19"/>
                <w:rFonts w:hint="eastAsia" w:ascii="楷体_GB2312" w:eastAsia="楷体_GB2312" w:cs="楷体_GB2312"/>
                <w:sz w:val="28"/>
                <w:szCs w:val="28"/>
                <w:bdr w:val="none" w:color="auto" w:sz="0" w:space="0"/>
                <w:lang w:val="en-US"/>
              </w:rPr>
              <w:t>无</w:t>
            </w:r>
          </w:p>
        </w:tc>
      </w:tr>
    </w:tbl>
    <w:p w14:paraId="504232A2">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49E612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6"/>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5"/>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21"/>
    <w:basedOn w:val="13"/>
    <w:uiPriority w:val="0"/>
    <w:rPr>
      <w:rFonts w:hint="default" w:ascii="Times New Roman" w:hAnsi="Times New Roman" w:eastAsia="楷体_GB2312" w:cs="Times New Roman"/>
      <w:sz w:val="30"/>
      <w:szCs w:val="24"/>
    </w:rPr>
  </w:style>
  <w:style w:type="character" w:customStyle="1" w:styleId="15">
    <w:name w:val="页眉 Char"/>
    <w:basedOn w:val="13"/>
    <w:link w:val="9"/>
    <w:locked/>
    <w:uiPriority w:val="0"/>
    <w:rPr>
      <w:rFonts w:hint="default" w:ascii="Times New Roman" w:hAnsi="Times New Roman" w:eastAsia="宋体" w:cs="Times New Roman"/>
      <w:sz w:val="18"/>
      <w:szCs w:val="18"/>
    </w:rPr>
  </w:style>
  <w:style w:type="character" w:customStyle="1" w:styleId="16">
    <w:name w:val="页脚 Char"/>
    <w:basedOn w:val="13"/>
    <w:link w:val="8"/>
    <w:locked/>
    <w:uiPriority w:val="0"/>
    <w:rPr>
      <w:rFonts w:hint="default" w:ascii="Times New Roman" w:hAnsi="Times New Roman" w:eastAsia="宋体" w:cs="Times New Roman"/>
      <w:sz w:val="18"/>
      <w:szCs w:val="18"/>
    </w:rPr>
  </w:style>
  <w:style w:type="character" w:customStyle="1" w:styleId="17">
    <w:name w:val="font51"/>
    <w:basedOn w:val="13"/>
    <w:uiPriority w:val="0"/>
    <w:rPr>
      <w:rFonts w:hint="eastAsia" w:ascii="黑体" w:hAnsi="宋体" w:eastAsia="黑体" w:cs="黑体"/>
      <w:sz w:val="36"/>
      <w:szCs w:val="24"/>
    </w:rPr>
  </w:style>
  <w:style w:type="character" w:customStyle="1" w:styleId="18">
    <w:name w:val="font61"/>
    <w:basedOn w:val="13"/>
    <w:uiPriority w:val="0"/>
    <w:rPr>
      <w:rFonts w:hint="default" w:ascii="Times New Roman" w:hAnsi="Times New Roman" w:eastAsia="楷体_GB2312" w:cs="Times New Roman"/>
      <w:sz w:val="32"/>
      <w:szCs w:val="24"/>
    </w:rPr>
  </w:style>
  <w:style w:type="character" w:customStyle="1" w:styleId="19">
    <w:name w:val="font71"/>
    <w:basedOn w:val="13"/>
    <w:uiPriority w:val="0"/>
    <w:rPr>
      <w:rFonts w:hint="default" w:ascii="Times New Roman" w:hAnsi="Times New Roman" w:eastAsia="楷体_GB2312" w:cs="Times New Roman"/>
      <w:sz w:val="28"/>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1203</Words>
  <Characters>1325</Characters>
  <Lines>4</Lines>
  <Paragraphs>1</Paragraphs>
  <TotalTime>45456.4062500016</TotalTime>
  <ScaleCrop>false</ScaleCrop>
  <LinksUpToDate>false</LinksUpToDate>
  <CharactersWithSpaces>1384</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2024-06-13T02:07:43Z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5AFE984327034EAE8E47AA873C24E62E_13</vt:lpwstr>
  </property>
</Properties>
</file>