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3EE6D6A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F0F5880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4"/>
          <w:b/>
          <w:bCs/>
          <w:sz w:val="30"/>
          <w:szCs w:val="30"/>
          <w:lang w:val="en-US"/>
        </w:rPr>
        <w:t>124309220749549075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011742FD">
      <w:pPr>
        <w:jc w:val="right"/>
        <w:rPr>
          <w:lang w:val="en-US"/>
        </w:rPr>
      </w:pPr>
    </w:p>
    <w:p w14:paraId="4C2A7849">
      <w:pPr>
        <w:jc w:val="right"/>
        <w:rPr>
          <w:lang w:val="en-US"/>
        </w:rPr>
      </w:pPr>
    </w:p>
    <w:p w14:paraId="6A7F9FF8">
      <w:pPr>
        <w:jc w:val="right"/>
        <w:rPr>
          <w:lang w:val="en-US"/>
        </w:rPr>
      </w:pPr>
    </w:p>
    <w:p w14:paraId="0F18D72D">
      <w:pPr>
        <w:jc w:val="right"/>
        <w:rPr>
          <w:lang w:val="en-US"/>
        </w:rPr>
      </w:pPr>
    </w:p>
    <w:p w14:paraId="05B94BCD">
      <w:pPr>
        <w:jc w:val="right"/>
        <w:rPr>
          <w:lang w:val="en-US"/>
        </w:rPr>
      </w:pPr>
    </w:p>
    <w:p w14:paraId="35305994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96BDDA9">
      <w:pPr>
        <w:jc w:val="center"/>
        <w:rPr>
          <w:rFonts w:eastAsia="黑体"/>
          <w:b/>
          <w:bCs/>
          <w:spacing w:val="30"/>
          <w:lang w:val="en-US"/>
        </w:rPr>
      </w:pPr>
    </w:p>
    <w:p w14:paraId="28503AE7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4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013FC203">
      <w:pPr>
        <w:jc w:val="center"/>
        <w:rPr>
          <w:sz w:val="36"/>
          <w:szCs w:val="24"/>
          <w:lang w:val="en-US"/>
        </w:rPr>
      </w:pPr>
    </w:p>
    <w:p w14:paraId="1F17245A">
      <w:pPr>
        <w:jc w:val="center"/>
        <w:rPr>
          <w:sz w:val="36"/>
          <w:szCs w:val="24"/>
          <w:lang w:val="en-US"/>
        </w:rPr>
      </w:pPr>
    </w:p>
    <w:p w14:paraId="509A8187">
      <w:pPr>
        <w:jc w:val="center"/>
        <w:rPr>
          <w:sz w:val="36"/>
          <w:szCs w:val="24"/>
          <w:lang w:val="en-US"/>
        </w:rPr>
      </w:pPr>
    </w:p>
    <w:p w14:paraId="59C40545">
      <w:pPr>
        <w:jc w:val="center"/>
        <w:rPr>
          <w:sz w:val="36"/>
          <w:szCs w:val="24"/>
          <w:lang w:val="en-US"/>
        </w:rPr>
      </w:pPr>
    </w:p>
    <w:p w14:paraId="13FA7DCB">
      <w:pPr>
        <w:jc w:val="center"/>
        <w:rPr>
          <w:sz w:val="36"/>
          <w:szCs w:val="24"/>
          <w:lang w:val="en-US"/>
        </w:rPr>
      </w:pPr>
    </w:p>
    <w:p w14:paraId="344CCA80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928C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432C686F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0E9500B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桃江县大栗港镇德茂园敬老院</w:t>
            </w:r>
          </w:p>
        </w:tc>
      </w:tr>
    </w:tbl>
    <w:p w14:paraId="27781CDE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3775D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6AEE9970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993BE5E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4DA22451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DF1361D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1CCD28D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4F9AF3B">
      <w:pPr>
        <w:jc w:val="center"/>
        <w:rPr>
          <w:u w:val="single"/>
          <w:lang w:val="en-US"/>
        </w:rPr>
      </w:pPr>
    </w:p>
    <w:p w14:paraId="3E0C91A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6DEDC9A7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0638D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90CDD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38A93F9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4ED40C7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5BF0A2C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66CA3AD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72FA5F7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22370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2450CD5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桃江县大栗港镇德茂园敬老院</w:t>
            </w:r>
          </w:p>
        </w:tc>
      </w:tr>
      <w:tr w14:paraId="546B0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8F288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4CD08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696D23A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BF8B46A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为农村五保对象提供养老服务，确保供养对象衣、食、住、医、葬等方面的需求得到保障。 以供养五保对象为主，在满足当地农村五保对象（城市“三无”人员）集中供养需要的基础上，开展社会养老服务。</w:t>
            </w:r>
          </w:p>
        </w:tc>
      </w:tr>
      <w:tr w14:paraId="29435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E99EE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2C4EC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DBCAF5A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桃江县大栗港镇德茂园村</w:t>
            </w:r>
          </w:p>
        </w:tc>
      </w:tr>
      <w:tr w14:paraId="0250B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E508B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37F09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C668C56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张立英</w:t>
            </w:r>
          </w:p>
        </w:tc>
      </w:tr>
      <w:tr w14:paraId="2DD50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2AF8B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608DB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C8A364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8</w:t>
            </w: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03EDA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268D3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D6226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33D7F8B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09F11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D984E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1391F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D950DF0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桃江县大栗港镇人民政府</w:t>
            </w:r>
          </w:p>
        </w:tc>
      </w:tr>
      <w:tr w14:paraId="481CC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D98EE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E7CB0A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77EDCAE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6C9AC6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419B8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DE497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B03CE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5AE840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0AD69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A4C7F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DFC93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7D096FA">
            <w:pPr>
              <w:jc w:val="center"/>
            </w:pPr>
            <w:r>
              <w:rPr>
                <w:rStyle w:val="15"/>
                <w:sz w:val="32"/>
                <w:szCs w:val="32"/>
                <w:bdr w:val="none" w:color="auto" w:sz="0" w:space="0"/>
                <w:lang w:val="en-US"/>
              </w:rPr>
              <w:t>2</w:t>
            </w:r>
          </w:p>
        </w:tc>
      </w:tr>
      <w:tr w14:paraId="4C795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289BFC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851D4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桃江县大栗港镇德茂园敬老院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DCFC2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3C6B704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4</w:t>
            </w:r>
          </w:p>
        </w:tc>
      </w:tr>
      <w:tr w14:paraId="74C98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C6DE5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7EB281F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7E94187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6BE4E4E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7D8C2A6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2B9371D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5EC07AE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231EC360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34A9C72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提高老年人的生活质量，更好的为服务对象营造舒适温馨的生活环境，完善养老服务设施设备建设</w:t>
            </w:r>
          </w:p>
        </w:tc>
      </w:tr>
      <w:tr w14:paraId="7BE65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4656B2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72E82BE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3C12079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C75EEB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471C93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64BA861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7402601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3869D9A4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90A41E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1、2023年3月2日桃江县六中开展学雷锋活动 2、2023年8月3日大栗港镇志愿者协会开展文艺汇演活动 3、2023年10月23日大栗港镇中心幼儿园开展关爱老人活动 4、2023年12月5日大栗港镇社会事务办，应急办，社工站开展消防演练 </w:t>
            </w:r>
          </w:p>
          <w:p w14:paraId="1036D9E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3BD5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6C2FAB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2C8B5BE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事业单位法人代表证书有效期2023年5月9日至2028年5月8日</w:t>
            </w:r>
          </w:p>
        </w:tc>
      </w:tr>
      <w:tr w14:paraId="16325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CEBDE3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81BBC9F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自成立以来，以优质的服务质量，得到了社会各界人士的好评</w:t>
            </w:r>
          </w:p>
        </w:tc>
      </w:tr>
      <w:tr w14:paraId="59090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4CFD72E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8B638A6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D6810B1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加强财政资金管理，强化机构财政支出管理意识，提高机构资金使用效率</w:t>
            </w:r>
          </w:p>
        </w:tc>
      </w:tr>
    </w:tbl>
    <w:p w14:paraId="3F3F62CC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44BF4C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5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625</Words>
  <Characters>681</Characters>
  <Lines>4</Lines>
  <Paragraphs>1</Paragraphs>
  <TotalTime>45456.4687500016</TotalTime>
  <ScaleCrop>false</ScaleCrop>
  <LinksUpToDate>false</LinksUpToDate>
  <CharactersWithSpaces>721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2024-06-13T03:45:02Z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3F5BA246485E48F985E3F88DBCB9D1E0_13</vt:lpwstr>
  </property>
</Properties>
</file>