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718DA45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4EC049D7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7"/>
          <w:b/>
          <w:bCs/>
          <w:sz w:val="30"/>
          <w:szCs w:val="30"/>
          <w:lang w:val="en-US"/>
        </w:rPr>
        <w:t>12430922MB0W88259U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1F27BEB7">
      <w:pPr>
        <w:jc w:val="right"/>
        <w:rPr>
          <w:lang w:val="en-US"/>
        </w:rPr>
      </w:pPr>
    </w:p>
    <w:p w14:paraId="491AC105">
      <w:pPr>
        <w:jc w:val="right"/>
        <w:rPr>
          <w:lang w:val="en-US"/>
        </w:rPr>
      </w:pPr>
    </w:p>
    <w:p w14:paraId="7A6749FC">
      <w:pPr>
        <w:jc w:val="right"/>
        <w:rPr>
          <w:lang w:val="en-US"/>
        </w:rPr>
      </w:pPr>
    </w:p>
    <w:p w14:paraId="49F6FCC3">
      <w:pPr>
        <w:jc w:val="right"/>
        <w:rPr>
          <w:lang w:val="en-US"/>
        </w:rPr>
      </w:pPr>
    </w:p>
    <w:p w14:paraId="115F0045">
      <w:pPr>
        <w:jc w:val="right"/>
        <w:rPr>
          <w:lang w:val="en-US"/>
        </w:rPr>
      </w:pPr>
    </w:p>
    <w:p w14:paraId="0A91A514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67BF1ACD">
      <w:pPr>
        <w:jc w:val="center"/>
        <w:rPr>
          <w:rFonts w:eastAsia="黑体"/>
          <w:b/>
          <w:bCs/>
          <w:spacing w:val="30"/>
          <w:lang w:val="en-US"/>
        </w:rPr>
      </w:pPr>
    </w:p>
    <w:p w14:paraId="2C4A32E5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7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34BADE8E">
      <w:pPr>
        <w:jc w:val="center"/>
        <w:rPr>
          <w:sz w:val="36"/>
          <w:szCs w:val="24"/>
          <w:lang w:val="en-US"/>
        </w:rPr>
      </w:pPr>
    </w:p>
    <w:p w14:paraId="187292E5">
      <w:pPr>
        <w:jc w:val="center"/>
        <w:rPr>
          <w:sz w:val="36"/>
          <w:szCs w:val="24"/>
          <w:lang w:val="en-US"/>
        </w:rPr>
      </w:pPr>
    </w:p>
    <w:p w14:paraId="6D95626A">
      <w:pPr>
        <w:jc w:val="center"/>
        <w:rPr>
          <w:sz w:val="36"/>
          <w:szCs w:val="24"/>
          <w:lang w:val="en-US"/>
        </w:rPr>
      </w:pPr>
    </w:p>
    <w:p w14:paraId="4BC72E53">
      <w:pPr>
        <w:jc w:val="center"/>
        <w:rPr>
          <w:sz w:val="36"/>
          <w:szCs w:val="24"/>
          <w:lang w:val="en-US"/>
        </w:rPr>
      </w:pPr>
    </w:p>
    <w:p w14:paraId="5EA9EE96">
      <w:pPr>
        <w:jc w:val="center"/>
        <w:rPr>
          <w:sz w:val="36"/>
          <w:szCs w:val="24"/>
          <w:lang w:val="en-US"/>
        </w:rPr>
      </w:pPr>
    </w:p>
    <w:p w14:paraId="18F74E22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23C39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3BE1AE25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35CBA42A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桃江县大栗港镇第一中心幼儿园</w:t>
            </w:r>
          </w:p>
        </w:tc>
      </w:tr>
    </w:tbl>
    <w:p w14:paraId="6762923F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67590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5365996A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8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4A26BD2E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63B62F0F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0A38AE39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5F0A2AAD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3457482D">
      <w:pPr>
        <w:jc w:val="center"/>
        <w:rPr>
          <w:u w:val="single"/>
          <w:lang w:val="en-US"/>
        </w:rPr>
      </w:pPr>
    </w:p>
    <w:p w14:paraId="360173AB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1FD58343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5B092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12475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4E02DF2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7E16150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7D65DFC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5C3F206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606F6C48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B567C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490D77C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桃江县大栗港镇第一中心幼儿园</w:t>
            </w:r>
          </w:p>
        </w:tc>
      </w:tr>
      <w:tr w14:paraId="33A17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074DB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D8C80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5DA8BC8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9964A54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3--6岁儿童学前教育</w:t>
            </w:r>
          </w:p>
        </w:tc>
      </w:tr>
      <w:tr w14:paraId="08F1A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E27C4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C1219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4BC3C38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桃江县大栗港镇大栗港社区</w:t>
            </w:r>
          </w:p>
        </w:tc>
      </w:tr>
      <w:tr w14:paraId="4EED9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9AA46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EEA79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BDC764B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彭中武</w:t>
            </w:r>
          </w:p>
        </w:tc>
      </w:tr>
      <w:tr w14:paraId="12F44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C1E9F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3BD94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BB922F2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291</w:t>
            </w: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5EF23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3565D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ADEBF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631ED15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3E125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5A438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A5DE4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7655B35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桃江县大栗港镇中心学校</w:t>
            </w:r>
          </w:p>
        </w:tc>
      </w:tr>
      <w:tr w14:paraId="41E5F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D3C2F6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36B2CDA0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2679B039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751B240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62044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69338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169CDB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1D03F62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7BDC4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D9F6C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45FD11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300.54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2F62061">
            <w:pPr>
              <w:jc w:val="center"/>
            </w:pPr>
            <w:r>
              <w:rPr>
                <w:rStyle w:val="19"/>
                <w:sz w:val="32"/>
                <w:szCs w:val="32"/>
                <w:bdr w:val="none" w:color="auto" w:sz="0" w:space="0"/>
                <w:lang w:val="en-US"/>
              </w:rPr>
              <w:t>330</w:t>
            </w:r>
          </w:p>
        </w:tc>
      </w:tr>
      <w:tr w14:paraId="17668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59849E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338D84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桃江县大栗港镇第一中心幼儿园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E4DEB1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F639E51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24</w:t>
            </w:r>
          </w:p>
        </w:tc>
      </w:tr>
      <w:tr w14:paraId="5C965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26336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2CA4AC1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502A22E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5C7F0E1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57E8B2A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6337098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2079257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7F3472FA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8AC69A8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严格按照条例和实施细则有关规定执行，本年度登记事项未发生变化。</w:t>
            </w:r>
          </w:p>
        </w:tc>
      </w:tr>
      <w:tr w14:paraId="592F6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016E394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5874DCD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28D9643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5BA5FD8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3734DAE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37EC4A9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04F4ACD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4BC3DDB9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170F4D85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严格按照上级要求开展保教活动，杜绝小学化，抓好传染病防控工作，确保幼儿健康成长，无任何安全事故发生。 </w:t>
            </w:r>
          </w:p>
          <w:p w14:paraId="323A9B53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1E025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9C37FE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5C73ADA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《事业单位法人证书》有效期自2022年3月28日至2027年3月28日。</w:t>
            </w:r>
          </w:p>
        </w:tc>
      </w:tr>
      <w:tr w14:paraId="33093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EFF8A3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EC723CD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在桃江县2023年年检督导评估中被评为“优秀幼儿园”。</w:t>
            </w:r>
          </w:p>
        </w:tc>
      </w:tr>
      <w:tr w14:paraId="01AC0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68D324BB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5B2FC937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6FFCC1D3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6A60FC1D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233C5E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5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8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9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452</Words>
  <Characters>511</Characters>
  <Lines>4</Lines>
  <Paragraphs>1</Paragraphs>
  <TotalTime>45455.7187500016</TotalTime>
  <ScaleCrop>false</ScaleCrop>
  <LinksUpToDate>false</LinksUpToDate>
  <CharactersWithSpaces>547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2024-06-12T09:16:47Z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1CC899F834B74EBAB34F09FF96F0C8E7_13</vt:lpwstr>
  </property>
</Properties>
</file>