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6AF6FE4">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04ED859B">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12430922006490485X</w:t>
      </w:r>
      <w:r>
        <w:rPr>
          <w:rFonts w:eastAsia="楷体_GB2312"/>
          <w:b/>
          <w:bCs/>
          <w:sz w:val="30"/>
          <w:szCs w:val="24"/>
          <w:lang w:val="en-US"/>
        </w:rPr>
        <w:t xml:space="preserve">   </w:t>
      </w:r>
    </w:p>
    <w:p w14:paraId="48768D27">
      <w:pPr>
        <w:jc w:val="right"/>
        <w:rPr>
          <w:lang w:val="en-US"/>
        </w:rPr>
      </w:pPr>
    </w:p>
    <w:p w14:paraId="7FC3EB30">
      <w:pPr>
        <w:jc w:val="right"/>
        <w:rPr>
          <w:lang w:val="en-US"/>
        </w:rPr>
      </w:pPr>
    </w:p>
    <w:p w14:paraId="42EFBCB7">
      <w:pPr>
        <w:jc w:val="right"/>
        <w:rPr>
          <w:lang w:val="en-US"/>
        </w:rPr>
      </w:pPr>
    </w:p>
    <w:p w14:paraId="792AD22C">
      <w:pPr>
        <w:jc w:val="right"/>
        <w:rPr>
          <w:lang w:val="en-US"/>
        </w:rPr>
      </w:pPr>
    </w:p>
    <w:p w14:paraId="54C0CC48">
      <w:pPr>
        <w:jc w:val="right"/>
        <w:rPr>
          <w:lang w:val="en-US"/>
        </w:rPr>
      </w:pPr>
    </w:p>
    <w:p w14:paraId="3BFEA46E">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6BA31E74">
      <w:pPr>
        <w:jc w:val="center"/>
        <w:rPr>
          <w:rFonts w:eastAsia="黑体"/>
          <w:b/>
          <w:bCs/>
          <w:spacing w:val="30"/>
          <w:lang w:val="en-US"/>
        </w:rPr>
      </w:pPr>
    </w:p>
    <w:p w14:paraId="0B630881">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336DE8C1">
      <w:pPr>
        <w:jc w:val="center"/>
        <w:rPr>
          <w:sz w:val="36"/>
          <w:szCs w:val="24"/>
          <w:lang w:val="en-US"/>
        </w:rPr>
      </w:pPr>
    </w:p>
    <w:p w14:paraId="5B4A96C2">
      <w:pPr>
        <w:jc w:val="center"/>
        <w:rPr>
          <w:sz w:val="36"/>
          <w:szCs w:val="24"/>
          <w:lang w:val="en-US"/>
        </w:rPr>
      </w:pPr>
    </w:p>
    <w:p w14:paraId="13C8C399">
      <w:pPr>
        <w:jc w:val="center"/>
        <w:rPr>
          <w:sz w:val="36"/>
          <w:szCs w:val="24"/>
          <w:lang w:val="en-US"/>
        </w:rPr>
      </w:pPr>
    </w:p>
    <w:p w14:paraId="6F99D9B5">
      <w:pPr>
        <w:jc w:val="center"/>
        <w:rPr>
          <w:sz w:val="36"/>
          <w:szCs w:val="24"/>
          <w:lang w:val="en-US"/>
        </w:rPr>
      </w:pPr>
    </w:p>
    <w:p w14:paraId="0BC28E3E">
      <w:pPr>
        <w:jc w:val="center"/>
        <w:rPr>
          <w:sz w:val="36"/>
          <w:szCs w:val="24"/>
          <w:lang w:val="en-US"/>
        </w:rPr>
      </w:pPr>
    </w:p>
    <w:p w14:paraId="1AB7B052">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3F560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0AFD6D67">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35563FCD">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桃江县畜牧水产事务中心</w:t>
            </w:r>
          </w:p>
        </w:tc>
      </w:tr>
    </w:tbl>
    <w:p w14:paraId="49025D57">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06DF0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1603DFBD">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5E4BA367">
            <w:pPr>
              <w:keepNext w:val="0"/>
              <w:keepLines w:val="0"/>
              <w:widowControl/>
              <w:suppressLineNumbers w:val="0"/>
              <w:jc w:val="left"/>
              <w:rPr>
                <w:kern w:val="0"/>
                <w:sz w:val="20"/>
                <w:szCs w:val="20"/>
                <w:bdr w:val="none" w:color="auto" w:sz="0" w:space="0"/>
                <w:lang w:val="en-US"/>
              </w:rPr>
            </w:pPr>
          </w:p>
        </w:tc>
      </w:tr>
    </w:tbl>
    <w:p w14:paraId="10F6B93A">
      <w:pPr>
        <w:ind w:left="0" w:firstLine="723" w:firstLineChars="300"/>
        <w:rPr>
          <w:rFonts w:hint="eastAsia" w:ascii="黑体" w:hAnsi="宋体" w:eastAsia="黑体" w:cs="黑体"/>
          <w:b/>
          <w:bCs/>
          <w:sz w:val="24"/>
          <w:szCs w:val="24"/>
          <w:u w:val="single"/>
          <w:lang w:val="en-US"/>
        </w:rPr>
      </w:pPr>
    </w:p>
    <w:p w14:paraId="1D6780F2">
      <w:pPr>
        <w:jc w:val="center"/>
        <w:rPr>
          <w:rFonts w:hint="eastAsia" w:ascii="黑体" w:hAnsi="宋体" w:eastAsia="黑体" w:cs="黑体"/>
          <w:b/>
          <w:bCs/>
          <w:sz w:val="30"/>
          <w:szCs w:val="24"/>
          <w:u w:val="single"/>
          <w:lang w:val="en-US"/>
        </w:rPr>
      </w:pPr>
    </w:p>
    <w:p w14:paraId="25ADD21C">
      <w:pPr>
        <w:jc w:val="center"/>
        <w:rPr>
          <w:rFonts w:hint="eastAsia" w:ascii="黑体" w:hAnsi="宋体" w:eastAsia="黑体" w:cs="黑体"/>
          <w:b/>
          <w:bCs/>
          <w:sz w:val="30"/>
          <w:szCs w:val="24"/>
          <w:u w:val="single"/>
          <w:lang w:val="en-US"/>
        </w:rPr>
      </w:pPr>
    </w:p>
    <w:p w14:paraId="1DDD61C0">
      <w:pPr>
        <w:jc w:val="center"/>
        <w:rPr>
          <w:u w:val="single"/>
          <w:lang w:val="en-US"/>
        </w:rPr>
      </w:pPr>
    </w:p>
    <w:p w14:paraId="5DE05D70">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3CC16E04">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2319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1CED98F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5105622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63DBF6A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3C5F709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1A8A06C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0452A35F">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4168888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045A1ED9">
            <w:pPr>
              <w:spacing w:line="320" w:lineRule="exact"/>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桃江县畜牧水产事务中心</w:t>
            </w:r>
          </w:p>
        </w:tc>
      </w:tr>
      <w:tr w14:paraId="61EB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2A4C43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38CF3E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17E5136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504988C">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为畜牧水产业提出发展规划、提供技术保障 畜牧水产产业生产的指导及技术技能培训 新品种新技术引进、培育、开发利用、推广 重大动物疫病防治指挥部办公室的日常工作</w:t>
            </w:r>
          </w:p>
        </w:tc>
      </w:tr>
      <w:tr w14:paraId="43A3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367905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8FFFCC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D1E3B6A">
            <w:pPr>
              <w:jc w:val="left"/>
            </w:pPr>
            <w:r>
              <w:rPr>
                <w:rStyle w:val="16"/>
                <w:rFonts w:hint="eastAsia" w:ascii="楷体_GB2312" w:eastAsia="楷体_GB2312" w:cs="楷体_GB2312"/>
                <w:sz w:val="28"/>
                <w:szCs w:val="28"/>
                <w:bdr w:val="none" w:color="auto" w:sz="0" w:space="0"/>
                <w:lang w:val="en-US"/>
              </w:rPr>
              <w:t>桃江县桃花江镇建设路68号</w:t>
            </w:r>
          </w:p>
        </w:tc>
      </w:tr>
      <w:tr w14:paraId="6D69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305E6A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00FB2C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82F224B">
            <w:pPr>
              <w:jc w:val="left"/>
            </w:pPr>
            <w:r>
              <w:rPr>
                <w:rStyle w:val="16"/>
                <w:rFonts w:hint="eastAsia" w:ascii="楷体_GB2312" w:eastAsia="楷体_GB2312" w:cs="楷体_GB2312"/>
                <w:sz w:val="28"/>
                <w:szCs w:val="28"/>
                <w:bdr w:val="none" w:color="auto" w:sz="0" w:space="0"/>
                <w:lang w:val="en-US"/>
              </w:rPr>
              <w:t>陈立兵</w:t>
            </w:r>
          </w:p>
        </w:tc>
      </w:tr>
      <w:tr w14:paraId="6830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B5EE70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8870C3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FF9D5FC">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187</w:t>
            </w:r>
            <w:r>
              <w:rPr>
                <w:rStyle w:val="16"/>
                <w:rFonts w:hint="eastAsia" w:ascii="楷体_GB2312" w:eastAsia="楷体_GB2312" w:cs="楷体_GB2312"/>
                <w:sz w:val="28"/>
                <w:szCs w:val="28"/>
                <w:bdr w:val="none" w:color="auto" w:sz="0" w:space="0"/>
              </w:rPr>
              <w:t>（万元）</w:t>
            </w:r>
          </w:p>
        </w:tc>
      </w:tr>
      <w:tr w14:paraId="0765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A2A28B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710A4A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719E7B1A">
            <w:pPr>
              <w:jc w:val="left"/>
              <w:rPr>
                <w:sz w:val="32"/>
                <w:szCs w:val="32"/>
                <w:bdr w:val="none" w:color="auto" w:sz="0" w:space="0"/>
                <w:lang w:val="en-US"/>
              </w:rPr>
            </w:pPr>
            <w:r>
              <w:rPr>
                <w:rStyle w:val="16"/>
                <w:rFonts w:hint="eastAsia" w:ascii="楷体_GB2312" w:eastAsia="楷体_GB2312" w:cs="楷体_GB2312"/>
                <w:sz w:val="28"/>
                <w:szCs w:val="28"/>
                <w:bdr w:val="none" w:color="auto" w:sz="0" w:space="0"/>
                <w:lang w:val="en-US"/>
              </w:rPr>
              <w:t>财政补助（财政补助(全额)）</w:t>
            </w:r>
          </w:p>
        </w:tc>
      </w:tr>
      <w:tr w14:paraId="076B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DD68AD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387FB8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68627CA7">
            <w:pPr>
              <w:jc w:val="left"/>
            </w:pPr>
            <w:r>
              <w:rPr>
                <w:rStyle w:val="16"/>
                <w:rFonts w:hint="eastAsia" w:ascii="楷体_GB2312" w:eastAsia="楷体_GB2312" w:cs="楷体_GB2312"/>
                <w:sz w:val="28"/>
                <w:szCs w:val="28"/>
                <w:bdr w:val="none" w:color="auto" w:sz="0" w:space="0"/>
                <w:lang w:val="en-US"/>
              </w:rPr>
              <w:t>桃江县农业农村局</w:t>
            </w:r>
          </w:p>
        </w:tc>
      </w:tr>
      <w:tr w14:paraId="1376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50F20E30">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6053B67F">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51C9F961">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2CD0CEF4">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14:paraId="2E16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04CE665D">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23D8B9B">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4C9896D5">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14:paraId="64F1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BFC89EC">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002A458">
            <w:pPr>
              <w:jc w:val="center"/>
              <w:rPr>
                <w:sz w:val="32"/>
                <w:szCs w:val="24"/>
                <w:bdr w:val="none" w:color="auto" w:sz="0" w:space="0"/>
                <w:lang w:val="en-US"/>
              </w:rPr>
            </w:pPr>
            <w:r>
              <w:rPr>
                <w:rStyle w:val="19"/>
                <w:sz w:val="32"/>
                <w:szCs w:val="24"/>
                <w:bdr w:val="none" w:color="auto" w:sz="0" w:space="0"/>
                <w:lang w:val="en-US"/>
              </w:rPr>
              <w:t>152</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2D189091">
            <w:pPr>
              <w:jc w:val="center"/>
            </w:pPr>
            <w:r>
              <w:rPr>
                <w:rStyle w:val="16"/>
                <w:sz w:val="32"/>
                <w:szCs w:val="32"/>
                <w:bdr w:val="none" w:color="auto" w:sz="0" w:space="0"/>
                <w:lang w:val="en-US"/>
              </w:rPr>
              <w:t>136</w:t>
            </w:r>
          </w:p>
        </w:tc>
      </w:tr>
      <w:tr w14:paraId="07B7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5642388">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C352267">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桃江县畜牧水产事务中心·公益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573E16F8">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4CA62A6F">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48</w:t>
            </w:r>
          </w:p>
        </w:tc>
      </w:tr>
      <w:tr w14:paraId="1EE0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2FE4BB6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4F543FF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16D5E07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2B2F3B0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3E208D3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5783361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39CCFC9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658001E8">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448F43D">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无</w:t>
            </w:r>
          </w:p>
        </w:tc>
      </w:tr>
      <w:tr w14:paraId="48B4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1DCD8B7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43C802D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20B8DD2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17F0A49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54D5689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73B3187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356BFA4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1E1FA105">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7BC3EA4">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6"/>
                <w:rFonts w:hint="eastAsia" w:ascii="楷体_GB2312" w:eastAsia="楷体_GB2312" w:cs="楷体_GB2312"/>
                <w:sz w:val="28"/>
                <w:szCs w:val="24"/>
                <w:bdr w:val="none" w:color="auto" w:sz="0" w:space="0"/>
                <w:lang w:val="en-US"/>
              </w:rPr>
              <w:t xml:space="preserve">1.抓实防疫工作，巩固防控成果。一是重大动物疫病防控工作。部署非洲猪瘟等重大动物疫病防控工作，养殖主体签订各类责任书2317份，对683个存栏生猪100头以上的规模猪场落实“两场”监管责任，发放消毒药16吨，1094个养殖业重点场所开展清洗消毒，累计消毒面积3612万平方米。二是动物疫病免疫和监测工作。全面开展牛羊口蹄疫、猪口蹄疫、禽流感和小反刍兽疫的强制免疫，共计免疫畜禽1032.87万头（羽），免疫进度和密度达到上级要求。333个规模养殖场开展强制免疫“先打后补”。采集和检测3030份动物样品和617份环境样品，结果正常。三是病死猪无害化处理与保险联动机制工作。制定《桃江县病死畜禽无害化处理机制年度绩效考核办法》，在武潭镇新建收集点1处，全县共计投保育肥猪334024头。1至12月，全县共计收集处理病死生猪47873头、禽类26000羽、三腺产品29064公斤。四是开展卫生监督工作。维护湖南省动物卫生监督信息平台，确保乡镇官方兽医正常实施动物产地检疫，产品B证共出证160293张，动物B证共出证9351张。五是加强我县特聘动物防疫专员管理工作。印发《桃江县特聘动物防疫专员考核办法》，招募特聘动物防疫专员3人，强化队伍建设，提高基层技术能力。 2.抓好产业发展，促进农民增收。一是持续推进生猪生产，引导生猪产业朝规模化、标准化发展，今年申报国家级生猪产能调控基地1个、省级生猪产能调控基地5个，桃江县桃仁农牧科技有限公司通过省级动物疫病净化场评审。二是推进渔业高质量发展。以国家级水产健康养殖和生态养殖示范区创建为契机，深入调查、加强指导，桃花香生态农业公司、辉红水产2家全省渔业高质量发展补助项目完成市级验收，组织沾溪罗氏沼虾公司、辉红水产2家申报水产绿色健康养殖技术推广“五大行动”骨干基地创建，遴选京湖湾农业公司、沃源特种水产申报渔业高质量发展补助项目。水产品质量例行抽检样品26个，合格率达到100%。三是扎实开展养殖业统计监测工作。组织各乡镇专业人员开展农业部畜牧业统计监测线上培训，全面完成各类报表上报，获得“全省优秀生猪规模场监测县”。 3.开展技术服务，助力乡村振兴。组织县科技专家团畜牧水产服务小组开展非洲猪瘟防控和畜禽粪污资源化利用等养殖技术培训，培训养殖场户和农技人员200余人。组织养殖场主赴长沙、岳阳、常德开展养殖技术培训。通过入户指导、线上咨询及电话咨询等方式，对养殖业主开展服务180余人次，为养殖企业做好技术服务工作，助力养殖业高质量发展。 4.践行生态理念，确保可持续发展。一是开展人工增殖放流工作。在资江流域投放鱼苗鱼种400万尾，在国家级黄颡鱼种质资源保护区投放名贵鱼苗69万尾。二是继续开展畜禽粪污资源化利用工作，在灰山港镇汪家冲村开展畜禽粪污资源化利用技术指导，摸排指导68户，以此整改为契机，在全县范围内调查摸底存在问题的养殖场（户）174家，由中心技术指导人员上门制定“一户一策”方案。 5.强化安全生产，确保行业平稳。一是加强日常排查与监管，制定养殖业安全生产“大检查大整治”行动实施方案，对全县养殖场进行安全生产隐患排查，检查1000余户。制定《畜禽养殖业应对雨雪冰冻灾害要点》《水产养殖业应对雨雪冰冻灾害要点》《动物疫病防控工作要点》，应对极端天气，提高养殖业抗风险能力。二是开展“全国平安渔业示范县”创建工作，于11月被农业农村部复核为“全国平安渔业示范县”。 6.全力立项争资和招商引资，服务全县经济发展。今年对口争取上级项目资金共1820.5万元，完成养殖业固定资产投资1800万元。 </w:t>
            </w:r>
          </w:p>
          <w:p w14:paraId="117EF8AA">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4314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286E3A2E">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1E70615">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4"/>
                <w:bdr w:val="none" w:color="auto" w:sz="0" w:space="0"/>
                <w:lang w:val="en-US"/>
              </w:rPr>
              <w:t>无</w:t>
            </w:r>
          </w:p>
        </w:tc>
      </w:tr>
      <w:tr w14:paraId="6DA9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350E3D4">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6BCF91BB">
            <w:pPr>
              <w:jc w:val="left"/>
            </w:pPr>
            <w:r>
              <w:rPr>
                <w:rStyle w:val="16"/>
                <w:rFonts w:hint="eastAsia" w:ascii="楷体_GB2312" w:eastAsia="楷体_GB2312" w:cs="楷体_GB2312"/>
                <w:sz w:val="28"/>
                <w:szCs w:val="28"/>
                <w:bdr w:val="none" w:color="auto" w:sz="0" w:space="0"/>
                <w:lang w:val="en-US"/>
              </w:rPr>
              <w:t>无</w:t>
            </w:r>
          </w:p>
        </w:tc>
      </w:tr>
      <w:tr w14:paraId="1AB6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121FF16">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205B6536">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8810F2B">
            <w:pPr>
              <w:jc w:val="left"/>
            </w:pPr>
            <w:r>
              <w:rPr>
                <w:rStyle w:val="16"/>
                <w:rFonts w:hint="eastAsia" w:ascii="楷体_GB2312" w:eastAsia="楷体_GB2312" w:cs="楷体_GB2312"/>
                <w:sz w:val="28"/>
                <w:szCs w:val="28"/>
                <w:bdr w:val="none" w:color="auto" w:sz="0" w:space="0"/>
                <w:lang w:val="en-US"/>
              </w:rPr>
              <w:t>无</w:t>
            </w:r>
          </w:p>
        </w:tc>
      </w:tr>
    </w:tbl>
    <w:p w14:paraId="47606089">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4FD934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4"/>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脚 Char"/>
    <w:basedOn w:val="13"/>
    <w:link w:val="8"/>
    <w:locked/>
    <w:uiPriority w:val="0"/>
    <w:rPr>
      <w:rFonts w:hint="default" w:ascii="Times New Roman" w:hAnsi="Times New Roman" w:eastAsia="宋体" w:cs="Times New Roman"/>
      <w:sz w:val="18"/>
      <w:szCs w:val="18"/>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font71"/>
    <w:basedOn w:val="13"/>
    <w:uiPriority w:val="0"/>
    <w:rPr>
      <w:rFonts w:hint="default" w:ascii="Times New Roman" w:hAnsi="Times New Roman" w:eastAsia="楷体_GB2312" w:cs="Times New Roman"/>
      <w:sz w:val="28"/>
      <w:szCs w:val="24"/>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1779</Words>
  <Characters>1907</Characters>
  <Lines>4</Lines>
  <Paragraphs>1</Paragraphs>
  <TotalTime>45456.4687500016</TotalTime>
  <ScaleCrop>false</ScaleCrop>
  <LinksUpToDate>false</LinksUpToDate>
  <CharactersWithSpaces>1951</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2024-06-13T03:34:55Z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409DD343FE7A4CB6A543FAD6B77CC68A_13</vt:lpwstr>
  </property>
</Properties>
</file>