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7F2283">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7A1C6E89">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12430922187331386K</w:t>
      </w:r>
      <w:r>
        <w:rPr>
          <w:rFonts w:eastAsia="楷体_GB2312"/>
          <w:b/>
          <w:bCs/>
          <w:sz w:val="30"/>
          <w:szCs w:val="24"/>
          <w:lang w:val="en-US"/>
        </w:rPr>
        <w:t xml:space="preserve">   </w:t>
      </w:r>
    </w:p>
    <w:p w14:paraId="398AC9B9">
      <w:pPr>
        <w:jc w:val="right"/>
        <w:rPr>
          <w:lang w:val="en-US"/>
        </w:rPr>
      </w:pPr>
    </w:p>
    <w:p w14:paraId="2C42DF38">
      <w:pPr>
        <w:jc w:val="right"/>
        <w:rPr>
          <w:lang w:val="en-US"/>
        </w:rPr>
      </w:pPr>
    </w:p>
    <w:p w14:paraId="7E6D8B7A">
      <w:pPr>
        <w:jc w:val="right"/>
        <w:rPr>
          <w:lang w:val="en-US"/>
        </w:rPr>
      </w:pPr>
    </w:p>
    <w:p w14:paraId="50135540">
      <w:pPr>
        <w:jc w:val="right"/>
        <w:rPr>
          <w:lang w:val="en-US"/>
        </w:rPr>
      </w:pPr>
    </w:p>
    <w:p w14:paraId="46E7F255">
      <w:pPr>
        <w:jc w:val="right"/>
        <w:rPr>
          <w:lang w:val="en-US"/>
        </w:rPr>
      </w:pPr>
    </w:p>
    <w:p w14:paraId="2DBF273F">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50396C97">
      <w:pPr>
        <w:jc w:val="center"/>
        <w:rPr>
          <w:rFonts w:eastAsia="黑体"/>
          <w:b/>
          <w:bCs/>
          <w:spacing w:val="30"/>
          <w:lang w:val="en-US"/>
        </w:rPr>
      </w:pPr>
    </w:p>
    <w:p w14:paraId="50660370">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049CB8A3">
      <w:pPr>
        <w:jc w:val="center"/>
        <w:rPr>
          <w:sz w:val="36"/>
          <w:szCs w:val="24"/>
          <w:lang w:val="en-US"/>
        </w:rPr>
      </w:pPr>
    </w:p>
    <w:p w14:paraId="7364CB34">
      <w:pPr>
        <w:jc w:val="center"/>
        <w:rPr>
          <w:sz w:val="36"/>
          <w:szCs w:val="24"/>
          <w:lang w:val="en-US"/>
        </w:rPr>
      </w:pPr>
    </w:p>
    <w:p w14:paraId="456E7926">
      <w:pPr>
        <w:jc w:val="center"/>
        <w:rPr>
          <w:sz w:val="36"/>
          <w:szCs w:val="24"/>
          <w:lang w:val="en-US"/>
        </w:rPr>
      </w:pPr>
    </w:p>
    <w:p w14:paraId="70DDF087">
      <w:pPr>
        <w:jc w:val="center"/>
        <w:rPr>
          <w:sz w:val="36"/>
          <w:szCs w:val="24"/>
          <w:lang w:val="en-US"/>
        </w:rPr>
      </w:pPr>
    </w:p>
    <w:p w14:paraId="77024853">
      <w:pPr>
        <w:jc w:val="center"/>
        <w:rPr>
          <w:sz w:val="36"/>
          <w:szCs w:val="24"/>
          <w:lang w:val="en-US"/>
        </w:rPr>
      </w:pPr>
    </w:p>
    <w:p w14:paraId="25A0D2B2">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43C25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613FE3D2">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1D0CAA18">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桃江县电化教育馆</w:t>
            </w:r>
          </w:p>
        </w:tc>
      </w:tr>
    </w:tbl>
    <w:p w14:paraId="6E181BF2">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3D0F8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35F6C183">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311402DD">
            <w:pPr>
              <w:keepNext w:val="0"/>
              <w:keepLines w:val="0"/>
              <w:widowControl/>
              <w:suppressLineNumbers w:val="0"/>
              <w:jc w:val="left"/>
              <w:rPr>
                <w:kern w:val="0"/>
                <w:sz w:val="20"/>
                <w:szCs w:val="20"/>
                <w:bdr w:val="none" w:color="auto" w:sz="0" w:space="0"/>
                <w:lang w:val="en-US"/>
              </w:rPr>
            </w:pPr>
          </w:p>
        </w:tc>
      </w:tr>
    </w:tbl>
    <w:p w14:paraId="4FDBF17C">
      <w:pPr>
        <w:ind w:left="0" w:firstLine="723" w:firstLineChars="300"/>
        <w:rPr>
          <w:rFonts w:hint="eastAsia" w:ascii="黑体" w:hAnsi="宋体" w:eastAsia="黑体" w:cs="黑体"/>
          <w:b/>
          <w:bCs/>
          <w:sz w:val="24"/>
          <w:szCs w:val="24"/>
          <w:u w:val="single"/>
          <w:lang w:val="en-US"/>
        </w:rPr>
      </w:pPr>
    </w:p>
    <w:p w14:paraId="27444E1F">
      <w:pPr>
        <w:jc w:val="center"/>
        <w:rPr>
          <w:rFonts w:hint="eastAsia" w:ascii="黑体" w:hAnsi="宋体" w:eastAsia="黑体" w:cs="黑体"/>
          <w:b/>
          <w:bCs/>
          <w:sz w:val="30"/>
          <w:szCs w:val="24"/>
          <w:u w:val="single"/>
          <w:lang w:val="en-US"/>
        </w:rPr>
      </w:pPr>
    </w:p>
    <w:p w14:paraId="118E4608">
      <w:pPr>
        <w:jc w:val="center"/>
        <w:rPr>
          <w:rFonts w:hint="eastAsia" w:ascii="黑体" w:hAnsi="宋体" w:eastAsia="黑体" w:cs="黑体"/>
          <w:b/>
          <w:bCs/>
          <w:sz w:val="30"/>
          <w:szCs w:val="24"/>
          <w:u w:val="single"/>
          <w:lang w:val="en-US"/>
        </w:rPr>
      </w:pPr>
    </w:p>
    <w:p w14:paraId="014069BF">
      <w:pPr>
        <w:jc w:val="center"/>
        <w:rPr>
          <w:u w:val="single"/>
          <w:lang w:val="en-US"/>
        </w:rPr>
      </w:pPr>
    </w:p>
    <w:p w14:paraId="58868264">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2C22F1C9">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43CC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4BEA9AD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7A447F3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2C6E1BC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5D0792B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385F576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2AC8B2FB">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30265C6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5CE3CD64">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桃江县电化教育馆</w:t>
            </w:r>
          </w:p>
        </w:tc>
      </w:tr>
      <w:tr w14:paraId="3DA40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A63BF2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E06401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50E8885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EEEBDB2">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提高电化教育水平，促进电化教育发展。 为全县中小学校提供电化教育指导和技术服务</w:t>
            </w:r>
          </w:p>
        </w:tc>
      </w:tr>
      <w:tr w14:paraId="68B7B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31CD44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02F6C8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537A907">
            <w:pPr>
              <w:jc w:val="left"/>
            </w:pPr>
            <w:r>
              <w:rPr>
                <w:rStyle w:val="20"/>
                <w:rFonts w:hint="eastAsia" w:ascii="楷体_GB2312" w:eastAsia="楷体_GB2312" w:cs="楷体_GB2312"/>
                <w:sz w:val="28"/>
                <w:szCs w:val="28"/>
                <w:bdr w:val="none" w:color="auto" w:sz="0" w:space="0"/>
                <w:lang w:val="en-US"/>
              </w:rPr>
              <w:t>桃江县桃花江镇建设中路12号</w:t>
            </w:r>
          </w:p>
        </w:tc>
      </w:tr>
      <w:tr w14:paraId="47C7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D0AAFA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B376A2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E026539">
            <w:pPr>
              <w:jc w:val="left"/>
            </w:pPr>
            <w:r>
              <w:rPr>
                <w:rStyle w:val="20"/>
                <w:rFonts w:hint="eastAsia" w:ascii="楷体_GB2312" w:eastAsia="楷体_GB2312" w:cs="楷体_GB2312"/>
                <w:sz w:val="28"/>
                <w:szCs w:val="28"/>
                <w:bdr w:val="none" w:color="auto" w:sz="0" w:space="0"/>
                <w:lang w:val="en-US"/>
              </w:rPr>
              <w:t>胡志凌</w:t>
            </w:r>
          </w:p>
        </w:tc>
      </w:tr>
      <w:tr w14:paraId="4C34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61B1D3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FF70B2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F4D2324">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117</w:t>
            </w:r>
            <w:r>
              <w:rPr>
                <w:rStyle w:val="20"/>
                <w:rFonts w:hint="eastAsia" w:ascii="楷体_GB2312" w:eastAsia="楷体_GB2312" w:cs="楷体_GB2312"/>
                <w:sz w:val="28"/>
                <w:szCs w:val="28"/>
                <w:bdr w:val="none" w:color="auto" w:sz="0" w:space="0"/>
              </w:rPr>
              <w:t>（万元）</w:t>
            </w:r>
          </w:p>
        </w:tc>
      </w:tr>
      <w:tr w14:paraId="488F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8D8BF5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F60C43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5F1D058">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财政补助（财政补助(全额)）</w:t>
            </w:r>
          </w:p>
        </w:tc>
      </w:tr>
      <w:tr w14:paraId="72BE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FF7DE7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E41041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B890670">
            <w:pPr>
              <w:jc w:val="left"/>
            </w:pPr>
            <w:r>
              <w:rPr>
                <w:rStyle w:val="20"/>
                <w:rFonts w:hint="eastAsia" w:ascii="楷体_GB2312" w:eastAsia="楷体_GB2312" w:cs="楷体_GB2312"/>
                <w:sz w:val="28"/>
                <w:szCs w:val="28"/>
                <w:bdr w:val="none" w:color="auto" w:sz="0" w:space="0"/>
                <w:lang w:val="en-US"/>
              </w:rPr>
              <w:t>桃江县教育局</w:t>
            </w:r>
          </w:p>
        </w:tc>
      </w:tr>
      <w:tr w14:paraId="200C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25967D49">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5EED9B48">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3363666C">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1E42AF86">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14:paraId="792E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D138708">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C98E6D4">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6E6FCC32">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14:paraId="39CF3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56D73A29">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8985F37">
            <w:pPr>
              <w:jc w:val="center"/>
              <w:rPr>
                <w:sz w:val="32"/>
                <w:szCs w:val="24"/>
                <w:bdr w:val="none" w:color="auto" w:sz="0" w:space="0"/>
                <w:lang w:val="en-US"/>
              </w:rPr>
            </w:pPr>
            <w:r>
              <w:rPr>
                <w:rStyle w:val="19"/>
                <w:sz w:val="32"/>
                <w:szCs w:val="24"/>
                <w:bdr w:val="none" w:color="auto" w:sz="0" w:space="0"/>
                <w:lang w:val="en-US"/>
              </w:rPr>
              <w:t>117</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73AA04F3">
            <w:pPr>
              <w:jc w:val="center"/>
            </w:pPr>
            <w:r>
              <w:rPr>
                <w:rStyle w:val="20"/>
                <w:sz w:val="32"/>
                <w:szCs w:val="32"/>
                <w:bdr w:val="none" w:color="auto" w:sz="0" w:space="0"/>
                <w:lang w:val="en-US"/>
              </w:rPr>
              <w:t>25</w:t>
            </w:r>
          </w:p>
        </w:tc>
      </w:tr>
      <w:tr w14:paraId="75ED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C554B3B">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DCAE26E">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桃江县电化教育馆</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15101A76">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40499F40">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12</w:t>
            </w:r>
          </w:p>
        </w:tc>
      </w:tr>
      <w:tr w14:paraId="04F3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206D3DE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34238B6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0B94ABD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15FBB4B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39C332C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60A1CA6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025207D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5F1C6C62">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BF3CEC4">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无</w:t>
            </w:r>
          </w:p>
        </w:tc>
      </w:tr>
      <w:tr w14:paraId="520B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6BB058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6152A25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40BB465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38DE053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350BEE5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7F882F1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2D6953B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3D6DE8D4">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C7AD7FA">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一、着力提升教育装备标准化建设与信息技术融合应用水平 1.认真落实《桃江县教育信息化及教育装备管理办法》，加强学校在组织、建设、应用、安全及考核等方面的管理工作。 2.严格规范学校信息化及教育装备专项经费使用，进一步落实全县中小学电教设备的征订与采购计划，加强电教设备设施等固定资产管理。 3.坚持应用为主线，创新教学模式，深化信息技术与教育教学的融合创新。 举办全县中小学教育教学信息化作品征集活动。组织开展课件、微课制作、融合创新应用教学案例等信息化作品征集评选，遴选优秀作品参加省、市评选，桃花江镇第二中学的蔡晓平老师的课件《一滴水经过丽江》被评为省一等奖，桃花江镇中心学校小学部丁洁老师的融合应用创新案例《七律&amp;#8226;长征》获省三等奖；在市级评选中，分别获得课件一等奖1个，二等奖1个，三等奖3个，微课二等奖2个，三等奖1个，融合应用创新案例二等奖1个。同时，对征集到的358件作品进行了县级评审，共评出一等奖128个，二等奖107个，三等奖99个，并推送优秀微课作品79件参加益阳市第六届微课大赛。通过活动，提高了全县中小学教师的信息技术应用能力，为我县基础教育高质量发展提供了有力的技术支撑。 组织开展“基础教育精品课”征集评选工作，共收到221堂征集课例，有78堂优秀课例推市，有22堂课例被市推优参加省评选。 二、重视融合创新，全面提升师生信息素养 1.积极开展优质教育资源共建共享。根据湖南省教育厅发布的《关于进一步做好湖南省中小学教育教学资源建设与应用工作的通知》和省电教馆《关于公布第二批中小学线上教育教学资源建设任务与建设标准的通知》要求，我县桃花江镇中心学校初中部承担了初中八、九年级音乐课程教学资源149课时的开发与建设任务。 2.认真开展全县初中毕业信息技术考试工作，全县44所初中学校的九年级考生共7557人参加考试，按总分20分计算，全县平均分16.98，及格率99.62%，优良率3.10%。 3.组织开展中小学信息素养提升实践活动，共收到作品61个，其中数字创作类18个、创意编程类40个、创客类3个。在桃江玉潭学成功举办了机器人项目的竞赛活动，共43名学生报名参赛，有7人送市参赛并被推荐参加省赛项目复评，获省级一等奖2个、二等奖2个、三等奖2个。并在桃江玉潭学校成功举办了全县中小学信息素养提升实践活动（机器人）项目的竞赛活动。 </w:t>
            </w:r>
          </w:p>
          <w:p w14:paraId="28B9F328">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1D97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5863F3F">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45A0D05B">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单位法人资格证书有效期：2019年03月04日至2024年03月04日</w:t>
            </w:r>
          </w:p>
        </w:tc>
      </w:tr>
      <w:tr w14:paraId="6985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7D72CC9">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305806C7">
            <w:pPr>
              <w:jc w:val="left"/>
            </w:pPr>
            <w:r>
              <w:rPr>
                <w:rStyle w:val="20"/>
                <w:rFonts w:hint="eastAsia" w:ascii="楷体_GB2312" w:eastAsia="楷体_GB2312" w:cs="楷体_GB2312"/>
                <w:sz w:val="28"/>
                <w:szCs w:val="28"/>
                <w:bdr w:val="none" w:color="auto" w:sz="0" w:space="0"/>
                <w:lang w:val="en-US"/>
              </w:rPr>
              <w:t>无</w:t>
            </w:r>
          </w:p>
        </w:tc>
      </w:tr>
      <w:tr w14:paraId="72E4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53D9B5C">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529215B4">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1F13D67">
            <w:pPr>
              <w:jc w:val="left"/>
            </w:pPr>
            <w:r>
              <w:rPr>
                <w:rStyle w:val="20"/>
                <w:rFonts w:hint="eastAsia" w:ascii="楷体_GB2312" w:eastAsia="楷体_GB2312" w:cs="楷体_GB2312"/>
                <w:sz w:val="28"/>
                <w:szCs w:val="28"/>
                <w:bdr w:val="none" w:color="auto" w:sz="0" w:space="0"/>
                <w:lang w:val="en-US"/>
              </w:rPr>
              <w:t>无</w:t>
            </w:r>
          </w:p>
        </w:tc>
      </w:tr>
    </w:tbl>
    <w:p w14:paraId="16EFF6B7">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2B9E4B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hps"/>
    <w:basedOn w:val="13"/>
    <w:uiPriority w:val="0"/>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1295</Words>
  <Characters>1395</Characters>
  <Lines>4</Lines>
  <Paragraphs>1</Paragraphs>
  <TotalTime>45456.4375000016</TotalTime>
  <ScaleCrop>false</ScaleCrop>
  <LinksUpToDate>false</LinksUpToDate>
  <CharactersWithSpaces>1441</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2024-06-13T02:41:16Z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E88290CBEE02476FA1E76DFEEB7A8E7A_13</vt:lpwstr>
  </property>
</Properties>
</file>