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ACF1360">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14:paraId="41E0FDC9">
      <w:pPr>
        <w:wordWrap w:val="0"/>
        <w:jc w:val="right"/>
        <w:rPr>
          <w:rFonts w:eastAsia="楷体_GB2312"/>
          <w:b/>
          <w:bCs/>
          <w:sz w:val="30"/>
          <w:szCs w:val="24"/>
          <w:lang w:val="en-US"/>
        </w:rPr>
      </w:pPr>
      <w:r>
        <w:rPr>
          <w:rFonts w:eastAsia="楷体_GB2312"/>
          <w:b/>
          <w:bCs/>
          <w:sz w:val="30"/>
          <w:szCs w:val="24"/>
          <w:lang w:val="en-US"/>
        </w:rPr>
        <w:t xml:space="preserve">   </w:t>
      </w:r>
      <w:r>
        <w:rPr>
          <w:rStyle w:val="17"/>
          <w:b/>
          <w:bCs/>
          <w:sz w:val="30"/>
          <w:szCs w:val="30"/>
          <w:lang w:val="en-US"/>
        </w:rPr>
        <w:t>12430922447019891X</w:t>
      </w:r>
      <w:r>
        <w:rPr>
          <w:rFonts w:eastAsia="楷体_GB2312"/>
          <w:b/>
          <w:bCs/>
          <w:sz w:val="30"/>
          <w:szCs w:val="24"/>
          <w:lang w:val="en-US"/>
        </w:rPr>
        <w:t xml:space="preserve">   </w:t>
      </w:r>
    </w:p>
    <w:p w14:paraId="4F2B2AD0">
      <w:pPr>
        <w:jc w:val="right"/>
        <w:rPr>
          <w:lang w:val="en-US"/>
        </w:rPr>
      </w:pPr>
    </w:p>
    <w:p w14:paraId="0072ECB3">
      <w:pPr>
        <w:jc w:val="right"/>
        <w:rPr>
          <w:lang w:val="en-US"/>
        </w:rPr>
      </w:pPr>
    </w:p>
    <w:p w14:paraId="61E41C47">
      <w:pPr>
        <w:jc w:val="right"/>
        <w:rPr>
          <w:lang w:val="en-US"/>
        </w:rPr>
      </w:pPr>
    </w:p>
    <w:p w14:paraId="4D3CBB3B">
      <w:pPr>
        <w:jc w:val="right"/>
        <w:rPr>
          <w:lang w:val="en-US"/>
        </w:rPr>
      </w:pPr>
    </w:p>
    <w:p w14:paraId="2D248EDB">
      <w:pPr>
        <w:jc w:val="right"/>
        <w:rPr>
          <w:lang w:val="en-US"/>
        </w:rPr>
      </w:pPr>
    </w:p>
    <w:p w14:paraId="25AD010B">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14:paraId="1EC9AA61">
      <w:pPr>
        <w:jc w:val="center"/>
        <w:rPr>
          <w:rFonts w:eastAsia="黑体"/>
          <w:b/>
          <w:bCs/>
          <w:spacing w:val="30"/>
          <w:lang w:val="en-US"/>
        </w:rPr>
      </w:pPr>
    </w:p>
    <w:p w14:paraId="711E40B2">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7"/>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14:paraId="3A02D355">
      <w:pPr>
        <w:jc w:val="center"/>
        <w:rPr>
          <w:sz w:val="36"/>
          <w:szCs w:val="24"/>
          <w:lang w:val="en-US"/>
        </w:rPr>
      </w:pPr>
    </w:p>
    <w:p w14:paraId="60ECA964">
      <w:pPr>
        <w:jc w:val="center"/>
        <w:rPr>
          <w:sz w:val="36"/>
          <w:szCs w:val="24"/>
          <w:lang w:val="en-US"/>
        </w:rPr>
      </w:pPr>
    </w:p>
    <w:p w14:paraId="6F4A0659">
      <w:pPr>
        <w:jc w:val="center"/>
        <w:rPr>
          <w:sz w:val="36"/>
          <w:szCs w:val="24"/>
          <w:lang w:val="en-US"/>
        </w:rPr>
      </w:pPr>
    </w:p>
    <w:p w14:paraId="1259013F">
      <w:pPr>
        <w:jc w:val="center"/>
        <w:rPr>
          <w:sz w:val="36"/>
          <w:szCs w:val="24"/>
          <w:lang w:val="en-US"/>
        </w:rPr>
      </w:pPr>
    </w:p>
    <w:p w14:paraId="20C70112">
      <w:pPr>
        <w:jc w:val="center"/>
        <w:rPr>
          <w:sz w:val="36"/>
          <w:szCs w:val="24"/>
          <w:lang w:val="en-US"/>
        </w:rPr>
      </w:pPr>
    </w:p>
    <w:p w14:paraId="45C36CB2">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14:paraId="1DC2F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14:paraId="45396782">
            <w:pPr>
              <w:jc w:val="distribute"/>
            </w:pPr>
            <w:r>
              <w:rPr>
                <w:rStyle w:val="18"/>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14:paraId="092DEFE9">
            <w:pPr>
              <w:jc w:val="center"/>
              <w:rPr>
                <w:rFonts w:hint="eastAsia" w:ascii="楷体_GB2312" w:eastAsia="楷体_GB2312" w:cs="楷体_GB2312"/>
                <w:sz w:val="32"/>
                <w:szCs w:val="24"/>
                <w:bdr w:val="none" w:color="auto" w:sz="0" w:space="0"/>
                <w:lang w:val="en-US"/>
              </w:rPr>
            </w:pPr>
            <w:r>
              <w:rPr>
                <w:rStyle w:val="14"/>
                <w:rFonts w:hint="eastAsia" w:ascii="楷体_GB2312" w:eastAsia="楷体_GB2312" w:cs="楷体_GB2312"/>
                <w:sz w:val="32"/>
                <w:szCs w:val="24"/>
                <w:bdr w:val="none" w:color="auto" w:sz="0" w:space="0"/>
                <w:lang w:val="en-US"/>
              </w:rPr>
              <w:t>桃江县浮邱山国有林场</w:t>
            </w:r>
          </w:p>
        </w:tc>
      </w:tr>
    </w:tbl>
    <w:p w14:paraId="61E32373">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14:paraId="77B3D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14:paraId="2BA9505A">
            <w:pPr>
              <w:jc w:val="distribute"/>
            </w:pPr>
            <w:r>
              <w:rPr>
                <w:rStyle w:val="18"/>
                <w:b/>
                <w:bCs/>
                <w:sz w:val="36"/>
                <w:szCs w:val="24"/>
                <w:bdr w:val="none" w:color="auto" w:sz="0" w:space="0"/>
              </w:rPr>
              <w:t>法</w:t>
            </w:r>
            <w:r>
              <w:rPr>
                <w:rStyle w:val="18"/>
                <w:b/>
                <w:bCs/>
                <w:spacing w:val="30"/>
                <w:sz w:val="36"/>
                <w:szCs w:val="24"/>
                <w:bdr w:val="none" w:color="auto" w:sz="0" w:space="0"/>
              </w:rPr>
              <w:t>定代表</w:t>
            </w:r>
            <w:r>
              <w:rPr>
                <w:rStyle w:val="18"/>
                <w:b/>
                <w:bCs/>
                <w:sz w:val="36"/>
                <w:szCs w:val="24"/>
                <w:bdr w:val="none" w:color="auto" w:sz="0" w:space="0"/>
              </w:rPr>
              <w:t>人</w:t>
            </w:r>
          </w:p>
        </w:tc>
        <w:tc>
          <w:tcPr>
            <w:tcW w:w="5254" w:type="dxa"/>
            <w:tcBorders>
              <w:top w:val="nil"/>
              <w:left w:val="nil"/>
              <w:bottom w:val="single" w:color="auto" w:sz="12" w:space="0"/>
              <w:right w:val="nil"/>
            </w:tcBorders>
            <w:shd w:val="clear"/>
            <w:vAlign w:val="bottom"/>
          </w:tcPr>
          <w:p w14:paraId="0CF1F4A8">
            <w:pPr>
              <w:keepNext w:val="0"/>
              <w:keepLines w:val="0"/>
              <w:widowControl/>
              <w:suppressLineNumbers w:val="0"/>
              <w:jc w:val="left"/>
              <w:rPr>
                <w:kern w:val="0"/>
                <w:sz w:val="20"/>
                <w:szCs w:val="20"/>
                <w:bdr w:val="none" w:color="auto" w:sz="0" w:space="0"/>
                <w:lang w:val="en-US"/>
              </w:rPr>
            </w:pPr>
          </w:p>
        </w:tc>
      </w:tr>
    </w:tbl>
    <w:p w14:paraId="76027C7A">
      <w:pPr>
        <w:ind w:left="0" w:firstLine="723" w:firstLineChars="300"/>
        <w:rPr>
          <w:rFonts w:hint="eastAsia" w:ascii="黑体" w:hAnsi="宋体" w:eastAsia="黑体" w:cs="黑体"/>
          <w:b/>
          <w:bCs/>
          <w:sz w:val="24"/>
          <w:szCs w:val="24"/>
          <w:u w:val="single"/>
          <w:lang w:val="en-US"/>
        </w:rPr>
      </w:pPr>
    </w:p>
    <w:p w14:paraId="7C013B70">
      <w:pPr>
        <w:jc w:val="center"/>
        <w:rPr>
          <w:rFonts w:hint="eastAsia" w:ascii="黑体" w:hAnsi="宋体" w:eastAsia="黑体" w:cs="黑体"/>
          <w:b/>
          <w:bCs/>
          <w:sz w:val="30"/>
          <w:szCs w:val="24"/>
          <w:u w:val="single"/>
          <w:lang w:val="en-US"/>
        </w:rPr>
      </w:pPr>
    </w:p>
    <w:p w14:paraId="696C6EAE">
      <w:pPr>
        <w:jc w:val="center"/>
        <w:rPr>
          <w:rFonts w:hint="eastAsia" w:ascii="黑体" w:hAnsi="宋体" w:eastAsia="黑体" w:cs="黑体"/>
          <w:b/>
          <w:bCs/>
          <w:sz w:val="30"/>
          <w:szCs w:val="24"/>
          <w:u w:val="single"/>
          <w:lang w:val="en-US"/>
        </w:rPr>
      </w:pPr>
    </w:p>
    <w:p w14:paraId="7AA57B5B">
      <w:pPr>
        <w:jc w:val="center"/>
        <w:rPr>
          <w:u w:val="single"/>
          <w:lang w:val="en-US"/>
        </w:rPr>
      </w:pPr>
    </w:p>
    <w:p w14:paraId="647F3701">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14:paraId="452FB084">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14:paraId="2C729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14:paraId="69AA7C2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14:paraId="16EBBA4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14:paraId="685BA6C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14:paraId="1F2A4CC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14:paraId="3EA5E88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14:paraId="1F270F07">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14:paraId="7711A82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14:paraId="5AD8758E">
            <w:pPr>
              <w:spacing w:line="320" w:lineRule="exact"/>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桃江县浮邱山国有林场</w:t>
            </w:r>
          </w:p>
        </w:tc>
      </w:tr>
      <w:tr w14:paraId="330CB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519ACA1A">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4AE6223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14:paraId="0758E51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65BAFF24">
            <w:pPr>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管理国有林场，促进林业发展。 国有林场规划计划编制 林木种苗生产供应 森林培育与经营 护林防火 林木良种选育和新技术推广 林木种苗调剂 林木种苗产品质量检验与执法监督</w:t>
            </w:r>
          </w:p>
        </w:tc>
      </w:tr>
      <w:tr w14:paraId="2AC7A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022ADFC3">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1957A5F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60957F8B">
            <w:pPr>
              <w:jc w:val="left"/>
            </w:pPr>
            <w:r>
              <w:rPr>
                <w:rStyle w:val="19"/>
                <w:rFonts w:hint="eastAsia" w:ascii="楷体_GB2312" w:eastAsia="楷体_GB2312" w:cs="楷体_GB2312"/>
                <w:sz w:val="28"/>
                <w:szCs w:val="28"/>
                <w:bdr w:val="none" w:color="auto" w:sz="0" w:space="0"/>
                <w:lang w:val="en-US"/>
              </w:rPr>
              <w:t>桃江县浮邱山乡浮邱山顶</w:t>
            </w:r>
          </w:p>
        </w:tc>
      </w:tr>
      <w:tr w14:paraId="24ECF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57538703">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31CA356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6504B5AA">
            <w:pPr>
              <w:jc w:val="left"/>
            </w:pPr>
            <w:r>
              <w:rPr>
                <w:rStyle w:val="19"/>
                <w:rFonts w:hint="eastAsia" w:ascii="楷体_GB2312" w:eastAsia="楷体_GB2312" w:cs="楷体_GB2312"/>
                <w:sz w:val="28"/>
                <w:szCs w:val="28"/>
                <w:bdr w:val="none" w:color="auto" w:sz="0" w:space="0"/>
                <w:lang w:val="en-US"/>
              </w:rPr>
              <w:t>高定军</w:t>
            </w:r>
          </w:p>
        </w:tc>
      </w:tr>
      <w:tr w14:paraId="14FE0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6B048B37">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2677260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1AFD770D">
            <w:pPr>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69</w:t>
            </w:r>
            <w:r>
              <w:rPr>
                <w:rStyle w:val="19"/>
                <w:rFonts w:hint="eastAsia" w:ascii="楷体_GB2312" w:eastAsia="楷体_GB2312" w:cs="楷体_GB2312"/>
                <w:sz w:val="28"/>
                <w:szCs w:val="28"/>
                <w:bdr w:val="none" w:color="auto" w:sz="0" w:space="0"/>
              </w:rPr>
              <w:t>（万元）</w:t>
            </w:r>
          </w:p>
        </w:tc>
      </w:tr>
      <w:tr w14:paraId="36196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0921BB6B">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697C016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3250BC42">
            <w:pPr>
              <w:jc w:val="left"/>
              <w:rPr>
                <w:sz w:val="32"/>
                <w:szCs w:val="32"/>
                <w:bdr w:val="none" w:color="auto" w:sz="0" w:space="0"/>
                <w:lang w:val="en-US"/>
              </w:rPr>
            </w:pPr>
            <w:r>
              <w:rPr>
                <w:rStyle w:val="19"/>
                <w:rFonts w:hint="eastAsia" w:ascii="楷体_GB2312" w:eastAsia="楷体_GB2312" w:cs="楷体_GB2312"/>
                <w:sz w:val="28"/>
                <w:szCs w:val="28"/>
                <w:bdr w:val="none" w:color="auto" w:sz="0" w:space="0"/>
                <w:lang w:val="en-US"/>
              </w:rPr>
              <w:t>财政补助</w:t>
            </w:r>
          </w:p>
        </w:tc>
      </w:tr>
      <w:tr w14:paraId="2C241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4490C951">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667FB57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75E64C05">
            <w:pPr>
              <w:jc w:val="left"/>
            </w:pPr>
            <w:r>
              <w:rPr>
                <w:rStyle w:val="19"/>
                <w:rFonts w:hint="eastAsia" w:ascii="楷体_GB2312" w:eastAsia="楷体_GB2312" w:cs="楷体_GB2312"/>
                <w:sz w:val="28"/>
                <w:szCs w:val="28"/>
                <w:bdr w:val="none" w:color="auto" w:sz="0" w:space="0"/>
                <w:lang w:val="en-US"/>
              </w:rPr>
              <w:t>桃江县桃花江国家森林公园管理处</w:t>
            </w:r>
          </w:p>
        </w:tc>
      </w:tr>
      <w:tr w14:paraId="3C1FF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14:paraId="5A2F6B0A">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14:paraId="7E6D79A7">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14:paraId="02D70E91">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14:paraId="132B9DED">
            <w:pPr>
              <w:jc w:val="center"/>
              <w:rPr>
                <w:sz w:val="32"/>
                <w:szCs w:val="24"/>
                <w:bdr w:val="none" w:color="auto" w:sz="0" w:space="0"/>
                <w:lang w:val="en-US"/>
              </w:rPr>
            </w:pPr>
            <w:r>
              <w:rPr>
                <w:rStyle w:val="14"/>
                <w:rFonts w:hint="eastAsia" w:ascii="Times New Roman" w:eastAsia="楷体_GB2312" w:cs="楷体_GB2312"/>
                <w:sz w:val="32"/>
                <w:szCs w:val="24"/>
                <w:bdr w:val="none" w:color="auto" w:sz="0" w:space="0"/>
              </w:rPr>
              <w:t>净资产合计（所有者权益合计）</w:t>
            </w:r>
          </w:p>
        </w:tc>
      </w:tr>
      <w:tr w14:paraId="57C7B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47B6A63E">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7AEBEFE3">
            <w:pPr>
              <w:jc w:val="center"/>
              <w:rPr>
                <w:sz w:val="32"/>
                <w:szCs w:val="24"/>
                <w:bdr w:val="none" w:color="auto" w:sz="0" w:space="0"/>
                <w:lang w:val="en-US"/>
              </w:rPr>
            </w:pPr>
            <w:r>
              <w:rPr>
                <w:rStyle w:val="14"/>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14:paraId="09C9D8DF">
            <w:pPr>
              <w:jc w:val="center"/>
              <w:rPr>
                <w:sz w:val="32"/>
                <w:szCs w:val="24"/>
                <w:bdr w:val="none" w:color="auto" w:sz="0" w:space="0"/>
                <w:lang w:val="en-US"/>
              </w:rPr>
            </w:pPr>
            <w:r>
              <w:rPr>
                <w:rStyle w:val="14"/>
                <w:rFonts w:hint="eastAsia" w:ascii="Times New Roman" w:eastAsia="楷体_GB2312" w:cs="楷体_GB2312"/>
                <w:sz w:val="32"/>
                <w:szCs w:val="24"/>
                <w:bdr w:val="none" w:color="auto" w:sz="0" w:space="0"/>
              </w:rPr>
              <w:t>年末数（万元）</w:t>
            </w:r>
          </w:p>
        </w:tc>
      </w:tr>
      <w:tr w14:paraId="2559F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605017F0">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597E1E1A">
            <w:pPr>
              <w:jc w:val="center"/>
              <w:rPr>
                <w:sz w:val="32"/>
                <w:szCs w:val="24"/>
                <w:bdr w:val="none" w:color="auto" w:sz="0" w:space="0"/>
                <w:lang w:val="en-US"/>
              </w:rPr>
            </w:pPr>
            <w:r>
              <w:rPr>
                <w:rStyle w:val="14"/>
                <w:sz w:val="32"/>
                <w:szCs w:val="24"/>
                <w:bdr w:val="none" w:color="auto" w:sz="0" w:space="0"/>
                <w:lang w:val="en-US"/>
              </w:rPr>
              <w:t>429.3953</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14:paraId="0DB04A1F">
            <w:pPr>
              <w:jc w:val="center"/>
            </w:pPr>
            <w:r>
              <w:rPr>
                <w:rStyle w:val="19"/>
                <w:sz w:val="32"/>
                <w:szCs w:val="32"/>
                <w:bdr w:val="none" w:color="auto" w:sz="0" w:space="0"/>
                <w:lang w:val="en-US"/>
              </w:rPr>
              <w:t>353.088</w:t>
            </w:r>
          </w:p>
        </w:tc>
      </w:tr>
      <w:tr w14:paraId="630EC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510499A8">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14034FDF">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桃江县浮邱山国有林场</w:t>
            </w:r>
          </w:p>
        </w:tc>
        <w:tc>
          <w:tcPr>
            <w:tcW w:w="1702" w:type="dxa"/>
            <w:tcBorders>
              <w:top w:val="single" w:color="auto" w:sz="4" w:space="0"/>
              <w:left w:val="single" w:color="auto" w:sz="4" w:space="0"/>
              <w:bottom w:val="single" w:color="auto" w:sz="4" w:space="0"/>
              <w:right w:val="single" w:color="auto" w:sz="4" w:space="0"/>
            </w:tcBorders>
            <w:shd w:val="clear"/>
            <w:vAlign w:val="center"/>
          </w:tcPr>
          <w:p w14:paraId="45A2F1B3">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14:paraId="37585C89">
            <w:pPr>
              <w:spacing w:line="0" w:lineRule="atLeast"/>
              <w:jc w:val="left"/>
              <w:rPr>
                <w:rFonts w:hint="eastAsia" w:ascii="楷体_GB2312" w:eastAsia="楷体_GB2312" w:cs="楷体_GB2312"/>
                <w:sz w:val="32"/>
                <w:szCs w:val="24"/>
                <w:bdr w:val="none" w:color="auto" w:sz="0" w:space="0"/>
                <w:lang w:val="en-US"/>
              </w:rPr>
            </w:pPr>
            <w:r>
              <w:rPr>
                <w:rStyle w:val="14"/>
                <w:sz w:val="32"/>
                <w:szCs w:val="24"/>
                <w:bdr w:val="none" w:color="auto" w:sz="0" w:space="0"/>
                <w:lang w:val="en-US"/>
              </w:rPr>
              <w:t>29</w:t>
            </w:r>
          </w:p>
        </w:tc>
      </w:tr>
      <w:tr w14:paraId="4707E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688E4D5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14:paraId="05B30C7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14:paraId="297E8AB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14:paraId="1E4B3A4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14:paraId="20FA0E4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14:paraId="2403D5E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14:paraId="3309BC4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14:paraId="5FE769EB">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1BDCEA1E">
            <w:pPr>
              <w:spacing w:line="320" w:lineRule="exac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严格按《条例》和实施细则有关规定执行</w:t>
            </w:r>
          </w:p>
        </w:tc>
      </w:tr>
      <w:tr w14:paraId="7FB4E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4091E59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14:paraId="34C7799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14:paraId="4B6DAE0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14:paraId="080FB69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14:paraId="1C41536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14:paraId="74F9CA5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14:paraId="5C44967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14:paraId="4AB8E6E7">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43A6C394">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19"/>
                <w:rFonts w:hint="eastAsia" w:ascii="楷体_GB2312" w:eastAsia="楷体_GB2312" w:cs="楷体_GB2312"/>
                <w:sz w:val="28"/>
                <w:szCs w:val="24"/>
                <w:bdr w:val="none" w:color="auto" w:sz="0" w:space="0"/>
                <w:lang w:val="en-US"/>
              </w:rPr>
              <w:t xml:space="preserve">2023年桃江县浮邱山国有林场在桃花江国家森林公园管理处的领导下，认真贯彻《事业单位登记管理条例》及《事业单位暂行条例实施细则》的有关规定，现将业务活动开展情况汇报如下： 一、今年，我林场基层党支部始终把学习贯彻习总平总书记：关于“全面推进党的政治建设、思想建设、组织建设、作风建设、纪律建设，把制度建设贯穿其中。”的指导思想，落实到林场管理工作中。以党的政治建设为统领，以坚定理想信念宗旨为根基，毫不动摇坚持党的领导，把党的基层组织建设得更加坚强有力。林场坚持深化改革，加强内部组织管理，提高干职工队伍思想政治素质，促进林场各项事业全面、协调、可持续发展。做到思想上、政治上、行动上与党中央保持一致，建立健全管理机制，坚持推行场务公开与职代会相结合的民主管理制度，切实推进民主监督与决策，为推动林场持续健康发展创新良好的条件。 二、重点项目完成情况：1、4.5公里生物防火带建设基本完成。2、仑顶防火监测站主体装修工程12月底前完成。3、秀美林场项目实施已完成。 三、其他生产与建设：1、林场仑顶新建森林防火监测系统与省局物联系统按上级要求已及时对接。运行正常。2、仑顶防火用水与管护站点用水网建设已完成，达到供水目标。3、补植补造树苗投入5万余元。4、林木抚育面积80亩。5、添置防火器材设备10万余元，维修消防蓄水池4个（容积250立方），林区不同位置安装消防水桶4个（容积20立方）， 古树保护投入资金3万余元。 四、安全生产：林场全面落实安全生产“十五条”硬措施和“四最”工作要求，成立了林场安全领导小组，分工明确，责任到人，修订了安全应急预案，制定了重大安全隐患排查治理方案，确保稳步推进安全生产治理体系和逐步提升现代化安全管理建设。切实加强了安全巡查与巡林工作，通过查问题改进林场安全生产的基础工作与全场经济发展各项工作同步前进，始终把安全生产摆在重要位置。 五、护林防火工作情况。1、加强防火责任管理。与分管林区护林员及我场职工分别签订护林防火责任书，建立奖惩制度，防灭火工作同年终绩效考核挂钩，调动职工的积极性。做到护林防火工作责任明确、层层管理、及时上传下达。2、加大防火宣传力度。加强与乡政府、相邻村及时沟通，保持密切联系，确保出现火情火警能迅速组织人员，进行快捷有效扑救。3、落实隐患排查制度，发现隐患及时予以整改。 六、林场与景区运营，相互协调同步有效管理。 逐步完善了林场与景区（城投运营）的协调合作关系，化解了林场、相邻村、景区（城投）运营公司分头管理过程中产生的部分矛盾纠纷，林场与景区森林防火采了取联防联控的措施。森林火险得到有效控制，今后还需进一步加深管理合作。 </w:t>
            </w:r>
          </w:p>
          <w:p w14:paraId="5175669E">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14:paraId="0322A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5FB5A8D7">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31406283">
            <w:pPr>
              <w:spacing w:line="320" w:lineRule="exac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4"/>
                <w:bdr w:val="none" w:color="auto" w:sz="0" w:space="0"/>
                <w:lang w:val="en-US"/>
              </w:rPr>
              <w:t>无</w:t>
            </w:r>
          </w:p>
        </w:tc>
      </w:tr>
      <w:tr w14:paraId="4B8F3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0C8FAB7B">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14:paraId="5BC39F46">
            <w:pPr>
              <w:jc w:val="left"/>
            </w:pPr>
            <w:r>
              <w:rPr>
                <w:rStyle w:val="19"/>
                <w:rFonts w:hint="eastAsia" w:ascii="楷体_GB2312" w:eastAsia="楷体_GB2312" w:cs="楷体_GB2312"/>
                <w:sz w:val="28"/>
                <w:szCs w:val="28"/>
                <w:bdr w:val="none" w:color="auto" w:sz="0" w:space="0"/>
                <w:lang w:val="en-US"/>
              </w:rPr>
              <w:t>无</w:t>
            </w:r>
          </w:p>
        </w:tc>
      </w:tr>
      <w:tr w14:paraId="4E25B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0880CAD6">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14:paraId="15659AC1">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557DFB90">
            <w:pPr>
              <w:jc w:val="left"/>
            </w:pPr>
            <w:r>
              <w:rPr>
                <w:rStyle w:val="19"/>
                <w:rFonts w:hint="eastAsia" w:ascii="楷体_GB2312" w:eastAsia="楷体_GB2312" w:cs="楷体_GB2312"/>
                <w:sz w:val="28"/>
                <w:szCs w:val="28"/>
                <w:bdr w:val="none" w:color="auto" w:sz="0" w:space="0"/>
                <w:lang w:val="en-US"/>
              </w:rPr>
              <w:t>无</w:t>
            </w:r>
          </w:p>
        </w:tc>
      </w:tr>
    </w:tbl>
    <w:p w14:paraId="1B9CDF08">
      <w:pPr>
        <w:jc w:val="left"/>
        <w:rPr>
          <w:rFonts w:hint="eastAsia" w:ascii="楷体_GB2312" w:eastAsia="楷体_GB2312" w:cs="楷体_GB2312"/>
          <w:b/>
          <w:bCs/>
          <w:sz w:val="28"/>
          <w:szCs w:val="28"/>
          <w:lang w:val="en-US"/>
        </w:rPr>
      </w:pP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auto"/>
    <w:pitch w:val="fixed"/>
    <w:sig w:usb0="800002BF" w:usb1="38CF7CFA" w:usb2="00000016" w:usb3="00000000" w:csb0="00040001" w:csb1="00000000"/>
  </w:font>
  <w:font w:name="@楷体_GB2312">
    <w:panose1 w:val="02010609030101010101"/>
    <w:charset w:val="86"/>
    <w:family w:val="auto"/>
    <w:pitch w:val="fixed"/>
    <w:sig w:usb0="00000001" w:usb1="080E0000" w:usb2="00000000" w:usb3="00000000" w:csb0="00040000" w:csb1="00000000"/>
  </w:font>
  <w:font w:name="Cambria Math">
    <w:panose1 w:val="02040503050406030204"/>
    <w:charset w:val="01"/>
    <w:family w:val="auto"/>
    <w:pitch w:val="variable"/>
    <w:sig w:usb0="E00002FF" w:usb1="420024FF" w:usb2="00000000" w:usb3="00000000" w:csb0="2000019F" w:csb1="00000000"/>
  </w:font>
  <w:font w:name="楷体_GB2312">
    <w:panose1 w:val="02010609030101010101"/>
    <w:charset w:val="86"/>
    <w:family w:val="auto"/>
    <w:pitch w:val="fixed"/>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NjIyN2U2NjRhN2NiMzUxYTA1NjlkZWExMDEwNWQifQ=="/>
  </w:docVars>
  <w:rsids>
    <w:rsidRoot w:val="00000000"/>
    <w:rsid w:val="070E10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6"/>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5"/>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font61"/>
    <w:basedOn w:val="13"/>
    <w:uiPriority w:val="0"/>
    <w:rPr>
      <w:rFonts w:hint="default" w:ascii="Times New Roman" w:hAnsi="Times New Roman" w:eastAsia="楷体_GB2312" w:cs="Times New Roman"/>
      <w:sz w:val="32"/>
      <w:szCs w:val="24"/>
    </w:rPr>
  </w:style>
  <w:style w:type="character" w:customStyle="1" w:styleId="15">
    <w:name w:val="页眉 Char"/>
    <w:basedOn w:val="13"/>
    <w:link w:val="9"/>
    <w:locked/>
    <w:uiPriority w:val="0"/>
    <w:rPr>
      <w:rFonts w:hint="default" w:ascii="Times New Roman" w:hAnsi="Times New Roman" w:eastAsia="宋体" w:cs="Times New Roman"/>
      <w:sz w:val="18"/>
      <w:szCs w:val="18"/>
    </w:rPr>
  </w:style>
  <w:style w:type="character" w:customStyle="1" w:styleId="16">
    <w:name w:val="页脚 Char"/>
    <w:basedOn w:val="13"/>
    <w:link w:val="8"/>
    <w:locked/>
    <w:uiPriority w:val="0"/>
    <w:rPr>
      <w:rFonts w:hint="default" w:ascii="Times New Roman" w:hAnsi="Times New Roman" w:eastAsia="宋体" w:cs="Times New Roman"/>
      <w:sz w:val="18"/>
      <w:szCs w:val="18"/>
    </w:rPr>
  </w:style>
  <w:style w:type="character" w:customStyle="1" w:styleId="17">
    <w:name w:val="font21"/>
    <w:basedOn w:val="13"/>
    <w:uiPriority w:val="0"/>
    <w:rPr>
      <w:rFonts w:hint="default" w:ascii="Times New Roman" w:hAnsi="Times New Roman" w:eastAsia="楷体_GB2312" w:cs="Times New Roman"/>
      <w:sz w:val="30"/>
      <w:szCs w:val="24"/>
    </w:rPr>
  </w:style>
  <w:style w:type="character" w:customStyle="1" w:styleId="18">
    <w:name w:val="font51"/>
    <w:basedOn w:val="13"/>
    <w:uiPriority w:val="0"/>
    <w:rPr>
      <w:rFonts w:hint="eastAsia" w:ascii="黑体" w:hAnsi="宋体" w:eastAsia="黑体" w:cs="黑体"/>
      <w:sz w:val="36"/>
      <w:szCs w:val="24"/>
    </w:rPr>
  </w:style>
  <w:style w:type="character" w:customStyle="1" w:styleId="19">
    <w:name w:val="font71"/>
    <w:basedOn w:val="13"/>
    <w:uiPriority w:val="0"/>
    <w:rPr>
      <w:rFonts w:hint="default" w:ascii="Times New Roman" w:hAnsi="Times New Roman" w:eastAsia="楷体_GB2312" w:cs="Times New Roman"/>
      <w:sz w:val="28"/>
      <w:szCs w:val="24"/>
    </w:rPr>
  </w:style>
  <w:style w:type="character" w:customStyle="1" w:styleId="20">
    <w:name w:val="hps"/>
    <w:basedOn w:val="1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6</Pages>
  <Words>1478</Words>
  <Characters>1539</Characters>
  <Lines>4</Lines>
  <Paragraphs>1</Paragraphs>
  <TotalTime>45456.4687500016</TotalTime>
  <ScaleCrop>false</ScaleCrop>
  <LinksUpToDate>false</LinksUpToDate>
  <CharactersWithSpaces>1590</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Administrator</cp:lastModifiedBy>
  <dcterms:modified xsi:type="dcterms:W3CDTF">2024-06-13T03:35:46Z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58685A3B116E4CDBB3751AAA1BFF7270_13</vt:lpwstr>
  </property>
</Properties>
</file>