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7A791CB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3C6C33AD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7"/>
          <w:b/>
          <w:bCs/>
          <w:sz w:val="30"/>
          <w:szCs w:val="30"/>
          <w:lang w:val="en-US"/>
        </w:rPr>
        <w:t>12430922058038714C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02F2B64B">
      <w:pPr>
        <w:jc w:val="right"/>
        <w:rPr>
          <w:lang w:val="en-US"/>
        </w:rPr>
      </w:pPr>
    </w:p>
    <w:p w14:paraId="147D3E41">
      <w:pPr>
        <w:jc w:val="right"/>
        <w:rPr>
          <w:lang w:val="en-US"/>
        </w:rPr>
      </w:pPr>
    </w:p>
    <w:p w14:paraId="6A542261">
      <w:pPr>
        <w:jc w:val="right"/>
        <w:rPr>
          <w:lang w:val="en-US"/>
        </w:rPr>
      </w:pPr>
    </w:p>
    <w:p w14:paraId="58F87BF2">
      <w:pPr>
        <w:jc w:val="right"/>
        <w:rPr>
          <w:lang w:val="en-US"/>
        </w:rPr>
      </w:pPr>
    </w:p>
    <w:p w14:paraId="7ABD051E">
      <w:pPr>
        <w:jc w:val="right"/>
        <w:rPr>
          <w:lang w:val="en-US"/>
        </w:rPr>
      </w:pPr>
    </w:p>
    <w:p w14:paraId="31092ADB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119A2C0D">
      <w:pPr>
        <w:jc w:val="center"/>
        <w:rPr>
          <w:rFonts w:eastAsia="黑体"/>
          <w:b/>
          <w:bCs/>
          <w:spacing w:val="30"/>
          <w:lang w:val="en-US"/>
        </w:rPr>
      </w:pPr>
    </w:p>
    <w:p w14:paraId="3AB86AEC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7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647AD6A1">
      <w:pPr>
        <w:jc w:val="center"/>
        <w:rPr>
          <w:sz w:val="36"/>
          <w:szCs w:val="24"/>
          <w:lang w:val="en-US"/>
        </w:rPr>
      </w:pPr>
    </w:p>
    <w:p w14:paraId="2FBBF3F3">
      <w:pPr>
        <w:jc w:val="center"/>
        <w:rPr>
          <w:sz w:val="36"/>
          <w:szCs w:val="24"/>
          <w:lang w:val="en-US"/>
        </w:rPr>
      </w:pPr>
    </w:p>
    <w:p w14:paraId="65E5734C">
      <w:pPr>
        <w:jc w:val="center"/>
        <w:rPr>
          <w:sz w:val="36"/>
          <w:szCs w:val="24"/>
          <w:lang w:val="en-US"/>
        </w:rPr>
      </w:pPr>
    </w:p>
    <w:p w14:paraId="330F8D3F">
      <w:pPr>
        <w:jc w:val="center"/>
        <w:rPr>
          <w:sz w:val="36"/>
          <w:szCs w:val="24"/>
          <w:lang w:val="en-US"/>
        </w:rPr>
      </w:pPr>
    </w:p>
    <w:p w14:paraId="1E795DA9">
      <w:pPr>
        <w:jc w:val="center"/>
        <w:rPr>
          <w:sz w:val="36"/>
          <w:szCs w:val="24"/>
          <w:lang w:val="en-US"/>
        </w:rPr>
      </w:pPr>
    </w:p>
    <w:p w14:paraId="01DB0DF9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017DD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7FEC86B0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069CFDD6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桃江县房屋租赁管理所</w:t>
            </w:r>
          </w:p>
        </w:tc>
      </w:tr>
    </w:tbl>
    <w:p w14:paraId="62286DC6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3864E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2EAE029E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8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2470450D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6B035119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06A10128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68E44A08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42FFE14E">
      <w:pPr>
        <w:jc w:val="center"/>
        <w:rPr>
          <w:u w:val="single"/>
          <w:lang w:val="en-US"/>
        </w:rPr>
      </w:pPr>
    </w:p>
    <w:p w14:paraId="0E93B44F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7CD3F08D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44725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80663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53F906B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1FDBF8E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323647D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30216C7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61CE7D2F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B132D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18791C5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桃江县房屋租赁管理所</w:t>
            </w:r>
          </w:p>
        </w:tc>
      </w:tr>
      <w:tr w14:paraId="360BD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47844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91088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06B91D6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5385EFC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为辖区范围内房屋租赁市提供服务 全县城镇房屋租赁管理、鉴证服务 城镇范围内出租房屋登记备案、租赁许可证发放 受县地税局委托负责全县房地产相关税收征缴</w:t>
            </w:r>
          </w:p>
        </w:tc>
      </w:tr>
      <w:tr w14:paraId="7B2F3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F8421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651F9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84E20D4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桃江县桃花江镇资江路8号</w:t>
            </w:r>
          </w:p>
        </w:tc>
      </w:tr>
      <w:tr w14:paraId="60F13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8ED60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FD215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332871A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钟少云</w:t>
            </w:r>
          </w:p>
        </w:tc>
      </w:tr>
      <w:tr w14:paraId="44F9B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30CDC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97598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055BAF8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</w:t>
            </w: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55529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6D1B6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A5098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E6CFB40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非财政补助</w:t>
            </w:r>
          </w:p>
        </w:tc>
      </w:tr>
      <w:tr w14:paraId="53F49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352BB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6D2FA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FCA21CB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桃江县住房保障服务中心</w:t>
            </w:r>
          </w:p>
        </w:tc>
      </w:tr>
      <w:tr w14:paraId="3698C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29A10A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71D534A4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07A5D755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84676EE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786A7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293C6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675F27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5B6EC21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2944E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0DD90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EEF1F4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6BC8F30">
            <w:pPr>
              <w:jc w:val="center"/>
            </w:pPr>
            <w:r>
              <w:rPr>
                <w:rStyle w:val="14"/>
                <w:sz w:val="32"/>
                <w:szCs w:val="32"/>
                <w:bdr w:val="none" w:color="auto" w:sz="0" w:space="0"/>
                <w:lang w:val="en-US"/>
              </w:rPr>
              <w:t>1</w:t>
            </w:r>
          </w:p>
        </w:tc>
      </w:tr>
      <w:tr w14:paraId="18AB5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3EDCA4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41A5CB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桃江县房屋租赁管理所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11C9A4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41079EE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6</w:t>
            </w:r>
          </w:p>
        </w:tc>
      </w:tr>
      <w:tr w14:paraId="18CCC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C79EF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32DE6BC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19D1C19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0191A30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79BD27E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31ECFB3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63D26E9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28438DE4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4ADE167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6A65D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32D2B75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2654A3D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30990AF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1084DA2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1AC5AC0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04E5DF0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5C52E3D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630D14A4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36B25DD6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对全县城镇出租、自营房屋进行全面摸底，建立了电子档案信息，对该部分房屋进行租赁管理、鉴证服务、登记备案、租赁许可证发放。 </w:t>
            </w:r>
          </w:p>
          <w:p w14:paraId="540AE0DA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7631C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04AF5D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5788B26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事业单位法人证书，2020年3月30日至2025年3月30日</w:t>
            </w:r>
          </w:p>
        </w:tc>
      </w:tr>
      <w:tr w14:paraId="70F5B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1D7EFE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D8E986E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7B0B7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774F0633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71405098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55D55D49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3F161B02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532A6C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5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8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9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454</Words>
  <Characters>497</Characters>
  <Lines>4</Lines>
  <Paragraphs>1</Paragraphs>
  <TotalTime>45456.4687500016</TotalTime>
  <ScaleCrop>false</ScaleCrop>
  <LinksUpToDate>false</LinksUpToDate>
  <CharactersWithSpaces>536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2024-06-13T03:45:18Z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C2D7C9708FFA40D18E2B12AA4422E40A_13</vt:lpwstr>
  </property>
</Properties>
</file>