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83A532B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499CAD29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5"/>
          <w:b/>
          <w:bCs/>
          <w:sz w:val="30"/>
          <w:szCs w:val="30"/>
          <w:lang w:val="en-US"/>
        </w:rPr>
        <w:t>12430922G01820867K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78780C29">
      <w:pPr>
        <w:jc w:val="right"/>
        <w:rPr>
          <w:lang w:val="en-US"/>
        </w:rPr>
      </w:pPr>
    </w:p>
    <w:p w14:paraId="15CFC453">
      <w:pPr>
        <w:jc w:val="right"/>
        <w:rPr>
          <w:lang w:val="en-US"/>
        </w:rPr>
      </w:pPr>
    </w:p>
    <w:p w14:paraId="2B903337">
      <w:pPr>
        <w:jc w:val="right"/>
        <w:rPr>
          <w:lang w:val="en-US"/>
        </w:rPr>
      </w:pPr>
    </w:p>
    <w:p w14:paraId="5FD55BC1">
      <w:pPr>
        <w:jc w:val="right"/>
        <w:rPr>
          <w:lang w:val="en-US"/>
        </w:rPr>
      </w:pPr>
    </w:p>
    <w:p w14:paraId="68511914">
      <w:pPr>
        <w:jc w:val="right"/>
        <w:rPr>
          <w:lang w:val="en-US"/>
        </w:rPr>
      </w:pPr>
    </w:p>
    <w:p w14:paraId="5633907D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368E596E">
      <w:pPr>
        <w:jc w:val="center"/>
        <w:rPr>
          <w:rFonts w:eastAsia="黑体"/>
          <w:b/>
          <w:bCs/>
          <w:spacing w:val="30"/>
          <w:lang w:val="en-US"/>
        </w:rPr>
      </w:pPr>
    </w:p>
    <w:p w14:paraId="1F945A25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5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76BDD28C">
      <w:pPr>
        <w:jc w:val="center"/>
        <w:rPr>
          <w:sz w:val="36"/>
          <w:szCs w:val="24"/>
          <w:lang w:val="en-US"/>
        </w:rPr>
      </w:pPr>
    </w:p>
    <w:p w14:paraId="6284A6A8">
      <w:pPr>
        <w:jc w:val="center"/>
        <w:rPr>
          <w:sz w:val="36"/>
          <w:szCs w:val="24"/>
          <w:lang w:val="en-US"/>
        </w:rPr>
      </w:pPr>
    </w:p>
    <w:p w14:paraId="0E9DDB5F">
      <w:pPr>
        <w:jc w:val="center"/>
        <w:rPr>
          <w:sz w:val="36"/>
          <w:szCs w:val="24"/>
          <w:lang w:val="en-US"/>
        </w:rPr>
      </w:pPr>
    </w:p>
    <w:p w14:paraId="38EBA9E1">
      <w:pPr>
        <w:jc w:val="center"/>
        <w:rPr>
          <w:sz w:val="36"/>
          <w:szCs w:val="24"/>
          <w:lang w:val="en-US"/>
        </w:rPr>
      </w:pPr>
    </w:p>
    <w:p w14:paraId="6ACA9E62">
      <w:pPr>
        <w:jc w:val="center"/>
        <w:rPr>
          <w:sz w:val="36"/>
          <w:szCs w:val="24"/>
          <w:lang w:val="en-US"/>
        </w:rPr>
      </w:pPr>
    </w:p>
    <w:p w14:paraId="6EA9A42D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2C03E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035DA73B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7CE1F3D1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桃江县地震办公室</w:t>
            </w:r>
          </w:p>
        </w:tc>
      </w:tr>
    </w:tbl>
    <w:p w14:paraId="6D42E316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39E92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5A9DD787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8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2A92CD71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099D754A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69D15915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5FBE894B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61C38970">
      <w:pPr>
        <w:jc w:val="center"/>
        <w:rPr>
          <w:u w:val="single"/>
          <w:lang w:val="en-US"/>
        </w:rPr>
      </w:pPr>
    </w:p>
    <w:p w14:paraId="14F0E6FB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5489105A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38EDB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C20AD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0F422F9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63E16A4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652711E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531EF6A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6B7416AD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BA606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719DADE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桃江县地震办公室</w:t>
            </w:r>
          </w:p>
        </w:tc>
      </w:tr>
      <w:tr w14:paraId="1A544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D9AEA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FDA9F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3C25BE3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A86C43B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负责全县地震检测、预警工作。负责全县地震应急救援工作的技术支持工作。负责全县地震防治工作。</w:t>
            </w:r>
          </w:p>
        </w:tc>
      </w:tr>
      <w:tr w14:paraId="0626A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B97A8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83697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5E4B2C7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桃花江镇芙蓉西路128号</w:t>
            </w:r>
          </w:p>
        </w:tc>
      </w:tr>
      <w:tr w14:paraId="2C718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768FE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E3492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7D6FDC2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颜克礼</w:t>
            </w:r>
          </w:p>
        </w:tc>
      </w:tr>
      <w:tr w14:paraId="09ACB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F0478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DE732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3E22FB7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8</w:t>
            </w: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30174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D6286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ED717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FC40B93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财政补助（财政补助(全额)）</w:t>
            </w:r>
          </w:p>
        </w:tc>
      </w:tr>
      <w:tr w14:paraId="5E3B0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FB52E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7033F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5CDBF20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桃江县应急管理局</w:t>
            </w:r>
          </w:p>
        </w:tc>
      </w:tr>
      <w:tr w14:paraId="13034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690F21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4A646861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31BEFD53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D51638D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36E4F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8EB00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6C1A31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250E46A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2F24B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F3D9D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137CDD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8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28E6728">
            <w:pPr>
              <w:jc w:val="center"/>
            </w:pPr>
            <w:r>
              <w:rPr>
                <w:rStyle w:val="20"/>
                <w:sz w:val="32"/>
                <w:szCs w:val="32"/>
                <w:bdr w:val="none" w:color="auto" w:sz="0" w:space="0"/>
                <w:lang w:val="en-US"/>
              </w:rPr>
              <w:t>8</w:t>
            </w:r>
          </w:p>
        </w:tc>
      </w:tr>
      <w:tr w14:paraId="6734B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72A85B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B0864D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桃江县地震办公室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8424E2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36C3E23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6</w:t>
            </w:r>
          </w:p>
        </w:tc>
      </w:tr>
      <w:tr w14:paraId="0CF0E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63ACC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7690486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7C15FA5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6E167A1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00E9180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3503020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639137D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15A8A1A4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D1C0797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2022年，我单位严格遵守国家有关法律法规和《事业单位登记管理暂行条例》及其实施细则的规定，按照宗旨和业务范围开展相关活动，没有涉及变更登记的事项，没有违法违规等情况。</w:t>
            </w:r>
          </w:p>
        </w:tc>
      </w:tr>
      <w:tr w14:paraId="1E7FD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6A528EE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0E63B7A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7FBA0AD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0475D4C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51D3B38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401D027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2BC3D1C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1E7AE51D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42138FF3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一、地震监测预报工作 我办坚持震情就是命令的原则，做好值班工作。每天保持有人值班。全年全县没有任何地震前兆异常现象情况，无地震突发事件。 二、地震科普宣传工作 利用“5·12”全国防灾减灾宣传周、“全国科技活动周”、安全生产月等重点时段，广泛开展地震科普集中宣传，强化社会公众防震减灾意识，确保宣传教育工作落到实处，全面提升社会公众防震减灾素质，动员全社会力量参与防震减灾事业发展。 三、地震灾害预防工作 根据地震灾害风险普查工作要求，扎实开展了风险普查、重大基础设施信息摸排。 </w:t>
            </w:r>
          </w:p>
          <w:p w14:paraId="030184DA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3B992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A67E0E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0A06108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2019年10月24日至2024年10月24日</w:t>
            </w:r>
          </w:p>
        </w:tc>
      </w:tr>
      <w:tr w14:paraId="30898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9BDCB5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8066C36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1C7E4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2E78106E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64A37049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15E3C03C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309321E0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1B0719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4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5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6">
    <w:name w:val="hps"/>
    <w:basedOn w:val="13"/>
    <w:uiPriority w:val="0"/>
  </w:style>
  <w:style w:type="character" w:customStyle="1" w:styleId="17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9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20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670</Words>
  <Characters>721</Characters>
  <Lines>4</Lines>
  <Paragraphs>1</Paragraphs>
  <TotalTime>45455.6875000016</TotalTime>
  <ScaleCrop>false</ScaleCrop>
  <LinksUpToDate>false</LinksUpToDate>
  <CharactersWithSpaces>762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2024-06-12T08:53:01Z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5052747800B1446D891F960E73964621_13</vt:lpwstr>
  </property>
</Properties>
</file>