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B3CB64E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4C805DAB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5"/>
          <w:b/>
          <w:bCs/>
          <w:sz w:val="30"/>
          <w:szCs w:val="30"/>
          <w:lang w:val="en-US"/>
        </w:rPr>
        <w:t>124309227700631984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2CB6017A">
      <w:pPr>
        <w:jc w:val="right"/>
        <w:rPr>
          <w:lang w:val="en-US"/>
        </w:rPr>
      </w:pPr>
    </w:p>
    <w:p w14:paraId="067F4339">
      <w:pPr>
        <w:jc w:val="right"/>
        <w:rPr>
          <w:lang w:val="en-US"/>
        </w:rPr>
      </w:pPr>
    </w:p>
    <w:p w14:paraId="442ECDD9">
      <w:pPr>
        <w:jc w:val="right"/>
        <w:rPr>
          <w:lang w:val="en-US"/>
        </w:rPr>
      </w:pPr>
    </w:p>
    <w:p w14:paraId="7AD6E9A8">
      <w:pPr>
        <w:jc w:val="right"/>
        <w:rPr>
          <w:lang w:val="en-US"/>
        </w:rPr>
      </w:pPr>
    </w:p>
    <w:p w14:paraId="57E03BD8">
      <w:pPr>
        <w:jc w:val="right"/>
        <w:rPr>
          <w:lang w:val="en-US"/>
        </w:rPr>
      </w:pPr>
    </w:p>
    <w:p w14:paraId="4F02F9AC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5B65F574">
      <w:pPr>
        <w:jc w:val="center"/>
        <w:rPr>
          <w:rFonts w:eastAsia="黑体"/>
          <w:b/>
          <w:bCs/>
          <w:spacing w:val="30"/>
          <w:lang w:val="en-US"/>
        </w:rPr>
      </w:pPr>
    </w:p>
    <w:p w14:paraId="5129866B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5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5260472E">
      <w:pPr>
        <w:jc w:val="center"/>
        <w:rPr>
          <w:sz w:val="36"/>
          <w:szCs w:val="24"/>
          <w:lang w:val="en-US"/>
        </w:rPr>
      </w:pPr>
    </w:p>
    <w:p w14:paraId="1DBCF6A0">
      <w:pPr>
        <w:jc w:val="center"/>
        <w:rPr>
          <w:sz w:val="36"/>
          <w:szCs w:val="24"/>
          <w:lang w:val="en-US"/>
        </w:rPr>
      </w:pPr>
    </w:p>
    <w:p w14:paraId="4BB08876">
      <w:pPr>
        <w:jc w:val="center"/>
        <w:rPr>
          <w:sz w:val="36"/>
          <w:szCs w:val="24"/>
          <w:lang w:val="en-US"/>
        </w:rPr>
      </w:pPr>
    </w:p>
    <w:p w14:paraId="0FA00C49">
      <w:pPr>
        <w:jc w:val="center"/>
        <w:rPr>
          <w:sz w:val="36"/>
          <w:szCs w:val="24"/>
          <w:lang w:val="en-US"/>
        </w:rPr>
      </w:pPr>
    </w:p>
    <w:p w14:paraId="6027D283">
      <w:pPr>
        <w:jc w:val="center"/>
        <w:rPr>
          <w:sz w:val="36"/>
          <w:szCs w:val="24"/>
          <w:lang w:val="en-US"/>
        </w:rPr>
      </w:pPr>
    </w:p>
    <w:p w14:paraId="492987DD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62A9B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3CD52674">
            <w:pPr>
              <w:jc w:val="distribute"/>
            </w:pP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58EF3FA3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桃江县浮邱山乡中心学校</w:t>
            </w:r>
          </w:p>
        </w:tc>
      </w:tr>
    </w:tbl>
    <w:p w14:paraId="54D28421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60001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7F3585CF">
            <w:pPr>
              <w:jc w:val="distribute"/>
            </w:pP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7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2EF51637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5F8DD714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3648BD87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73CB0337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6D63A1ED">
      <w:pPr>
        <w:jc w:val="center"/>
        <w:rPr>
          <w:u w:val="single"/>
          <w:lang w:val="en-US"/>
        </w:rPr>
      </w:pPr>
    </w:p>
    <w:p w14:paraId="671289F5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6399523D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32148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07CDF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00FEF4D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4600AB3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321A30A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2FB919A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4D13E07C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C30D7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96C8BE3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桃江县浮邱山乡中心学校</w:t>
            </w:r>
          </w:p>
        </w:tc>
      </w:tr>
      <w:tr w14:paraId="0BA7B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0BE5B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208BE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0EF1CFE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920BE11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实施九年义务教育，促进基础教育发展。 幼儿教育 小学和初中学历教育及相关社会服务</w:t>
            </w:r>
          </w:p>
        </w:tc>
      </w:tr>
      <w:tr w14:paraId="35BB0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934CF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6ECAC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C3FC3B6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桃江县浮邱山乡枳木山村</w:t>
            </w:r>
          </w:p>
        </w:tc>
      </w:tr>
      <w:tr w14:paraId="6F8EE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2BCE2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25700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F8EFEAD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钟敏</w:t>
            </w:r>
          </w:p>
        </w:tc>
      </w:tr>
      <w:tr w14:paraId="2AA30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6E745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437A2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019424C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4928.2</w:t>
            </w: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7BE25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A0143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CE6DE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0D09F32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财政补助（全额拨款）</w:t>
            </w:r>
          </w:p>
        </w:tc>
      </w:tr>
      <w:tr w14:paraId="4F896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632FE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540AA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504BD3D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桃江县教育局</w:t>
            </w:r>
          </w:p>
        </w:tc>
      </w:tr>
      <w:tr w14:paraId="70A27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83F0FC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7F8EEAB2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21D5EEA5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A9EF462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30A35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76AD6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06D45B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384F82E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0EBC1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284C8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F399DF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sz w:val="32"/>
                <w:szCs w:val="24"/>
                <w:bdr w:val="none" w:color="auto" w:sz="0" w:space="0"/>
                <w:lang w:val="en-US"/>
              </w:rPr>
              <w:t>4927.1041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C0958F2">
            <w:pPr>
              <w:jc w:val="center"/>
            </w:pPr>
            <w:r>
              <w:rPr>
                <w:rStyle w:val="19"/>
                <w:sz w:val="32"/>
                <w:szCs w:val="32"/>
                <w:bdr w:val="none" w:color="auto" w:sz="0" w:space="0"/>
                <w:lang w:val="en-US"/>
              </w:rPr>
              <w:t>5142.7602</w:t>
            </w:r>
          </w:p>
        </w:tc>
      </w:tr>
      <w:tr w14:paraId="1B574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10593A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70571C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桃江县浮邱山乡中心学校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743100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076C8B5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sz w:val="32"/>
                <w:szCs w:val="24"/>
                <w:bdr w:val="none" w:color="auto" w:sz="0" w:space="0"/>
                <w:lang w:val="en-US"/>
              </w:rPr>
              <w:t>201</w:t>
            </w:r>
          </w:p>
        </w:tc>
      </w:tr>
      <w:tr w14:paraId="01190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2477F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3F781CF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5CC891C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537B45E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317FB7F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7AC1645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3F0307A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7973D706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A858213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783DD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46BA7DB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3D10ECD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11E71E8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1727E91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19F3F81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4081D89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076013F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460DCD16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4CAC98D6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2023年，是浮邱山中心学校砥砺奋进，取得重大突破的一年：在县教育局、浮邱山乡政府的双重领导下，全体教职员工扎实工作、开拓进取，取得了良好效果。 一、加强干部队伍建设，打造良好教风学风。 扎实推进主题教育，开展“立足岗位做贡献”，“学习身边榜样人物先进事迹”等活动，树立师德新风正气；设置党员示范岗，充分发挥党员带头作用。召开全乡教师大会学习先进典型、树新风正气。从全县大局出发,我乡2023年，派出2人到花垣支教，11人到城关交流轮岗，其余人员除病假外都到岗到位。积极参加局工会组织的气排球比赛，荣获组织奖；本年度有34人参加无偿献血。100%完成县局交给的任务。在教师节“五优”教师参评中，吴斌老师被评选为县优秀教师，吴立华老师被评选为县优秀校长。 贯彻落实中央、省、市、县相关规定，坚决纠正“四风”问题，严格落实减负政策，严厉打击教育“五乱”行为。2023年上期，中心学校修订通过了《浮邱山乡人事制度的相关规定》《浮邱山乡教师劳动纪律》，完善教师的考核、评价和分配办法。 二、加强学校教学常规工作管理，努力提高教育教学质量 教学常规管理日趋完善。中心学校每期3次督查教师的常规管理，并且实时进行了通报，多次邀请教研室的专家们来我乡传经送宝，分别在新桥小学和荷塘中学举行了中小学教学视导活动；水口山中学、枳木山中学2023年的中考取得巨大的进步。 课堂教学改革坚持不懈。各校严格按照新课程要求，开齐、开足课程，加强薄弱学科建设。贯彻落实《浮邱山中心学校中小学课堂教学改革方案》，以点带面整体推进课改工作：新桥小学召开全乡课改现场会并申报县课改样板校。 学校体卫艺科工作不断夯实。在县局组织的中小学体育与健康课教学评优比赛中，荷塘中学的曾小志老师和新桥小学的曾锦华老师均获县一等，中心学校被评为优秀组织奖；在县局组织的中小学阳光体育大课间评优活动中，荷塘中学和新桥小学的特色大课间活动均获县二等奖，中心学校被评为优秀组织奖。加强青少年科技教育，举办我乡2023年青少年科技创新大赛，在桃江县第39届青少年科技创新大赛中，由担水坝小学和会龙小学代表我乡参加，获得了两个二等奖和两个三等奖，担水坝小学的杨伟老师还被评为优秀科技教师。 三、以师生安全为重心，打造优秀教学环境。 交通安全：严抓校车及幼儿园面的车超载接送学生的现象，实行学校行政老师轮流值班制度，幼儿园还实行了幼师跟车制度，确保了全乡各校学生的交通安全。全乡无一例交通事故。 消防安全：所有中小学及幼儿园均进行了消防安全演练，配合省消防协会宣传人员深入各校对师生进行消防安全讲座；配合乡派出所对全乡中小学及幼儿园进行了一安全排查。 食品及饮用水安全：加强食堂经营管理和食品安全督查，学校食品安全“零事故” 法治教育进课程活动：由桃江县依法台县办公室、深化改革领导小组办公室、教育局、司法局、法治进课程主题征文、演讲、教学比武大赛活动。 安全隐患整改：安全隐患整改：完成了担水坝小学校门及门窗改造、禁牌学校食堂改造，新桥小学进行了心理咨询室建设和热水设备添置，梅林中学添置了热水设备，渡口幼儿园进行了竹玩具添置。荷塘中学通过向财政局争取资金进行了热水设备改造。 四、以教育督导为抓手，狠抓各项工作的落实 1.开展了传染病防控、学校安全、卫生、五项管理、双减等工作的专项督导与督查，本年度，我乡担水坝小学、水口山中学顺利通过上级的督导评估，并获得一致好评。 2.做好上传下达，确保政令畅通。按要求完成了2024年党报党刊和教育期刊的征订工作。 3.落实精准资助工作，确保贫困学生应助尽助。 4.积极推进创建工作，提升校园文明卫生品位。 5.加强教育宣传，努力宏扬正能量！ </w:t>
            </w:r>
          </w:p>
          <w:p w14:paraId="5578DA1D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5B656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1A30BB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A99793C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2022年03月14日 至 2027年03月14日</w:t>
            </w:r>
          </w:p>
        </w:tc>
      </w:tr>
      <w:tr w14:paraId="1C7D5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D2B634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FC1B98C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3F419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06CA842E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1E352CAE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265505AE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6927A1B8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56C103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4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5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6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8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9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6</Pages>
  <Words>1819</Words>
  <Characters>1916</Characters>
  <Lines>4</Lines>
  <Paragraphs>1</Paragraphs>
  <TotalTime>45456.4375000016</TotalTime>
  <ScaleCrop>false</ScaleCrop>
  <LinksUpToDate>false</LinksUpToDate>
  <CharactersWithSpaces>1975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2024-06-13T02:58:16Z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5FB142D3C9F0402395F93EF8E051FF7A_13</vt:lpwstr>
  </property>
</Properties>
</file>