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1A7A94">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79C8DE31">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12430922MB1C89773U</w:t>
      </w:r>
      <w:r>
        <w:rPr>
          <w:rFonts w:eastAsia="楷体_GB2312"/>
          <w:b/>
          <w:bCs/>
          <w:sz w:val="30"/>
          <w:szCs w:val="24"/>
          <w:lang w:val="en-US"/>
        </w:rPr>
        <w:t xml:space="preserve">   </w:t>
      </w:r>
    </w:p>
    <w:p w14:paraId="421C7B64">
      <w:pPr>
        <w:jc w:val="right"/>
        <w:rPr>
          <w:lang w:val="en-US"/>
        </w:rPr>
      </w:pPr>
    </w:p>
    <w:p w14:paraId="7C43DE88">
      <w:pPr>
        <w:jc w:val="right"/>
        <w:rPr>
          <w:lang w:val="en-US"/>
        </w:rPr>
      </w:pPr>
    </w:p>
    <w:p w14:paraId="42D832C7">
      <w:pPr>
        <w:jc w:val="right"/>
        <w:rPr>
          <w:lang w:val="en-US"/>
        </w:rPr>
      </w:pPr>
    </w:p>
    <w:p w14:paraId="218FC38E">
      <w:pPr>
        <w:jc w:val="right"/>
        <w:rPr>
          <w:lang w:val="en-US"/>
        </w:rPr>
      </w:pPr>
    </w:p>
    <w:p w14:paraId="074A58CF">
      <w:pPr>
        <w:jc w:val="right"/>
        <w:rPr>
          <w:lang w:val="en-US"/>
        </w:rPr>
      </w:pPr>
    </w:p>
    <w:p w14:paraId="264B1B13">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4EED1FB">
      <w:pPr>
        <w:jc w:val="center"/>
        <w:rPr>
          <w:rFonts w:eastAsia="黑体"/>
          <w:b/>
          <w:bCs/>
          <w:spacing w:val="30"/>
          <w:lang w:val="en-US"/>
        </w:rPr>
      </w:pPr>
    </w:p>
    <w:p w14:paraId="657B3ABB">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5942B29B">
      <w:pPr>
        <w:jc w:val="center"/>
        <w:rPr>
          <w:sz w:val="36"/>
          <w:szCs w:val="24"/>
          <w:lang w:val="en-US"/>
        </w:rPr>
      </w:pPr>
    </w:p>
    <w:p w14:paraId="34903AE6">
      <w:pPr>
        <w:jc w:val="center"/>
        <w:rPr>
          <w:sz w:val="36"/>
          <w:szCs w:val="24"/>
          <w:lang w:val="en-US"/>
        </w:rPr>
      </w:pPr>
    </w:p>
    <w:p w14:paraId="5D8F5272">
      <w:pPr>
        <w:jc w:val="center"/>
        <w:rPr>
          <w:sz w:val="36"/>
          <w:szCs w:val="24"/>
          <w:lang w:val="en-US"/>
        </w:rPr>
      </w:pPr>
    </w:p>
    <w:p w14:paraId="7DDBDAE1">
      <w:pPr>
        <w:jc w:val="center"/>
        <w:rPr>
          <w:sz w:val="36"/>
          <w:szCs w:val="24"/>
          <w:lang w:val="en-US"/>
        </w:rPr>
      </w:pPr>
    </w:p>
    <w:p w14:paraId="52B1E803">
      <w:pPr>
        <w:jc w:val="center"/>
        <w:rPr>
          <w:sz w:val="36"/>
          <w:szCs w:val="24"/>
          <w:lang w:val="en-US"/>
        </w:rPr>
      </w:pPr>
    </w:p>
    <w:p w14:paraId="441FE57A">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40C57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5EAE5D64">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748F4E81">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桃江县浮邱山乡综合行政执法大队</w:t>
            </w:r>
          </w:p>
        </w:tc>
      </w:tr>
    </w:tbl>
    <w:p w14:paraId="61865228">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4A0D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95F6D2B">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58DE440D">
            <w:pPr>
              <w:keepNext w:val="0"/>
              <w:keepLines w:val="0"/>
              <w:widowControl/>
              <w:suppressLineNumbers w:val="0"/>
              <w:jc w:val="left"/>
              <w:rPr>
                <w:kern w:val="0"/>
                <w:sz w:val="20"/>
                <w:szCs w:val="20"/>
                <w:bdr w:val="none" w:color="auto" w:sz="0" w:space="0"/>
                <w:lang w:val="en-US"/>
              </w:rPr>
            </w:pPr>
          </w:p>
        </w:tc>
      </w:tr>
    </w:tbl>
    <w:p w14:paraId="278AB8E2">
      <w:pPr>
        <w:ind w:left="0" w:firstLine="723" w:firstLineChars="300"/>
        <w:rPr>
          <w:rFonts w:hint="eastAsia" w:ascii="黑体" w:hAnsi="宋体" w:eastAsia="黑体" w:cs="黑体"/>
          <w:b/>
          <w:bCs/>
          <w:sz w:val="24"/>
          <w:szCs w:val="24"/>
          <w:u w:val="single"/>
          <w:lang w:val="en-US"/>
        </w:rPr>
      </w:pPr>
    </w:p>
    <w:p w14:paraId="649CFF61">
      <w:pPr>
        <w:jc w:val="center"/>
        <w:rPr>
          <w:rFonts w:hint="eastAsia" w:ascii="黑体" w:hAnsi="宋体" w:eastAsia="黑体" w:cs="黑体"/>
          <w:b/>
          <w:bCs/>
          <w:sz w:val="30"/>
          <w:szCs w:val="24"/>
          <w:u w:val="single"/>
          <w:lang w:val="en-US"/>
        </w:rPr>
      </w:pPr>
    </w:p>
    <w:p w14:paraId="003EEE3D">
      <w:pPr>
        <w:jc w:val="center"/>
        <w:rPr>
          <w:rFonts w:hint="eastAsia" w:ascii="黑体" w:hAnsi="宋体" w:eastAsia="黑体" w:cs="黑体"/>
          <w:b/>
          <w:bCs/>
          <w:sz w:val="30"/>
          <w:szCs w:val="24"/>
          <w:u w:val="single"/>
          <w:lang w:val="en-US"/>
        </w:rPr>
      </w:pPr>
    </w:p>
    <w:p w14:paraId="47D36B5D">
      <w:pPr>
        <w:jc w:val="center"/>
        <w:rPr>
          <w:u w:val="single"/>
          <w:lang w:val="en-US"/>
        </w:rPr>
      </w:pPr>
    </w:p>
    <w:p w14:paraId="6CE5BE26">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6CD1E407">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09B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25C40D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923AA6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2C0B008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7447B65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6FAB172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7B6B99B5">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27D17B9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0DC4BF86">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桃江县浮邱山乡综合行政执法大队</w:t>
            </w:r>
          </w:p>
        </w:tc>
      </w:tr>
      <w:tr w14:paraId="150B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B9516B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A811F7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1657250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690D260">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整合民政、人力资源与社会保障、国土、规划、生态环境、村镇建设与管理、水利、农业（含农机、畜牧水产、动物防疫）、文化旅游广电体育、卫生、计划生育、安全生产、林业等方面的行政执法职责、执法力量和资源.按照相关法律规定相对集中行使行政处罚权，以乡政府名义开展执法工作，接受有关县级主管部门的业务指导和监督。健全乡综合行政执法大队与县级以上各类执法部门的协调机制，构建分工明确、责任到位、优势互补的执法联动保障体系，加强联合执法、联动执法。乡综合行政执法大队主要负责本辖区日常执法活动和重大案件线索巡查</w:t>
            </w:r>
          </w:p>
        </w:tc>
      </w:tr>
      <w:tr w14:paraId="370D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9072FD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D7F197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CC97560">
            <w:pPr>
              <w:jc w:val="left"/>
            </w:pPr>
            <w:r>
              <w:rPr>
                <w:rStyle w:val="20"/>
                <w:rFonts w:hint="eastAsia" w:ascii="楷体_GB2312" w:eastAsia="楷体_GB2312" w:cs="楷体_GB2312"/>
                <w:sz w:val="28"/>
                <w:szCs w:val="28"/>
                <w:bdr w:val="none" w:color="auto" w:sz="0" w:space="0"/>
                <w:lang w:val="en-US"/>
              </w:rPr>
              <w:t>桃花江镇桃花西路126号</w:t>
            </w:r>
          </w:p>
        </w:tc>
      </w:tr>
      <w:tr w14:paraId="3021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233D5A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9368A2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0D9DCAC">
            <w:pPr>
              <w:jc w:val="left"/>
            </w:pPr>
            <w:r>
              <w:rPr>
                <w:rStyle w:val="20"/>
                <w:rFonts w:hint="eastAsia" w:ascii="楷体_GB2312" w:eastAsia="楷体_GB2312" w:cs="楷体_GB2312"/>
                <w:sz w:val="28"/>
                <w:szCs w:val="28"/>
                <w:bdr w:val="none" w:color="auto" w:sz="0" w:space="0"/>
                <w:lang w:val="en-US"/>
              </w:rPr>
              <w:t>刘洪</w:t>
            </w:r>
          </w:p>
        </w:tc>
      </w:tr>
      <w:tr w14:paraId="68CF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B7E8A7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F3AFE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B3A4215">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w:t>
            </w:r>
            <w:r>
              <w:rPr>
                <w:rStyle w:val="20"/>
                <w:rFonts w:hint="eastAsia" w:ascii="楷体_GB2312" w:eastAsia="楷体_GB2312" w:cs="楷体_GB2312"/>
                <w:sz w:val="28"/>
                <w:szCs w:val="28"/>
                <w:bdr w:val="none" w:color="auto" w:sz="0" w:space="0"/>
              </w:rPr>
              <w:t>（万元）</w:t>
            </w:r>
          </w:p>
        </w:tc>
      </w:tr>
      <w:tr w14:paraId="5A8F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5EE610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1E1408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97FA6AD">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1591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75FC3C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6F8CB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32D9D4D">
            <w:pPr>
              <w:jc w:val="left"/>
            </w:pPr>
            <w:r>
              <w:rPr>
                <w:rStyle w:val="20"/>
                <w:rFonts w:hint="eastAsia" w:ascii="楷体_GB2312" w:eastAsia="楷体_GB2312" w:cs="楷体_GB2312"/>
                <w:sz w:val="28"/>
                <w:szCs w:val="28"/>
                <w:bdr w:val="none" w:color="auto" w:sz="0" w:space="0"/>
                <w:lang w:val="en-US"/>
              </w:rPr>
              <w:t>桃江县浮邱山乡人民政府</w:t>
            </w:r>
          </w:p>
        </w:tc>
      </w:tr>
      <w:tr w14:paraId="16CB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6541B6AB">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D3863D7">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87A3B56">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5EEDCE28">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7CFF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3FA4676">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359CF95">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05D12349">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4467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78812D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3F2EC80">
            <w:pPr>
              <w:jc w:val="center"/>
              <w:rPr>
                <w:sz w:val="32"/>
                <w:szCs w:val="24"/>
                <w:bdr w:val="none" w:color="auto" w:sz="0" w:space="0"/>
                <w:lang w:val="en-US"/>
              </w:rPr>
            </w:pPr>
            <w:r>
              <w:rPr>
                <w:rStyle w:val="19"/>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09F016F3">
            <w:pPr>
              <w:jc w:val="center"/>
            </w:pPr>
            <w:r>
              <w:rPr>
                <w:rStyle w:val="20"/>
                <w:sz w:val="32"/>
                <w:szCs w:val="32"/>
                <w:bdr w:val="none" w:color="auto" w:sz="0" w:space="0"/>
                <w:lang w:val="en-US"/>
              </w:rPr>
              <w:t>1</w:t>
            </w:r>
          </w:p>
        </w:tc>
      </w:tr>
      <w:tr w14:paraId="1A23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8A00B84">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ABCC08E">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桃江县浮邱山乡综合行政执法大队</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A57FB0B">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36181822">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8</w:t>
            </w:r>
          </w:p>
        </w:tc>
      </w:tr>
      <w:tr w14:paraId="3DCC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397FBD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072D7C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05CF558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3E1FD34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738756D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70D473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7F6E950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3735D54A">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BB9B316">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无</w:t>
            </w:r>
          </w:p>
        </w:tc>
      </w:tr>
      <w:tr w14:paraId="7254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A823E4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55513F5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22C962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78B21E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FF338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7EF659B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171C49F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796F5FF2">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E331D07">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1、行政执法方面以巡查发现与群众举报为切入点，以全力维护法制秩序与守法环境严执法、强打击、全力维护法为工作标准。坚持365天无间隙巡查与接举报无上下班观念随时出动的工作态度与始终将各类违法行为遏制在始发状态和有违必究的执法理念。今年以来发现违反各类行政行为76起，立案查处并予以行政处罚13起，责令整改20起、立行立改43起、持续整治5起、现有5起正在处理中，没收、销毁做案工具、设备若干，收缴罚没收入10万余。 2、制定了联合执法机制，联合交警与路政形成了每月一联合，把交通整治行动常态化，重点整治公路客货运车辆超载超限、低速载货汽车、三轮汽车和拖拉机违法载入、两轮摩托车驾驶员不戴头盔等重点违法行为，确保对交通违法行为形成长效性打击，切实保证辖区群众交通出行安全。 4、开展志愿服务。将文明劝导、教育引导落到实处，持续开展交通路口、责任路段和网格“门前三包”等文明劝导活动，坚持每月责任路段清扫、劝导，安排志愿劝导200余人次。各村建立志愿者队伍，引导广大人民群众讲文明话、做文明事、当文明人。开展控烟工作。对照创建省级文明卫生单位工作标准，宣传普及吸控烟知识，在办公楼、会议室等公共场所设置标识，完成无烟党政机关的创建。提升环境卫生。每月开展卫生评比，推动机关垃圾分类和卫生保洁工作。开展好病媒生物防治工作。政府与专业灭鼠公司签订合同，对机关大院辖区公共区域进行统一“除四害”工作。 </w:t>
            </w:r>
          </w:p>
          <w:p w14:paraId="4F594C2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0B10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90DA6EC">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C024BD3">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事业单位法人证书有效期： 2020年05月19日至2025年5月19日</w:t>
            </w:r>
          </w:p>
        </w:tc>
      </w:tr>
      <w:tr w14:paraId="599A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1DB66DE">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5C1251E">
            <w:pPr>
              <w:jc w:val="left"/>
            </w:pPr>
            <w:r>
              <w:rPr>
                <w:rStyle w:val="20"/>
                <w:rFonts w:hint="eastAsia" w:ascii="楷体_GB2312" w:eastAsia="楷体_GB2312" w:cs="楷体_GB2312"/>
                <w:sz w:val="28"/>
                <w:szCs w:val="28"/>
                <w:bdr w:val="none" w:color="auto" w:sz="0" w:space="0"/>
                <w:lang w:val="en-US"/>
              </w:rPr>
              <w:t>无</w:t>
            </w:r>
          </w:p>
        </w:tc>
      </w:tr>
      <w:tr w14:paraId="6EFF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3A0492C">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69B081FB">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9294F4C">
            <w:pPr>
              <w:jc w:val="left"/>
            </w:pPr>
            <w:r>
              <w:rPr>
                <w:rStyle w:val="20"/>
                <w:rFonts w:hint="eastAsia" w:ascii="楷体_GB2312" w:eastAsia="楷体_GB2312" w:cs="楷体_GB2312"/>
                <w:sz w:val="28"/>
                <w:szCs w:val="28"/>
                <w:bdr w:val="none" w:color="auto" w:sz="0" w:space="0"/>
                <w:lang w:val="en-US"/>
              </w:rPr>
              <w:t>无</w:t>
            </w:r>
          </w:p>
        </w:tc>
      </w:tr>
    </w:tbl>
    <w:p w14:paraId="53A614BC">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45F0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1167</Words>
  <Characters>1222</Characters>
  <Lines>4</Lines>
  <Paragraphs>1</Paragraphs>
  <TotalTime>45456.3750000016</TotalTime>
  <ScaleCrop>false</ScaleCrop>
  <LinksUpToDate>false</LinksUpToDate>
  <CharactersWithSpaces>1261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2024-06-13T01:12:10Z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CD15C4F2FEC24C409382A501D11083E5_13</vt:lpwstr>
  </property>
</Properties>
</file>