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9D776DB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5368C701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6"/>
          <w:b/>
          <w:bCs/>
          <w:sz w:val="30"/>
          <w:szCs w:val="30"/>
          <w:lang w:val="en-US"/>
        </w:rPr>
        <w:t>12430922447019509C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126E62C9">
      <w:pPr>
        <w:jc w:val="right"/>
        <w:rPr>
          <w:lang w:val="en-US"/>
        </w:rPr>
      </w:pPr>
    </w:p>
    <w:p w14:paraId="6D8BBCE9">
      <w:pPr>
        <w:jc w:val="right"/>
        <w:rPr>
          <w:lang w:val="en-US"/>
        </w:rPr>
      </w:pPr>
    </w:p>
    <w:p w14:paraId="16216974">
      <w:pPr>
        <w:jc w:val="right"/>
        <w:rPr>
          <w:lang w:val="en-US"/>
        </w:rPr>
      </w:pPr>
    </w:p>
    <w:p w14:paraId="7CA6F0D9">
      <w:pPr>
        <w:jc w:val="right"/>
        <w:rPr>
          <w:lang w:val="en-US"/>
        </w:rPr>
      </w:pPr>
    </w:p>
    <w:p w14:paraId="587B241F">
      <w:pPr>
        <w:jc w:val="right"/>
        <w:rPr>
          <w:lang w:val="en-US"/>
        </w:rPr>
      </w:pPr>
    </w:p>
    <w:p w14:paraId="116F556B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604F1F42">
      <w:pPr>
        <w:jc w:val="center"/>
        <w:rPr>
          <w:rFonts w:eastAsia="黑体"/>
          <w:b/>
          <w:bCs/>
          <w:spacing w:val="30"/>
          <w:lang w:val="en-US"/>
        </w:rPr>
      </w:pPr>
    </w:p>
    <w:p w14:paraId="0D99FEB6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6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53DBC773">
      <w:pPr>
        <w:jc w:val="center"/>
        <w:rPr>
          <w:sz w:val="36"/>
          <w:szCs w:val="24"/>
          <w:lang w:val="en-US"/>
        </w:rPr>
      </w:pPr>
    </w:p>
    <w:p w14:paraId="409C99A2">
      <w:pPr>
        <w:jc w:val="center"/>
        <w:rPr>
          <w:sz w:val="36"/>
          <w:szCs w:val="24"/>
          <w:lang w:val="en-US"/>
        </w:rPr>
      </w:pPr>
    </w:p>
    <w:p w14:paraId="285CCC4E">
      <w:pPr>
        <w:jc w:val="center"/>
        <w:rPr>
          <w:sz w:val="36"/>
          <w:szCs w:val="24"/>
          <w:lang w:val="en-US"/>
        </w:rPr>
      </w:pPr>
    </w:p>
    <w:p w14:paraId="4CC32680">
      <w:pPr>
        <w:jc w:val="center"/>
        <w:rPr>
          <w:sz w:val="36"/>
          <w:szCs w:val="24"/>
          <w:lang w:val="en-US"/>
        </w:rPr>
      </w:pPr>
    </w:p>
    <w:p w14:paraId="11F7BA83">
      <w:pPr>
        <w:jc w:val="center"/>
        <w:rPr>
          <w:sz w:val="36"/>
          <w:szCs w:val="24"/>
          <w:lang w:val="en-US"/>
        </w:rPr>
      </w:pPr>
    </w:p>
    <w:p w14:paraId="72F936E1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7C949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477F7F01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03684AB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桃江县高桥镇中心学校</w:t>
            </w:r>
          </w:p>
        </w:tc>
      </w:tr>
    </w:tbl>
    <w:p w14:paraId="5EAA0A12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54590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6FA9932C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9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555CD84C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4BE440AF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03873FD9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3262DD64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576F4A27">
      <w:pPr>
        <w:jc w:val="center"/>
        <w:rPr>
          <w:u w:val="single"/>
          <w:lang w:val="en-US"/>
        </w:rPr>
      </w:pPr>
    </w:p>
    <w:p w14:paraId="246FAFEA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00CE4990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6EAFE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98176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2ED767E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7D6A148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05E4BDD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32635FF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2FADBDBD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C49E2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761C5E7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桃江县高桥镇中心学校</w:t>
            </w:r>
          </w:p>
        </w:tc>
      </w:tr>
      <w:tr w14:paraId="40BB0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64A9F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54201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5FA767A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0C9577D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实施九年义务教育，促进基础教育发展。 幼儿教育 小学和初中学历教育及相关社会服务</w:t>
            </w:r>
          </w:p>
        </w:tc>
      </w:tr>
      <w:tr w14:paraId="66223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FA5F8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ACD73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8E6F421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桃江县高桥乡横马塘村</w:t>
            </w:r>
          </w:p>
        </w:tc>
      </w:tr>
      <w:tr w14:paraId="2B0E4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270B0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118A8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7821D9F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薛鹉</w:t>
            </w:r>
          </w:p>
        </w:tc>
      </w:tr>
      <w:tr w14:paraId="1B60D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C9779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FA02D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AEF3B52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4752</w:t>
            </w: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1CA0E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18E83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149A2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D21EF99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财政补助（全额拨款）</w:t>
            </w:r>
          </w:p>
        </w:tc>
      </w:tr>
      <w:tr w14:paraId="27230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DAE64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D69E5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283C688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桃江县教育局</w:t>
            </w:r>
          </w:p>
        </w:tc>
      </w:tr>
      <w:tr w14:paraId="295F8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8C50BE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2D0BF8CC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0462913D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77DCB15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2A3B9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57AF3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9D953C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68058CA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4BB00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9CAAC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03FC7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sz w:val="32"/>
                <w:szCs w:val="24"/>
                <w:bdr w:val="none" w:color="auto" w:sz="0" w:space="0"/>
                <w:lang w:val="en-US"/>
              </w:rPr>
              <w:t>7969.0508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3CBAD2A">
            <w:pPr>
              <w:jc w:val="center"/>
            </w:pPr>
            <w:r>
              <w:rPr>
                <w:rStyle w:val="14"/>
                <w:sz w:val="32"/>
                <w:szCs w:val="32"/>
                <w:bdr w:val="none" w:color="auto" w:sz="0" w:space="0"/>
                <w:lang w:val="en-US"/>
              </w:rPr>
              <w:t>8445.6043</w:t>
            </w:r>
          </w:p>
        </w:tc>
      </w:tr>
      <w:tr w14:paraId="31B84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67FDA6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461B35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桃江县高桥镇中心学校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DBB753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604F58E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sz w:val="32"/>
                <w:szCs w:val="24"/>
                <w:bdr w:val="none" w:color="auto" w:sz="0" w:space="0"/>
                <w:lang w:val="en-US"/>
              </w:rPr>
              <w:t>156</w:t>
            </w:r>
          </w:p>
        </w:tc>
      </w:tr>
      <w:tr w14:paraId="1231C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ADB80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18F08A5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635D558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0E489EF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0A1FF76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46AB193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085280E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35477663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D5D9C85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严格执行《条例》和实施细则。</w:t>
            </w:r>
          </w:p>
        </w:tc>
      </w:tr>
      <w:tr w14:paraId="39364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04AA6E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0B51955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15D1D6E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2304A63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1EDF642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724B503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58FB642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060E9A76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751CFBDD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1.党建引领学校发展。一是抓政治铸魂。二是抓组织强基。三是抓党建赋能。四是抓党风廉政建设。五是抓意识形态工作。加强阵地管理,组织开展了教学用书、阅读书籍的专项清查。已在县级以上媒体发展通讯70余篇。 2.坚持立德树人宗旨，规范办学行为，抓实教育教学常规管理，抓牢教研教改不放松。先后制定了《规范中小学行为专项治理方案》、《五项管理实施方案》、《双减工作实施方案》，并组织进行了两次专项管理督查。将立德树人理念在平时教育教学管理中付诸行动。从备、讲、批、辅、考、研、评等环节提出了具体要求。全年中心校安排了五次教学常规工作检查，定等级、找亮点。查问题，形成通报。重视校本研修，课堂教学视导。 3.后勤财务管理规范，优化学校布局调整，整合教育资源，办学条件不断改善。2023年的后勤工作目标基本实现，守住了两条底线：守住了食品饮水安全底线和无乱收费底线；做到了三个规范：做到了食堂经营管理规范，学校财务管理规范，项目建设管理规范；实现了四个目标：实现了服务好师生、服务好教学、获得家长高度认可、社会满意的目标。 4.安全工作不断优化。一年来，无生产安全责任事故发生，安全形势良好可控，社会平安稳定。 5.狠抓师德师风建设，营造良好的教学氛围。在县局的违纪通报中，没有一起高桥教育的人和事。全镇现有在编教师156人，退休教师178人，已实现中小学代课教师清零工作，没有在编不在岗、吃空饷的问题。 6.扎实开展帮困助学工作，确保全部资助到位。暑假“大走访”、建档立卡贫困学生的精准助学、残疾儿童送教上门、辍学儿童的劝学返校等活动的开展，对全镇监测户贫困学生全部资助到位,全镇没有一个孩子失学，辍学率为零。 </w:t>
            </w:r>
          </w:p>
          <w:p w14:paraId="3E523656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24D0C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577C96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9CEDA4D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2024年3月5日</w:t>
            </w:r>
          </w:p>
        </w:tc>
      </w:tr>
      <w:tr w14:paraId="1F03C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047B94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019F49E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无。</w:t>
            </w:r>
          </w:p>
        </w:tc>
      </w:tr>
      <w:tr w14:paraId="3DF51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5F0D4C43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687D4B99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02EEC71E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无。</w:t>
            </w:r>
          </w:p>
        </w:tc>
      </w:tr>
    </w:tbl>
    <w:p w14:paraId="0B276E64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41867B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5">
    <w:name w:val="hps"/>
    <w:basedOn w:val="13"/>
    <w:uiPriority w:val="0"/>
  </w:style>
  <w:style w:type="character" w:customStyle="1" w:styleId="16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20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1037</Words>
  <Characters>1110</Characters>
  <Lines>4</Lines>
  <Paragraphs>1</Paragraphs>
  <TotalTime>45456.4687500016</TotalTime>
  <ScaleCrop>false</ScaleCrop>
  <LinksUpToDate>false</LinksUpToDate>
  <CharactersWithSpaces>1153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2024-06-13T03:34:38Z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88EC199B426940A2B6514C780B1930EF_13</vt:lpwstr>
  </property>
</Properties>
</file>