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C28E95">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8B1E357">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124309220064901005</w:t>
      </w:r>
      <w:r>
        <w:rPr>
          <w:rFonts w:eastAsia="楷体_GB2312"/>
          <w:b/>
          <w:bCs/>
          <w:sz w:val="30"/>
          <w:szCs w:val="24"/>
          <w:lang w:val="en-US"/>
        </w:rPr>
        <w:t xml:space="preserve">   </w:t>
      </w:r>
    </w:p>
    <w:p w14:paraId="648EE1A9">
      <w:pPr>
        <w:jc w:val="right"/>
        <w:rPr>
          <w:lang w:val="en-US"/>
        </w:rPr>
      </w:pPr>
    </w:p>
    <w:p w14:paraId="3EC908CD">
      <w:pPr>
        <w:jc w:val="right"/>
        <w:rPr>
          <w:lang w:val="en-US"/>
        </w:rPr>
      </w:pPr>
    </w:p>
    <w:p w14:paraId="4BC82ABA">
      <w:pPr>
        <w:jc w:val="right"/>
        <w:rPr>
          <w:lang w:val="en-US"/>
        </w:rPr>
      </w:pPr>
    </w:p>
    <w:p w14:paraId="66B7F43D">
      <w:pPr>
        <w:jc w:val="right"/>
        <w:rPr>
          <w:lang w:val="en-US"/>
        </w:rPr>
      </w:pPr>
    </w:p>
    <w:p w14:paraId="758B2F50">
      <w:pPr>
        <w:jc w:val="right"/>
        <w:rPr>
          <w:lang w:val="en-US"/>
        </w:rPr>
      </w:pPr>
    </w:p>
    <w:p w14:paraId="16D35A88">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66C158B">
      <w:pPr>
        <w:jc w:val="center"/>
        <w:rPr>
          <w:rFonts w:eastAsia="黑体"/>
          <w:b/>
          <w:bCs/>
          <w:spacing w:val="30"/>
          <w:lang w:val="en-US"/>
        </w:rPr>
      </w:pPr>
    </w:p>
    <w:p w14:paraId="6F39768B">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FB12771">
      <w:pPr>
        <w:jc w:val="center"/>
        <w:rPr>
          <w:sz w:val="36"/>
          <w:szCs w:val="24"/>
          <w:lang w:val="en-US"/>
        </w:rPr>
      </w:pPr>
    </w:p>
    <w:p w14:paraId="2516587A">
      <w:pPr>
        <w:jc w:val="center"/>
        <w:rPr>
          <w:sz w:val="36"/>
          <w:szCs w:val="24"/>
          <w:lang w:val="en-US"/>
        </w:rPr>
      </w:pPr>
    </w:p>
    <w:p w14:paraId="2DC48DA6">
      <w:pPr>
        <w:jc w:val="center"/>
        <w:rPr>
          <w:sz w:val="36"/>
          <w:szCs w:val="24"/>
          <w:lang w:val="en-US"/>
        </w:rPr>
      </w:pPr>
    </w:p>
    <w:p w14:paraId="41692B67">
      <w:pPr>
        <w:jc w:val="center"/>
        <w:rPr>
          <w:sz w:val="36"/>
          <w:szCs w:val="24"/>
          <w:lang w:val="en-US"/>
        </w:rPr>
      </w:pPr>
    </w:p>
    <w:p w14:paraId="5E126897">
      <w:pPr>
        <w:jc w:val="center"/>
        <w:rPr>
          <w:sz w:val="36"/>
          <w:szCs w:val="24"/>
          <w:lang w:val="en-US"/>
        </w:rPr>
      </w:pPr>
    </w:p>
    <w:p w14:paraId="54A7578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7BE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692F47B">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3904A2CA">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桃江县供销合作社联合社</w:t>
            </w:r>
          </w:p>
        </w:tc>
      </w:tr>
    </w:tbl>
    <w:p w14:paraId="5CBF300E">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728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CFD325F">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D31E93D">
            <w:pPr>
              <w:keepNext w:val="0"/>
              <w:keepLines w:val="0"/>
              <w:widowControl/>
              <w:suppressLineNumbers w:val="0"/>
              <w:jc w:val="left"/>
              <w:rPr>
                <w:kern w:val="0"/>
                <w:sz w:val="20"/>
                <w:szCs w:val="20"/>
                <w:bdr w:val="none" w:color="auto" w:sz="0" w:space="0"/>
                <w:lang w:val="en-US"/>
              </w:rPr>
            </w:pPr>
          </w:p>
        </w:tc>
      </w:tr>
    </w:tbl>
    <w:p w14:paraId="65CEA932">
      <w:pPr>
        <w:ind w:left="0" w:firstLine="723" w:firstLineChars="300"/>
        <w:rPr>
          <w:rFonts w:hint="eastAsia" w:ascii="黑体" w:hAnsi="宋体" w:eastAsia="黑体" w:cs="黑体"/>
          <w:b/>
          <w:bCs/>
          <w:sz w:val="24"/>
          <w:szCs w:val="24"/>
          <w:u w:val="single"/>
          <w:lang w:val="en-US"/>
        </w:rPr>
      </w:pPr>
    </w:p>
    <w:p w14:paraId="0492041A">
      <w:pPr>
        <w:jc w:val="center"/>
        <w:rPr>
          <w:rFonts w:hint="eastAsia" w:ascii="黑体" w:hAnsi="宋体" w:eastAsia="黑体" w:cs="黑体"/>
          <w:b/>
          <w:bCs/>
          <w:sz w:val="30"/>
          <w:szCs w:val="24"/>
          <w:u w:val="single"/>
          <w:lang w:val="en-US"/>
        </w:rPr>
      </w:pPr>
    </w:p>
    <w:p w14:paraId="09EB6DC3">
      <w:pPr>
        <w:jc w:val="center"/>
        <w:rPr>
          <w:rFonts w:hint="eastAsia" w:ascii="黑体" w:hAnsi="宋体" w:eastAsia="黑体" w:cs="黑体"/>
          <w:b/>
          <w:bCs/>
          <w:sz w:val="30"/>
          <w:szCs w:val="24"/>
          <w:u w:val="single"/>
          <w:lang w:val="en-US"/>
        </w:rPr>
      </w:pPr>
    </w:p>
    <w:p w14:paraId="4D972746">
      <w:pPr>
        <w:jc w:val="center"/>
        <w:rPr>
          <w:u w:val="single"/>
          <w:lang w:val="en-US"/>
        </w:rPr>
      </w:pPr>
    </w:p>
    <w:p w14:paraId="7BDAF532">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4F90F1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F73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EFC59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50A22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FA165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A59C2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5936D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F085D9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4408C8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1764014">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桃江县供销合作社联合社</w:t>
            </w:r>
          </w:p>
        </w:tc>
      </w:tr>
      <w:tr w14:paraId="08CD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178E9E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EB5C3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AF9AD2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E1896D8">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根据县人民政府授权，指导、协调、监督、服务全县供销合作社，指导全县农业产业化和农产品基地建设，负责搞好农副产品购销、农业生产资料供应、日用工业品销售的网点建设和监管，指导全县供销合作经济组织的业务活动，开拓农村市场，发展农村专业合作社、综合服务社和合作经济协会，促进城乡市场一体化和农业产业化进程，完善社会化服务体系。县人民政府交办的其他工作。</w:t>
            </w:r>
          </w:p>
        </w:tc>
      </w:tr>
      <w:tr w14:paraId="5DB6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99D192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66C4EF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5BF6991">
            <w:pPr>
              <w:jc w:val="left"/>
            </w:pPr>
            <w:r>
              <w:rPr>
                <w:rStyle w:val="20"/>
                <w:rFonts w:hint="eastAsia" w:ascii="楷体_GB2312" w:eastAsia="楷体_GB2312" w:cs="楷体_GB2312"/>
                <w:sz w:val="28"/>
                <w:szCs w:val="28"/>
                <w:bdr w:val="none" w:color="auto" w:sz="0" w:space="0"/>
                <w:lang w:val="en-US"/>
              </w:rPr>
              <w:t>桃江县桃花江镇资江路7号</w:t>
            </w:r>
          </w:p>
        </w:tc>
      </w:tr>
      <w:tr w14:paraId="376D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638DBB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EAC83E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631D9AF">
            <w:pPr>
              <w:jc w:val="left"/>
            </w:pPr>
            <w:r>
              <w:rPr>
                <w:rStyle w:val="20"/>
                <w:rFonts w:hint="eastAsia" w:ascii="楷体_GB2312" w:eastAsia="楷体_GB2312" w:cs="楷体_GB2312"/>
                <w:sz w:val="28"/>
                <w:szCs w:val="28"/>
                <w:bdr w:val="none" w:color="auto" w:sz="0" w:space="0"/>
                <w:lang w:val="en-US"/>
              </w:rPr>
              <w:t>夏末花</w:t>
            </w:r>
          </w:p>
        </w:tc>
      </w:tr>
      <w:tr w14:paraId="521E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8A5A75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4A8A5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D09095A">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409.7</w:t>
            </w:r>
            <w:r>
              <w:rPr>
                <w:rStyle w:val="20"/>
                <w:rFonts w:hint="eastAsia" w:ascii="楷体_GB2312" w:eastAsia="楷体_GB2312" w:cs="楷体_GB2312"/>
                <w:sz w:val="28"/>
                <w:szCs w:val="28"/>
                <w:bdr w:val="none" w:color="auto" w:sz="0" w:space="0"/>
              </w:rPr>
              <w:t>（万元）</w:t>
            </w:r>
          </w:p>
        </w:tc>
      </w:tr>
      <w:tr w14:paraId="55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70609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A7E1A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4C39677">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财政补助（财政补助(全额)）</w:t>
            </w:r>
          </w:p>
        </w:tc>
      </w:tr>
      <w:tr w14:paraId="39CB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809570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72ADF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C002FB8">
            <w:pPr>
              <w:jc w:val="left"/>
            </w:pPr>
            <w:r>
              <w:rPr>
                <w:rStyle w:val="20"/>
                <w:rFonts w:hint="eastAsia" w:ascii="楷体_GB2312" w:eastAsia="楷体_GB2312" w:cs="楷体_GB2312"/>
                <w:sz w:val="28"/>
                <w:szCs w:val="28"/>
                <w:bdr w:val="none" w:color="auto" w:sz="0" w:space="0"/>
                <w:lang w:val="en-US"/>
              </w:rPr>
              <w:t>桃江县人民政府</w:t>
            </w:r>
          </w:p>
        </w:tc>
      </w:tr>
      <w:tr w14:paraId="4D9B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750B81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FFD29C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07B8D04">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B2451ED">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0EC5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747B14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E14BDFB">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AD702FA">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4B30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FD91FF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85CAC78">
            <w:pPr>
              <w:jc w:val="center"/>
              <w:rPr>
                <w:sz w:val="32"/>
                <w:szCs w:val="24"/>
                <w:bdr w:val="none" w:color="auto" w:sz="0" w:space="0"/>
                <w:lang w:val="en-US"/>
              </w:rPr>
            </w:pPr>
            <w:r>
              <w:rPr>
                <w:rStyle w:val="19"/>
                <w:sz w:val="32"/>
                <w:szCs w:val="24"/>
                <w:bdr w:val="none" w:color="auto" w:sz="0" w:space="0"/>
                <w:lang w:val="en-US"/>
              </w:rPr>
              <w:t>-78.06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4AE94EDE">
            <w:pPr>
              <w:jc w:val="center"/>
            </w:pPr>
            <w:r>
              <w:rPr>
                <w:rStyle w:val="20"/>
                <w:sz w:val="32"/>
                <w:szCs w:val="32"/>
                <w:bdr w:val="none" w:color="auto" w:sz="0" w:space="0"/>
                <w:lang w:val="en-US"/>
              </w:rPr>
              <w:t>-163.75</w:t>
            </w:r>
          </w:p>
        </w:tc>
      </w:tr>
      <w:tr w14:paraId="6B43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4624DC1">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DCCE81F">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桃江县供销合作社联合社</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70A73BC">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F4C3387">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16</w:t>
            </w:r>
          </w:p>
        </w:tc>
      </w:tr>
      <w:tr w14:paraId="6EF2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1069A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CD3237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A4D2FC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BC76E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D4FCD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2FB595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F36032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E4D12F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960706D">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我单位在2022年度内，依据《事业单位登记管理暂行条例》及《条例实施细则》规定，按照登记的宗旨和业务范围积极规范开展业务活动。</w:t>
            </w:r>
          </w:p>
        </w:tc>
      </w:tr>
      <w:tr w14:paraId="4329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ABB3B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77614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49E35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C7D12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90FC7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29DBB2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8DC06E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A64D746">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73E613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（一）基层组织建设提质加速。 1、以点带面全面推进基层供销社深层次体制机制改革，鸬鹚渡镇供销社、灰山港镇供销社按照“五有三好五统一”的标准成功打造市级基层示范社，不断提升供销社综合服务功能，积极承担政府及相关部门委托购买的服务。 2、不断提升基层社发展质量和为农服务能力，按照“五有”标准，提质升级改造乡镇基层社，对乡镇基层社开启赋权赋能，并完成了登记赋码工作。打造石牛江镇供销社、三堂街镇供销社、大栗港镇供销社、大栗港镇供销社为基层社规范社。 3、 结合乡村振兴建设行动、村级集体经济发展、基层公共服务全覆盖等工作，全面改造升级了鸬鹚渡镇龙塘湾村供销社、鸬鹚渡镇张子清村惠农综合服务社、三堂街镇赤塘村供销社、松木塘镇松木塘村惠农综合服务社4家村级社，充分发挥村级供销社为农服务功能。 （二）农业社会化服务能力显著提高。 1、5月26日，县供销社牵头组织全县100多家单位召开了桃江县供销社农业社会化服务大联盟成立大会，与农资与农机企业代表、农业生产主体代表、金融机构代表共22家单位现场签订“四方”合作协议，成立桃江县供销合作社农业社会化服务大联盟。依托湖南省供销社农业社会化服务大联盟线上平台引领，于5月28日率先成立了全省第一家乡镇供销社大联盟----鸬鹚渡镇供销社农业社会化服务大联盟。截至11月底，县供销社开展社会化服务面积达到了68万亩（其中土地全托管面积达到36.6万亩），完成了市定全年50万亩任务的136%，桃江县基层社服务覆盖范围已达到全县80%以上。 2、落实供销淡季储肥工作。紧紧围绕为农服务工作，规范做好全县农资企业做好化肥、农药等储备、供应工作，充分发挥农资流通主渠道和蓄水池的作用，超额完成了市级下达我县完成5000吨化肥的淡储任务。并依托新三湘供销农业服务有限公司，新建庄稼医院3个，实施农药集中统一配供，保障市场农资供应。 3、高质量完成1.819万亩供销社农业社会化服务试点任务。紧扣湘农联〔2023〕51号文件，做实、做强农业社会化服务大联盟平台，会同县农业农村局相关部门开展桃江县2023年农业社会化服务试点各项工作，印发《桃江县2023年农业社会化服务试点项目实施方案》，明确目标任务，实施流程，补助标准等。督促实施部门做好服务主体摸底、资质和服务能力审查、名录库建立及录入等工作，加强沟通衔接，科学合理调配任务，推动工作按期、保质完成，并及时做好绩效管理、资金兑付等工作。 （三）社有企业改革有力突破 2023年7月26日，县人民政府第8次常务会议审议通过了《桃江县供销社社有企业改革方案》；9月18日，第22次县委常委会审议通过了《桃江县关于持续深化供销合作社综合改革全力服务乡村振兴战略的任务分解清单》《桃江县供销合作社联合社社有企业改革方案》，对各牵头和责任单位的改革任务、落实情况进行定期调度，考核结果纳入县绩效考核内容，并同意组建桃江县供销集团公司。8月28日，完成了桃江县供销集团有限公司的注册登记；12月14日，桃江县供销集团有限公司正式揭牌成立，公司以服务“三农”为宗旨，以市场化、专业化、产业化为导向，通过创新体制机制，加强资源整合，拓展服务领域，增强服务功能，为全县农业、农村、农民提供全方位、多层次、综合性的服务。 </w:t>
            </w:r>
          </w:p>
          <w:p w14:paraId="20302F6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6337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881F476">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B0F678D">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405E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17D9C03">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1F1CD9E">
            <w:pPr>
              <w:jc w:val="left"/>
            </w:pPr>
            <w:r>
              <w:rPr>
                <w:rStyle w:val="20"/>
                <w:rFonts w:hint="eastAsia" w:ascii="楷体_GB2312" w:eastAsia="楷体_GB2312" w:cs="楷体_GB2312"/>
                <w:sz w:val="28"/>
                <w:szCs w:val="28"/>
                <w:bdr w:val="none" w:color="auto" w:sz="0" w:space="0"/>
                <w:lang w:val="en-US"/>
              </w:rPr>
              <w:t>无</w:t>
            </w:r>
          </w:p>
        </w:tc>
      </w:tr>
      <w:tr w14:paraId="258B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F73774E">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4349348">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60F9240">
            <w:pPr>
              <w:jc w:val="left"/>
            </w:pPr>
            <w:r>
              <w:rPr>
                <w:rStyle w:val="20"/>
                <w:rFonts w:hint="eastAsia" w:ascii="楷体_GB2312" w:eastAsia="楷体_GB2312" w:cs="楷体_GB2312"/>
                <w:sz w:val="28"/>
                <w:szCs w:val="28"/>
                <w:bdr w:val="none" w:color="auto" w:sz="0" w:space="0"/>
                <w:lang w:val="en-US"/>
              </w:rPr>
              <w:t>无</w:t>
            </w:r>
          </w:p>
        </w:tc>
      </w:tr>
    </w:tbl>
    <w:p w14:paraId="7B647861">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A8474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hps"/>
    <w:basedOn w:val="13"/>
    <w:uiPriority w:val="0"/>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1827</Words>
  <Characters>1926</Characters>
  <Lines>4</Lines>
  <Paragraphs>1</Paragraphs>
  <TotalTime>45456.6562500016</TotalTime>
  <ScaleCrop>false</ScaleCrop>
  <LinksUpToDate>false</LinksUpToDate>
  <CharactersWithSpaces>1972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2024-06-13T07:45:24Z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A8BA9B07F5114292B0E97D96A390A828_13</vt:lpwstr>
  </property>
</Properties>
</file>