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037D54">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44B658B">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12430922MB0U721163</w:t>
      </w:r>
      <w:r>
        <w:rPr>
          <w:rFonts w:eastAsia="楷体_GB2312"/>
          <w:b/>
          <w:bCs/>
          <w:sz w:val="30"/>
          <w:szCs w:val="24"/>
          <w:lang w:val="en-US"/>
        </w:rPr>
        <w:t xml:space="preserve">   </w:t>
      </w:r>
    </w:p>
    <w:p w14:paraId="37D198F6">
      <w:pPr>
        <w:jc w:val="right"/>
        <w:rPr>
          <w:lang w:val="en-US"/>
        </w:rPr>
      </w:pPr>
    </w:p>
    <w:p w14:paraId="210D5FA2">
      <w:pPr>
        <w:jc w:val="right"/>
        <w:rPr>
          <w:lang w:val="en-US"/>
        </w:rPr>
      </w:pPr>
    </w:p>
    <w:p w14:paraId="1424339D">
      <w:pPr>
        <w:jc w:val="right"/>
        <w:rPr>
          <w:lang w:val="en-US"/>
        </w:rPr>
      </w:pPr>
    </w:p>
    <w:p w14:paraId="39973481">
      <w:pPr>
        <w:jc w:val="right"/>
        <w:rPr>
          <w:lang w:val="en-US"/>
        </w:rPr>
      </w:pPr>
    </w:p>
    <w:p w14:paraId="58397F9D">
      <w:pPr>
        <w:jc w:val="right"/>
        <w:rPr>
          <w:lang w:val="en-US"/>
        </w:rPr>
      </w:pPr>
    </w:p>
    <w:p w14:paraId="2FA5016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29EE61C">
      <w:pPr>
        <w:jc w:val="center"/>
        <w:rPr>
          <w:rFonts w:eastAsia="黑体"/>
          <w:b/>
          <w:bCs/>
          <w:spacing w:val="30"/>
          <w:lang w:val="en-US"/>
        </w:rPr>
      </w:pPr>
    </w:p>
    <w:p w14:paraId="6EC80009">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A7F7031">
      <w:pPr>
        <w:jc w:val="center"/>
        <w:rPr>
          <w:sz w:val="36"/>
          <w:szCs w:val="24"/>
          <w:lang w:val="en-US"/>
        </w:rPr>
      </w:pPr>
    </w:p>
    <w:p w14:paraId="069FE697">
      <w:pPr>
        <w:jc w:val="center"/>
        <w:rPr>
          <w:sz w:val="36"/>
          <w:szCs w:val="24"/>
          <w:lang w:val="en-US"/>
        </w:rPr>
      </w:pPr>
    </w:p>
    <w:p w14:paraId="5D82BF50">
      <w:pPr>
        <w:jc w:val="center"/>
        <w:rPr>
          <w:sz w:val="36"/>
          <w:szCs w:val="24"/>
          <w:lang w:val="en-US"/>
        </w:rPr>
      </w:pPr>
    </w:p>
    <w:p w14:paraId="4080F1BF">
      <w:pPr>
        <w:jc w:val="center"/>
        <w:rPr>
          <w:sz w:val="36"/>
          <w:szCs w:val="24"/>
          <w:lang w:val="en-US"/>
        </w:rPr>
      </w:pPr>
    </w:p>
    <w:p w14:paraId="579CC5BA">
      <w:pPr>
        <w:jc w:val="center"/>
        <w:rPr>
          <w:sz w:val="36"/>
          <w:szCs w:val="24"/>
          <w:lang w:val="en-US"/>
        </w:rPr>
      </w:pPr>
    </w:p>
    <w:p w14:paraId="1E4922F4">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EB1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24C57925">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F2A04BD">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桃江县规划建设服务中心</w:t>
            </w:r>
          </w:p>
        </w:tc>
      </w:tr>
    </w:tbl>
    <w:p w14:paraId="3CBF653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D44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8C222B9">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E7F35FF">
            <w:pPr>
              <w:keepNext w:val="0"/>
              <w:keepLines w:val="0"/>
              <w:widowControl/>
              <w:suppressLineNumbers w:val="0"/>
              <w:jc w:val="left"/>
              <w:rPr>
                <w:kern w:val="0"/>
                <w:sz w:val="20"/>
                <w:szCs w:val="20"/>
                <w:bdr w:val="none" w:color="auto" w:sz="0" w:space="0"/>
                <w:lang w:val="en-US"/>
              </w:rPr>
            </w:pPr>
          </w:p>
        </w:tc>
      </w:tr>
    </w:tbl>
    <w:p w14:paraId="0C0B2B86">
      <w:pPr>
        <w:ind w:left="0" w:firstLine="723" w:firstLineChars="300"/>
        <w:rPr>
          <w:rFonts w:hint="eastAsia" w:ascii="黑体" w:hAnsi="宋体" w:eastAsia="黑体" w:cs="黑体"/>
          <w:b/>
          <w:bCs/>
          <w:sz w:val="24"/>
          <w:szCs w:val="24"/>
          <w:u w:val="single"/>
          <w:lang w:val="en-US"/>
        </w:rPr>
      </w:pPr>
    </w:p>
    <w:p w14:paraId="51B6A3A8">
      <w:pPr>
        <w:jc w:val="center"/>
        <w:rPr>
          <w:rFonts w:hint="eastAsia" w:ascii="黑体" w:hAnsi="宋体" w:eastAsia="黑体" w:cs="黑体"/>
          <w:b/>
          <w:bCs/>
          <w:sz w:val="30"/>
          <w:szCs w:val="24"/>
          <w:u w:val="single"/>
          <w:lang w:val="en-US"/>
        </w:rPr>
      </w:pPr>
    </w:p>
    <w:p w14:paraId="35C9D1D9">
      <w:pPr>
        <w:jc w:val="center"/>
        <w:rPr>
          <w:rFonts w:hint="eastAsia" w:ascii="黑体" w:hAnsi="宋体" w:eastAsia="黑体" w:cs="黑体"/>
          <w:b/>
          <w:bCs/>
          <w:sz w:val="30"/>
          <w:szCs w:val="24"/>
          <w:u w:val="single"/>
          <w:lang w:val="en-US"/>
        </w:rPr>
      </w:pPr>
    </w:p>
    <w:p w14:paraId="172F481F">
      <w:pPr>
        <w:jc w:val="center"/>
        <w:rPr>
          <w:u w:val="single"/>
          <w:lang w:val="en-US"/>
        </w:rPr>
      </w:pPr>
    </w:p>
    <w:p w14:paraId="6E73FCF4">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DD517F9">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BF1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CB6DCE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9232D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063A1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320AF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56C0A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F52874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5285EF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1E2E2B8">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桃江县规划建设服务中心</w:t>
            </w:r>
          </w:p>
        </w:tc>
      </w:tr>
      <w:tr w14:paraId="7A9F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C65834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C12507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49261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ABA0A26">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指导和协调各建制镇、集镇、村庄规划编制和建设工作；负责各乡镇规划区内建设项目规划条件的制定和房屋及用地性质变更的审查报批工作；对村庄规划实施监督；配合相关股室做好建设用地界址定桩、建筑放线、验线工作和建设项目竣工验收测量工作。</w:t>
            </w:r>
          </w:p>
        </w:tc>
      </w:tr>
      <w:tr w14:paraId="53C1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5A8674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7B514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7F9AF85">
            <w:pPr>
              <w:jc w:val="left"/>
            </w:pPr>
            <w:r>
              <w:rPr>
                <w:rStyle w:val="19"/>
                <w:rFonts w:hint="eastAsia" w:ascii="楷体_GB2312" w:eastAsia="楷体_GB2312" w:cs="楷体_GB2312"/>
                <w:sz w:val="28"/>
                <w:szCs w:val="28"/>
                <w:bdr w:val="none" w:color="auto" w:sz="0" w:space="0"/>
                <w:lang w:val="en-US"/>
              </w:rPr>
              <w:t>桃江县桃花江大道100号</w:t>
            </w:r>
          </w:p>
        </w:tc>
      </w:tr>
      <w:tr w14:paraId="4E45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B9B046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05589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58F4FE1">
            <w:pPr>
              <w:jc w:val="left"/>
            </w:pPr>
            <w:r>
              <w:rPr>
                <w:rStyle w:val="19"/>
                <w:rFonts w:hint="eastAsia" w:ascii="楷体_GB2312" w:eastAsia="楷体_GB2312" w:cs="楷体_GB2312"/>
                <w:sz w:val="28"/>
                <w:szCs w:val="28"/>
                <w:bdr w:val="none" w:color="auto" w:sz="0" w:space="0"/>
                <w:lang w:val="en-US"/>
              </w:rPr>
              <w:t>刘伟</w:t>
            </w:r>
          </w:p>
        </w:tc>
      </w:tr>
      <w:tr w14:paraId="56ED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7190AA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38A75B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377CE45">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10</w:t>
            </w:r>
            <w:r>
              <w:rPr>
                <w:rStyle w:val="19"/>
                <w:rFonts w:hint="eastAsia" w:ascii="楷体_GB2312" w:eastAsia="楷体_GB2312" w:cs="楷体_GB2312"/>
                <w:sz w:val="28"/>
                <w:szCs w:val="28"/>
                <w:bdr w:val="none" w:color="auto" w:sz="0" w:space="0"/>
              </w:rPr>
              <w:t>（万元）</w:t>
            </w:r>
          </w:p>
        </w:tc>
      </w:tr>
      <w:tr w14:paraId="238D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E62DA1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1E4CB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12F9195">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4114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25A9D2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5FFD60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A199D6C">
            <w:pPr>
              <w:jc w:val="left"/>
            </w:pPr>
            <w:r>
              <w:rPr>
                <w:rStyle w:val="19"/>
                <w:rFonts w:hint="eastAsia" w:ascii="楷体_GB2312" w:eastAsia="楷体_GB2312" w:cs="楷体_GB2312"/>
                <w:sz w:val="28"/>
                <w:szCs w:val="28"/>
                <w:bdr w:val="none" w:color="auto" w:sz="0" w:space="0"/>
                <w:lang w:val="en-US"/>
              </w:rPr>
              <w:t>桃江县自然资源局</w:t>
            </w:r>
          </w:p>
        </w:tc>
      </w:tr>
      <w:tr w14:paraId="437B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B341A32">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53A782B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70B9B32">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F479706">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198A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83E210C">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0C783A6">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4516051">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5C7E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C86970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DDC0939">
            <w:pPr>
              <w:jc w:val="center"/>
              <w:rPr>
                <w:sz w:val="32"/>
                <w:szCs w:val="24"/>
                <w:bdr w:val="none" w:color="auto" w:sz="0" w:space="0"/>
                <w:lang w:val="en-US"/>
              </w:rPr>
            </w:pPr>
            <w:r>
              <w:rPr>
                <w:rStyle w:val="14"/>
                <w:sz w:val="32"/>
                <w:szCs w:val="24"/>
                <w:bdr w:val="none" w:color="auto" w:sz="0" w:space="0"/>
                <w:lang w:val="en-US"/>
              </w:rPr>
              <w:t>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F8F7C26">
            <w:pPr>
              <w:jc w:val="center"/>
            </w:pPr>
            <w:r>
              <w:rPr>
                <w:rStyle w:val="19"/>
                <w:sz w:val="32"/>
                <w:szCs w:val="32"/>
                <w:bdr w:val="none" w:color="auto" w:sz="0" w:space="0"/>
                <w:lang w:val="en-US"/>
              </w:rPr>
              <w:t>0</w:t>
            </w:r>
          </w:p>
        </w:tc>
      </w:tr>
      <w:tr w14:paraId="2C93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44C1AC2">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EC0B9FB">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桃江县规划建设服务中心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082F88E">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D943322">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17</w:t>
            </w:r>
          </w:p>
        </w:tc>
      </w:tr>
      <w:tr w14:paraId="3046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ECF5B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CAF09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F5CA28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4F4CF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46776C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69305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58B49C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ED41E3E">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F87350C">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按《条例》和实施细则有关变更登记规定的执行</w:t>
            </w:r>
          </w:p>
        </w:tc>
      </w:tr>
      <w:tr w14:paraId="3244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7E688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1074EE3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382339E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3F42EE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D1E51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48AB39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0BE76D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3DDFE197">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744F4C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 农村村民建房规划审查完成7个批次：全县15个乡镇，共审查村民建房776户，面积6.0623公顷。重点项目村庄规划审查完成9个，项目面积为14.1949公顷。 二、 对全县15个乡镇建设项目进行了规划实施建设中的督促检查，及时发现问题、解决问题，切实减少了违章违法建设的发生。 三、 配合相关股室做好68个建设用地界址定桩、建筑放线、验线工作和建设项目竣工验收测量工作 四、 按时按质按量完成了上级分配的其他任务。 </w:t>
            </w:r>
          </w:p>
          <w:p w14:paraId="00D7960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35B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2F74E11">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51BB569">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53A0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75D4450">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6205ACA">
            <w:pPr>
              <w:jc w:val="left"/>
            </w:pPr>
            <w:r>
              <w:rPr>
                <w:rStyle w:val="19"/>
                <w:rFonts w:hint="eastAsia" w:ascii="楷体_GB2312" w:eastAsia="楷体_GB2312" w:cs="楷体_GB2312"/>
                <w:sz w:val="28"/>
                <w:szCs w:val="28"/>
                <w:bdr w:val="none" w:color="auto" w:sz="0" w:space="0"/>
                <w:lang w:val="en-US"/>
              </w:rPr>
              <w:t>无</w:t>
            </w:r>
          </w:p>
        </w:tc>
      </w:tr>
      <w:tr w14:paraId="5B57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D172BFA">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60632E0">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B56FF13">
            <w:pPr>
              <w:jc w:val="left"/>
            </w:pPr>
            <w:r>
              <w:rPr>
                <w:rStyle w:val="19"/>
                <w:rFonts w:hint="eastAsia" w:ascii="楷体_GB2312" w:eastAsia="楷体_GB2312" w:cs="楷体_GB2312"/>
                <w:sz w:val="28"/>
                <w:szCs w:val="28"/>
                <w:bdr w:val="none" w:color="auto" w:sz="0" w:space="0"/>
                <w:lang w:val="en-US"/>
              </w:rPr>
              <w:t>无</w:t>
            </w:r>
          </w:p>
        </w:tc>
      </w:tr>
    </w:tbl>
    <w:p w14:paraId="6C710514">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AD445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618</Words>
  <Characters>673</Characters>
  <Lines>4</Lines>
  <Paragraphs>1</Paragraphs>
  <TotalTime>45455.7187500016</TotalTime>
  <ScaleCrop>false</ScaleCrop>
  <LinksUpToDate>false</LinksUpToDate>
  <CharactersWithSpaces>716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2024-06-12T09:15:40Z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BF70EB99774D489A89B53242743E4A00_13</vt:lpwstr>
  </property>
</Properties>
</file>