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59E5EE">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334437CE">
      <w:pPr>
        <w:wordWrap w:val="0"/>
        <w:jc w:val="right"/>
        <w:rPr>
          <w:rFonts w:eastAsia="楷体_GB2312"/>
          <w:b/>
          <w:bCs/>
          <w:sz w:val="30"/>
          <w:szCs w:val="24"/>
          <w:lang w:val="en-US"/>
        </w:rPr>
      </w:pPr>
      <w:r>
        <w:rPr>
          <w:rFonts w:eastAsia="楷体_GB2312"/>
          <w:b/>
          <w:bCs/>
          <w:sz w:val="30"/>
          <w:szCs w:val="24"/>
          <w:lang w:val="en-US"/>
        </w:rPr>
        <w:t xml:space="preserve">   </w:t>
      </w:r>
      <w:r>
        <w:rPr>
          <w:rStyle w:val="19"/>
          <w:b/>
          <w:bCs/>
          <w:sz w:val="30"/>
          <w:szCs w:val="30"/>
          <w:lang w:val="en-US"/>
        </w:rPr>
        <w:t>12430922MB1B70940F</w:t>
      </w:r>
      <w:r>
        <w:rPr>
          <w:rFonts w:eastAsia="楷体_GB2312"/>
          <w:b/>
          <w:bCs/>
          <w:sz w:val="30"/>
          <w:szCs w:val="24"/>
          <w:lang w:val="en-US"/>
        </w:rPr>
        <w:t xml:space="preserve">   </w:t>
      </w:r>
    </w:p>
    <w:p w14:paraId="7A85E9FC">
      <w:pPr>
        <w:jc w:val="right"/>
        <w:rPr>
          <w:lang w:val="en-US"/>
        </w:rPr>
      </w:pPr>
    </w:p>
    <w:p w14:paraId="0F4CCF7E">
      <w:pPr>
        <w:jc w:val="right"/>
        <w:rPr>
          <w:lang w:val="en-US"/>
        </w:rPr>
      </w:pPr>
    </w:p>
    <w:p w14:paraId="08F0B93D">
      <w:pPr>
        <w:jc w:val="right"/>
        <w:rPr>
          <w:lang w:val="en-US"/>
        </w:rPr>
      </w:pPr>
    </w:p>
    <w:p w14:paraId="18FD3EDC">
      <w:pPr>
        <w:jc w:val="right"/>
        <w:rPr>
          <w:lang w:val="en-US"/>
        </w:rPr>
      </w:pPr>
    </w:p>
    <w:p w14:paraId="75E5B4F3">
      <w:pPr>
        <w:jc w:val="right"/>
        <w:rPr>
          <w:lang w:val="en-US"/>
        </w:rPr>
      </w:pPr>
    </w:p>
    <w:p w14:paraId="1715526D">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68064B2A">
      <w:pPr>
        <w:jc w:val="center"/>
        <w:rPr>
          <w:rFonts w:eastAsia="黑体"/>
          <w:b/>
          <w:bCs/>
          <w:spacing w:val="30"/>
          <w:lang w:val="en-US"/>
        </w:rPr>
      </w:pPr>
    </w:p>
    <w:p w14:paraId="642DAD9F">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9"/>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05A64553">
      <w:pPr>
        <w:jc w:val="center"/>
        <w:rPr>
          <w:sz w:val="36"/>
          <w:szCs w:val="24"/>
          <w:lang w:val="en-US"/>
        </w:rPr>
      </w:pPr>
    </w:p>
    <w:p w14:paraId="2316651A">
      <w:pPr>
        <w:jc w:val="center"/>
        <w:rPr>
          <w:sz w:val="36"/>
          <w:szCs w:val="24"/>
          <w:lang w:val="en-US"/>
        </w:rPr>
      </w:pPr>
    </w:p>
    <w:p w14:paraId="24C84201">
      <w:pPr>
        <w:jc w:val="center"/>
        <w:rPr>
          <w:sz w:val="36"/>
          <w:szCs w:val="24"/>
          <w:lang w:val="en-US"/>
        </w:rPr>
      </w:pPr>
    </w:p>
    <w:p w14:paraId="16DE89BE">
      <w:pPr>
        <w:jc w:val="center"/>
        <w:rPr>
          <w:sz w:val="36"/>
          <w:szCs w:val="24"/>
          <w:lang w:val="en-US"/>
        </w:rPr>
      </w:pPr>
    </w:p>
    <w:p w14:paraId="0A420728">
      <w:pPr>
        <w:jc w:val="center"/>
        <w:rPr>
          <w:sz w:val="36"/>
          <w:szCs w:val="24"/>
          <w:lang w:val="en-US"/>
        </w:rPr>
      </w:pPr>
    </w:p>
    <w:p w14:paraId="32863A73">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091A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61E52E60">
            <w:pPr>
              <w:jc w:val="distribute"/>
            </w:pPr>
            <w:r>
              <w:rPr>
                <w:rStyle w:val="20"/>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2E76CFF0">
            <w:pPr>
              <w:jc w:val="center"/>
              <w:rPr>
                <w:rFonts w:hint="eastAsia" w:ascii="楷体_GB2312" w:eastAsia="楷体_GB2312" w:cs="楷体_GB2312"/>
                <w:sz w:val="32"/>
                <w:szCs w:val="24"/>
                <w:bdr w:val="none" w:color="auto" w:sz="0" w:space="0"/>
                <w:lang w:val="en-US"/>
              </w:rPr>
            </w:pPr>
            <w:r>
              <w:rPr>
                <w:rStyle w:val="15"/>
                <w:rFonts w:hint="eastAsia" w:ascii="楷体_GB2312" w:eastAsia="楷体_GB2312" w:cs="楷体_GB2312"/>
                <w:sz w:val="32"/>
                <w:szCs w:val="24"/>
                <w:bdr w:val="none" w:color="auto" w:sz="0" w:space="0"/>
                <w:lang w:val="en-US"/>
              </w:rPr>
              <w:t>桃江县河长制工作站</w:t>
            </w:r>
          </w:p>
        </w:tc>
      </w:tr>
    </w:tbl>
    <w:p w14:paraId="381C7814">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2FAB2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276E9D56">
            <w:pPr>
              <w:jc w:val="distribute"/>
            </w:pPr>
            <w:r>
              <w:rPr>
                <w:rStyle w:val="20"/>
                <w:b/>
                <w:bCs/>
                <w:sz w:val="36"/>
                <w:szCs w:val="24"/>
                <w:bdr w:val="none" w:color="auto" w:sz="0" w:space="0"/>
              </w:rPr>
              <w:t>法</w:t>
            </w:r>
            <w:r>
              <w:rPr>
                <w:rStyle w:val="20"/>
                <w:b/>
                <w:bCs/>
                <w:spacing w:val="30"/>
                <w:sz w:val="36"/>
                <w:szCs w:val="24"/>
                <w:bdr w:val="none" w:color="auto" w:sz="0" w:space="0"/>
              </w:rPr>
              <w:t>定代表</w:t>
            </w:r>
            <w:r>
              <w:rPr>
                <w:rStyle w:val="20"/>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08AFBC79">
            <w:pPr>
              <w:keepNext w:val="0"/>
              <w:keepLines w:val="0"/>
              <w:widowControl/>
              <w:suppressLineNumbers w:val="0"/>
              <w:jc w:val="left"/>
              <w:rPr>
                <w:kern w:val="0"/>
                <w:sz w:val="20"/>
                <w:szCs w:val="20"/>
                <w:bdr w:val="none" w:color="auto" w:sz="0" w:space="0"/>
                <w:lang w:val="en-US"/>
              </w:rPr>
            </w:pPr>
          </w:p>
        </w:tc>
      </w:tr>
    </w:tbl>
    <w:p w14:paraId="6900FA2C">
      <w:pPr>
        <w:ind w:left="0" w:firstLine="723" w:firstLineChars="300"/>
        <w:rPr>
          <w:rFonts w:hint="eastAsia" w:ascii="黑体" w:hAnsi="宋体" w:eastAsia="黑体" w:cs="黑体"/>
          <w:b/>
          <w:bCs/>
          <w:sz w:val="24"/>
          <w:szCs w:val="24"/>
          <w:u w:val="single"/>
          <w:lang w:val="en-US"/>
        </w:rPr>
      </w:pPr>
    </w:p>
    <w:p w14:paraId="1E366445">
      <w:pPr>
        <w:jc w:val="center"/>
        <w:rPr>
          <w:rFonts w:hint="eastAsia" w:ascii="黑体" w:hAnsi="宋体" w:eastAsia="黑体" w:cs="黑体"/>
          <w:b/>
          <w:bCs/>
          <w:sz w:val="30"/>
          <w:szCs w:val="24"/>
          <w:u w:val="single"/>
          <w:lang w:val="en-US"/>
        </w:rPr>
      </w:pPr>
    </w:p>
    <w:p w14:paraId="1C68D06F">
      <w:pPr>
        <w:jc w:val="center"/>
        <w:rPr>
          <w:rFonts w:hint="eastAsia" w:ascii="黑体" w:hAnsi="宋体" w:eastAsia="黑体" w:cs="黑体"/>
          <w:b/>
          <w:bCs/>
          <w:sz w:val="30"/>
          <w:szCs w:val="24"/>
          <w:u w:val="single"/>
          <w:lang w:val="en-US"/>
        </w:rPr>
      </w:pPr>
    </w:p>
    <w:p w14:paraId="76F2F5F3">
      <w:pPr>
        <w:jc w:val="center"/>
        <w:rPr>
          <w:u w:val="single"/>
          <w:lang w:val="en-US"/>
        </w:rPr>
      </w:pPr>
    </w:p>
    <w:p w14:paraId="6C628390">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15A62AB4">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324F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22DF2CE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3446F85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6A35EBB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0A55549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49A448D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5FD9680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3C198BF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76139174">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桃江县河长制工作站</w:t>
            </w:r>
          </w:p>
        </w:tc>
      </w:tr>
      <w:tr w14:paraId="5A19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0A00E1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2004B6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049A623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D717279">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宗 旨：践行绿色发展理念，全面落实河长制各项工作，维护河湖健康生命，实现河湖功能永续利用。 业务范围：承担县河长制工作委员会办公室的日常工作，负责河长制实施中的组织协调、调度督导、检查考核等具体工作；协调有关部门、单位按照职责分工落实责任，监督落实县级河长部署的工作任务；统筹协调县河长制工作委员会成员单位河湖 保护工作；指导乡镇河长制工作。</w:t>
            </w:r>
          </w:p>
        </w:tc>
      </w:tr>
      <w:tr w14:paraId="1CB0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10696A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0C5388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E76C526">
            <w:pPr>
              <w:jc w:val="left"/>
            </w:pPr>
            <w:r>
              <w:rPr>
                <w:rStyle w:val="14"/>
                <w:rFonts w:hint="eastAsia" w:ascii="楷体_GB2312" w:eastAsia="楷体_GB2312" w:cs="楷体_GB2312"/>
                <w:sz w:val="28"/>
                <w:szCs w:val="28"/>
                <w:bdr w:val="none" w:color="auto" w:sz="0" w:space="0"/>
                <w:lang w:val="en-US"/>
              </w:rPr>
              <w:t>桃江县桃花江镇芙蓉路</w:t>
            </w:r>
          </w:p>
        </w:tc>
      </w:tr>
      <w:tr w14:paraId="1362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FDDFC3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A8597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86944FA">
            <w:pPr>
              <w:jc w:val="left"/>
            </w:pPr>
            <w:r>
              <w:rPr>
                <w:rStyle w:val="14"/>
                <w:rFonts w:hint="eastAsia" w:ascii="楷体_GB2312" w:eastAsia="楷体_GB2312" w:cs="楷体_GB2312"/>
                <w:sz w:val="28"/>
                <w:szCs w:val="28"/>
                <w:bdr w:val="none" w:color="auto" w:sz="0" w:space="0"/>
                <w:lang w:val="en-US"/>
              </w:rPr>
              <w:t>侯鑫</w:t>
            </w:r>
          </w:p>
        </w:tc>
      </w:tr>
      <w:tr w14:paraId="61FE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35D4D4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19325E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9D641C7">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5</w:t>
            </w:r>
            <w:r>
              <w:rPr>
                <w:rStyle w:val="14"/>
                <w:rFonts w:hint="eastAsia" w:ascii="楷体_GB2312" w:eastAsia="楷体_GB2312" w:cs="楷体_GB2312"/>
                <w:sz w:val="28"/>
                <w:szCs w:val="28"/>
                <w:bdr w:val="none" w:color="auto" w:sz="0" w:space="0"/>
              </w:rPr>
              <w:t>（万元）</w:t>
            </w:r>
          </w:p>
        </w:tc>
      </w:tr>
      <w:tr w14:paraId="7E3A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E257D1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433DCC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0C180B1">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w:t>
            </w:r>
          </w:p>
        </w:tc>
      </w:tr>
      <w:tr w14:paraId="523D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77A6F6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17CCF0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14B7689">
            <w:pPr>
              <w:jc w:val="left"/>
            </w:pPr>
            <w:r>
              <w:rPr>
                <w:rStyle w:val="14"/>
                <w:rFonts w:hint="eastAsia" w:ascii="楷体_GB2312" w:eastAsia="楷体_GB2312" w:cs="楷体_GB2312"/>
                <w:sz w:val="28"/>
                <w:szCs w:val="28"/>
                <w:bdr w:val="none" w:color="auto" w:sz="0" w:space="0"/>
                <w:lang w:val="en-US"/>
              </w:rPr>
              <w:t>桃江县水利局</w:t>
            </w:r>
          </w:p>
        </w:tc>
      </w:tr>
      <w:tr w14:paraId="7EA0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7902D7CE">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65407ACC">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25084D3A">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47799E4">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净资产合计（所有者权益合计）</w:t>
            </w:r>
          </w:p>
        </w:tc>
      </w:tr>
      <w:tr w14:paraId="59DF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9144C4E">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95C5028">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6A4F2653">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年末数（万元）</w:t>
            </w:r>
          </w:p>
        </w:tc>
      </w:tr>
      <w:tr w14:paraId="5A0E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CF6FCB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31E49CB">
            <w:pPr>
              <w:jc w:val="center"/>
              <w:rPr>
                <w:sz w:val="32"/>
                <w:szCs w:val="24"/>
                <w:bdr w:val="none" w:color="auto" w:sz="0" w:space="0"/>
                <w:lang w:val="en-US"/>
              </w:rPr>
            </w:pPr>
            <w:r>
              <w:rPr>
                <w:rStyle w:val="15"/>
                <w:sz w:val="32"/>
                <w:szCs w:val="24"/>
                <w:bdr w:val="none" w:color="auto" w:sz="0" w:space="0"/>
                <w:lang w:val="en-US"/>
              </w:rPr>
              <w:t>5</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518AD002">
            <w:pPr>
              <w:jc w:val="center"/>
            </w:pPr>
            <w:r>
              <w:rPr>
                <w:rStyle w:val="14"/>
                <w:sz w:val="32"/>
                <w:szCs w:val="32"/>
                <w:bdr w:val="none" w:color="auto" w:sz="0" w:space="0"/>
                <w:lang w:val="en-US"/>
              </w:rPr>
              <w:t>5</w:t>
            </w:r>
          </w:p>
        </w:tc>
      </w:tr>
      <w:tr w14:paraId="7990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A33941B">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52980E9">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桃江县河长制工作站</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2A0D773E">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38A1639F">
            <w:pPr>
              <w:spacing w:line="0" w:lineRule="atLeast"/>
              <w:jc w:val="left"/>
              <w:rPr>
                <w:rFonts w:hint="eastAsia" w:ascii="楷体_GB2312" w:eastAsia="楷体_GB2312" w:cs="楷体_GB2312"/>
                <w:sz w:val="32"/>
                <w:szCs w:val="24"/>
                <w:bdr w:val="none" w:color="auto" w:sz="0" w:space="0"/>
                <w:lang w:val="en-US"/>
              </w:rPr>
            </w:pPr>
            <w:r>
              <w:rPr>
                <w:rStyle w:val="15"/>
                <w:sz w:val="32"/>
                <w:szCs w:val="24"/>
                <w:bdr w:val="none" w:color="auto" w:sz="0" w:space="0"/>
                <w:lang w:val="en-US"/>
              </w:rPr>
              <w:t>4</w:t>
            </w:r>
          </w:p>
        </w:tc>
      </w:tr>
      <w:tr w14:paraId="6ADF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2ED5A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02E7076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4C3E49F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6F1A8FE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5040923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6A913B8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33E175A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528EEA06">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77091DD">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严格按照《条例》及其实施细则有关变更登记规定执行。</w:t>
            </w:r>
          </w:p>
        </w:tc>
      </w:tr>
      <w:tr w14:paraId="2A2B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00FD53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5CE4EEB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122D44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4E772CF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EC686E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0299BBE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2AF70D3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302A5107">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6F34A4D">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一、“严”字当头明责任。一是坚持高位推动。县委、县政府高度重视河湖管理保护工作，多次召开会议学习习近平生态文明思想和河长制工作有关会议精神，部署安排河长制工作。今年以来，县、乡、村三级河长累计巡河14595人次，交办、解决各类河湖问题482个。二是严格督查考核。印发了河长制年度工作要点和考核办法、考核细则，成立联合督查组每季度采取“四不两直”方式开展综合督查或暗访督查，年底统一对各单位的工作落实情况进行评分，评分结果作为年度绩效考核的扣分依据。三是加强横向联动。与安化县、赫山区及资阳区签订《资江流域横向生态保护补偿协议》，联合开展了交界水域禁捕、禁砂联合行动，乡镇之间、部门之间定期开展联合巡河行动，在线索通报、案件移送、资源共享和信息发布等方面形成合力。 二、多措并举抓落实。一是加强水资源保护。加大资水桃江段取水口的巡查监管，严厉打击非法取水和超许可取水行为。今年获评全国第六批节水型社会建设达标县（区），在全市率先创成县域节水型社会。二是加强水域岸线管护。完成了水利部1033处卫星图斑问题和省河长办205处图斑问题核查整改销号，整改存量问题15个，清理存量砂石堆场5万余方，拆除混凝土搅拌站3个，拆除违规搭建工棚200余平方。三是加强水污染防治。全面加强农业面源污染防治和锑污染、石煤矿矿涌水治理，居民生活污水实现达标排放，县城集中式饮用水源地和“千吨万人”饮用水水源水质达标率100%，5个国省控断面达标率100%，资水桃江段干流水质稳定达到Ш类。四是加强水环境治理。今年累计投入2.34亿元，完成资水重要河段治理工程二期（龙拱滩至回龙庵等11段岸坡防护）、42座小型病险水库除险加固、城市防洪工程城关垸花桥保护圈等项目年度建设任务，获评全省深化小型水库管理体制改革样板县。五是加强水生态修复。加快资江干流和主要支流岸线生态廊道建设和羞女湖湿地公园保护修复，完成新造林项目1.1万亩、油茶造林2000亩、省级生态廊道建设1220亩，增殖放流1500万尾鱼苗。六是强化水行政执法。加强部门协作，严厉打击破坏资江水生态、水环境的违法犯罪行为，今年以来，全县制止水事违法行为15起，立案查处非法捕捞案件89起，督促整改破坏河湖生态环境问题16个，移送涉河公益诉讼线索3条，立案3件。 三、创新机制补短板。一是建章立制。年初，县河长办印发了《关于进一步强化河长制网格化管理工作的通知》等文件，建立了河长制网格化示范乡（镇）、村奖补激励机制，支持每个乡镇创建3个网格化示范村（社区），选取10个村（社区）打造县级河长制样板网格。二是巡报有序。发挥全县2000多名专职网格巡查志愿者“人熟、地熟、事熟”优势，及时发现并制止网格内乱倒垃圾、乱堆弃土、占河种菜、盗挖砂石、违法建房、非法排污等破坏河湖生态环境的行为。今年以来，协调解决各类河湖问题120余个，清理河道漂浮垃圾和岸坡垃圾300余吨。三是奖惩分明。归集资金30万元，对2023年度考核排名前五的乡镇各奖励4万元，选取10个工作突出的村级样板网格各奖励1万元，对优秀乡镇或样板网格优先推荐参加上级河长办的评先评优。同时，鼓励乡镇出台相应的激励政策措施，目前，部分乡镇试点实行了网格员履职“积分”兑换日用商品的工作激励机制，并对参与积极、工作成绩突出的网格员，在入党申请、村干部选拔、医疗救助、子女参军、入学、就业等方面给予政策倾斜，专职网格员巡查积极性不断提高。 四、示范引领立标杆。一是打造乡级河道治理样板。整合农业、水利、国土、环保等部门的涉水项目资金，逐年逐段开展河道生态治理，2023年打造乡级样板河流15条。二是培育县级示范河流。围绕“河畅、水清、岸绿、景美、堤固”的美丽幸福河流建设目标，整合资金对桃花江（獭溪） 35.53公里进行综合性生态治理，目前已完成投资6800万元，打造了县城至石牛江镇增塘段4.6公里示范带。三是擦亮“河小青”志愿活动名片。组建河小青行动中心，不断优化完善队伍建设、阵地建设和机制建设，在15 个乡镇成立河小青小分队，目前有在册河小青294人，先后两次组织行动中心负责人前往怀化溆浦县学习取经。截至目前，开展各类“河小青”主题活动53场，线上净滩行动110场，线下净滩45场、巡河宝活动254场，参与志愿者6114人次，服务青少年、群众7万人次，志愿服务时长达3.7万小时。 </w:t>
            </w:r>
          </w:p>
          <w:p w14:paraId="07DDC7B1">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26E5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9180A79">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D45A5D6">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桃办〔2019〕50号文件，有效期至2024年8月22日。</w:t>
            </w:r>
          </w:p>
        </w:tc>
      </w:tr>
      <w:tr w14:paraId="6C7D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E7F343C">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3B0812AF">
            <w:pPr>
              <w:jc w:val="left"/>
            </w:pPr>
            <w:r>
              <w:rPr>
                <w:rStyle w:val="14"/>
                <w:rFonts w:hint="eastAsia" w:ascii="楷体_GB2312" w:eastAsia="楷体_GB2312" w:cs="楷体_GB2312"/>
                <w:sz w:val="28"/>
                <w:szCs w:val="28"/>
                <w:bdr w:val="none" w:color="auto" w:sz="0" w:space="0"/>
                <w:lang w:val="en-US"/>
              </w:rPr>
              <w:t>无</w:t>
            </w:r>
          </w:p>
        </w:tc>
      </w:tr>
      <w:tr w14:paraId="334C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6AC718D">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4D54A89C">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9D566D6">
            <w:pPr>
              <w:jc w:val="left"/>
            </w:pPr>
            <w:r>
              <w:rPr>
                <w:rStyle w:val="14"/>
                <w:rFonts w:hint="eastAsia" w:ascii="楷体_GB2312" w:eastAsia="楷体_GB2312" w:cs="楷体_GB2312"/>
                <w:sz w:val="28"/>
                <w:szCs w:val="28"/>
                <w:bdr w:val="none" w:color="auto" w:sz="0" w:space="0"/>
                <w:lang w:val="en-US"/>
              </w:rPr>
              <w:t>无</w:t>
            </w:r>
          </w:p>
        </w:tc>
      </w:tr>
    </w:tbl>
    <w:p w14:paraId="6AED44C3">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576867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font61"/>
    <w:basedOn w:val="13"/>
    <w:uiPriority w:val="0"/>
    <w:rPr>
      <w:rFonts w:hint="default" w:ascii="Times New Roman" w:hAnsi="Times New Roman" w:eastAsia="楷体_GB2312" w:cs="Times New Roman"/>
      <w:sz w:val="32"/>
      <w:szCs w:val="24"/>
    </w:rPr>
  </w:style>
  <w:style w:type="character" w:customStyle="1" w:styleId="16">
    <w:name w:val="hps"/>
    <w:basedOn w:val="13"/>
    <w:uiPriority w:val="0"/>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21"/>
    <w:basedOn w:val="13"/>
    <w:uiPriority w:val="0"/>
    <w:rPr>
      <w:rFonts w:hint="default" w:ascii="Times New Roman" w:hAnsi="Times New Roman" w:eastAsia="楷体_GB2312" w:cs="Times New Roman"/>
      <w:sz w:val="30"/>
      <w:szCs w:val="24"/>
    </w:rPr>
  </w:style>
  <w:style w:type="character" w:customStyle="1" w:styleId="20">
    <w:name w:val="font51"/>
    <w:basedOn w:val="13"/>
    <w:uiPriority w:val="0"/>
    <w:rPr>
      <w:rFonts w:hint="eastAsia" w:ascii="黑体" w:hAnsi="宋体" w:eastAsia="黑体" w:cs="黑体"/>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7</Pages>
  <Words>2205</Words>
  <Characters>2327</Characters>
  <Lines>4</Lines>
  <Paragraphs>1</Paragraphs>
  <TotalTime>45455.7187500016</TotalTime>
  <ScaleCrop>false</ScaleCrop>
  <LinksUpToDate>false</LinksUpToDate>
  <CharactersWithSpaces>2371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2024-06-12T09:26:58Z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E7DCAA7283814770AC6BEDBC3DE1067B_13</vt:lpwstr>
  </property>
</Properties>
</file>