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E701BB">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72D1B557">
      <w:pPr>
        <w:wordWrap w:val="0"/>
        <w:jc w:val="right"/>
        <w:rPr>
          <w:rFonts w:eastAsia="楷体_GB2312"/>
          <w:b/>
          <w:bCs/>
          <w:sz w:val="30"/>
          <w:szCs w:val="24"/>
          <w:lang w:val="en-US"/>
        </w:rPr>
      </w:pPr>
      <w:r>
        <w:rPr>
          <w:rFonts w:eastAsia="楷体_GB2312"/>
          <w:b/>
          <w:bCs/>
          <w:sz w:val="30"/>
          <w:szCs w:val="24"/>
          <w:lang w:val="en-US"/>
        </w:rPr>
        <w:t xml:space="preserve">   </w:t>
      </w:r>
      <w:r>
        <w:rPr>
          <w:rStyle w:val="19"/>
          <w:b/>
          <w:bCs/>
          <w:sz w:val="30"/>
          <w:szCs w:val="30"/>
          <w:lang w:val="en-US"/>
        </w:rPr>
        <w:t>12430922MB1D1297XH</w:t>
      </w:r>
      <w:r>
        <w:rPr>
          <w:rFonts w:eastAsia="楷体_GB2312"/>
          <w:b/>
          <w:bCs/>
          <w:sz w:val="30"/>
          <w:szCs w:val="24"/>
          <w:lang w:val="en-US"/>
        </w:rPr>
        <w:t xml:space="preserve">   </w:t>
      </w:r>
    </w:p>
    <w:p w14:paraId="3835D83C">
      <w:pPr>
        <w:jc w:val="right"/>
        <w:rPr>
          <w:lang w:val="en-US"/>
        </w:rPr>
      </w:pPr>
    </w:p>
    <w:p w14:paraId="505972FC">
      <w:pPr>
        <w:jc w:val="right"/>
        <w:rPr>
          <w:lang w:val="en-US"/>
        </w:rPr>
      </w:pPr>
    </w:p>
    <w:p w14:paraId="7159C3E7">
      <w:pPr>
        <w:jc w:val="right"/>
        <w:rPr>
          <w:lang w:val="en-US"/>
        </w:rPr>
      </w:pPr>
    </w:p>
    <w:p w14:paraId="5AA0E32A">
      <w:pPr>
        <w:jc w:val="right"/>
        <w:rPr>
          <w:lang w:val="en-US"/>
        </w:rPr>
      </w:pPr>
    </w:p>
    <w:p w14:paraId="274CE782">
      <w:pPr>
        <w:jc w:val="right"/>
        <w:rPr>
          <w:lang w:val="en-US"/>
        </w:rPr>
      </w:pPr>
    </w:p>
    <w:p w14:paraId="429AD37E">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4C033AEA">
      <w:pPr>
        <w:jc w:val="center"/>
        <w:rPr>
          <w:rFonts w:eastAsia="黑体"/>
          <w:b/>
          <w:bCs/>
          <w:spacing w:val="30"/>
          <w:lang w:val="en-US"/>
        </w:rPr>
      </w:pPr>
    </w:p>
    <w:p w14:paraId="2CDE9EE8">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9"/>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2129DD19">
      <w:pPr>
        <w:jc w:val="center"/>
        <w:rPr>
          <w:sz w:val="36"/>
          <w:szCs w:val="24"/>
          <w:lang w:val="en-US"/>
        </w:rPr>
      </w:pPr>
    </w:p>
    <w:p w14:paraId="307AE2A8">
      <w:pPr>
        <w:jc w:val="center"/>
        <w:rPr>
          <w:sz w:val="36"/>
          <w:szCs w:val="24"/>
          <w:lang w:val="en-US"/>
        </w:rPr>
      </w:pPr>
    </w:p>
    <w:p w14:paraId="5FB7FF00">
      <w:pPr>
        <w:jc w:val="center"/>
        <w:rPr>
          <w:sz w:val="36"/>
          <w:szCs w:val="24"/>
          <w:lang w:val="en-US"/>
        </w:rPr>
      </w:pPr>
    </w:p>
    <w:p w14:paraId="3EAE12D0">
      <w:pPr>
        <w:jc w:val="center"/>
        <w:rPr>
          <w:sz w:val="36"/>
          <w:szCs w:val="24"/>
          <w:lang w:val="en-US"/>
        </w:rPr>
      </w:pPr>
    </w:p>
    <w:p w14:paraId="5CE88EB7">
      <w:pPr>
        <w:jc w:val="center"/>
        <w:rPr>
          <w:sz w:val="36"/>
          <w:szCs w:val="24"/>
          <w:lang w:val="en-US"/>
        </w:rPr>
      </w:pPr>
    </w:p>
    <w:p w14:paraId="2F3BB084">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0BD2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037BB92A">
            <w:pPr>
              <w:jc w:val="distribute"/>
            </w:pPr>
            <w:r>
              <w:rPr>
                <w:rStyle w:val="15"/>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332F4F5">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桃江县灰山港镇社会事务综合服务中心</w:t>
            </w:r>
          </w:p>
        </w:tc>
      </w:tr>
    </w:tbl>
    <w:p w14:paraId="27B141BA">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1C1D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33DC8473">
            <w:pPr>
              <w:jc w:val="distribute"/>
            </w:pPr>
            <w:r>
              <w:rPr>
                <w:rStyle w:val="15"/>
                <w:b/>
                <w:bCs/>
                <w:sz w:val="36"/>
                <w:szCs w:val="24"/>
                <w:bdr w:val="none" w:color="auto" w:sz="0" w:space="0"/>
              </w:rPr>
              <w:t>法</w:t>
            </w:r>
            <w:r>
              <w:rPr>
                <w:rStyle w:val="15"/>
                <w:b/>
                <w:bCs/>
                <w:spacing w:val="30"/>
                <w:sz w:val="36"/>
                <w:szCs w:val="24"/>
                <w:bdr w:val="none" w:color="auto" w:sz="0" w:space="0"/>
              </w:rPr>
              <w:t>定代表</w:t>
            </w:r>
            <w:r>
              <w:rPr>
                <w:rStyle w:val="15"/>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4B328D44">
            <w:pPr>
              <w:keepNext w:val="0"/>
              <w:keepLines w:val="0"/>
              <w:widowControl/>
              <w:suppressLineNumbers w:val="0"/>
              <w:jc w:val="left"/>
              <w:rPr>
                <w:kern w:val="0"/>
                <w:sz w:val="20"/>
                <w:szCs w:val="20"/>
                <w:bdr w:val="none" w:color="auto" w:sz="0" w:space="0"/>
                <w:lang w:val="en-US"/>
              </w:rPr>
            </w:pPr>
          </w:p>
        </w:tc>
      </w:tr>
    </w:tbl>
    <w:p w14:paraId="5C262362">
      <w:pPr>
        <w:ind w:left="0" w:firstLine="723" w:firstLineChars="300"/>
        <w:rPr>
          <w:rFonts w:hint="eastAsia" w:ascii="黑体" w:hAnsi="宋体" w:eastAsia="黑体" w:cs="黑体"/>
          <w:b/>
          <w:bCs/>
          <w:sz w:val="24"/>
          <w:szCs w:val="24"/>
          <w:u w:val="single"/>
          <w:lang w:val="en-US"/>
        </w:rPr>
      </w:pPr>
    </w:p>
    <w:p w14:paraId="56FCD999">
      <w:pPr>
        <w:jc w:val="center"/>
        <w:rPr>
          <w:rFonts w:hint="eastAsia" w:ascii="黑体" w:hAnsi="宋体" w:eastAsia="黑体" w:cs="黑体"/>
          <w:b/>
          <w:bCs/>
          <w:sz w:val="30"/>
          <w:szCs w:val="24"/>
          <w:u w:val="single"/>
          <w:lang w:val="en-US"/>
        </w:rPr>
      </w:pPr>
    </w:p>
    <w:p w14:paraId="4720E587">
      <w:pPr>
        <w:jc w:val="center"/>
        <w:rPr>
          <w:rFonts w:hint="eastAsia" w:ascii="黑体" w:hAnsi="宋体" w:eastAsia="黑体" w:cs="黑体"/>
          <w:b/>
          <w:bCs/>
          <w:sz w:val="30"/>
          <w:szCs w:val="24"/>
          <w:u w:val="single"/>
          <w:lang w:val="en-US"/>
        </w:rPr>
      </w:pPr>
    </w:p>
    <w:p w14:paraId="400D915C">
      <w:pPr>
        <w:jc w:val="center"/>
        <w:rPr>
          <w:u w:val="single"/>
          <w:lang w:val="en-US"/>
        </w:rPr>
      </w:pPr>
    </w:p>
    <w:p w14:paraId="2CF7CE70">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4C9F2F69">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3C9B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4AFCC29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6C4A45A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239F6C4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385875E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3431AA5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41482DF0">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175105C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55EBF9F7">
            <w:pPr>
              <w:spacing w:line="320" w:lineRule="exact"/>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桃江县灰山港镇社会事务综合服务中心（桃江县灰山港镇文化综合服务站）</w:t>
            </w:r>
          </w:p>
        </w:tc>
      </w:tr>
      <w:tr w14:paraId="3C58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EB023A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025ECF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529DEA2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47E4C65">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负责承办人力资源与社会保障、民政、社会救助、社区建设、医疗保障、卫生健康与计划生育、文化旅游广电体育、民族宗教、侨务等方面的公益服务性、技术性工作。承办镇党委、政府和上级业务部门交办的其他事项</w:t>
            </w:r>
          </w:p>
        </w:tc>
      </w:tr>
      <w:tr w14:paraId="682B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616F24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4C4513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15C1474">
            <w:pPr>
              <w:jc w:val="left"/>
            </w:pPr>
            <w:r>
              <w:rPr>
                <w:rStyle w:val="16"/>
                <w:rFonts w:hint="eastAsia" w:ascii="楷体_GB2312" w:eastAsia="楷体_GB2312" w:cs="楷体_GB2312"/>
                <w:sz w:val="28"/>
                <w:szCs w:val="28"/>
                <w:bdr w:val="none" w:color="auto" w:sz="0" w:space="0"/>
                <w:lang w:val="en-US"/>
              </w:rPr>
              <w:t>桃江县灰山港镇紫荆东路8号</w:t>
            </w:r>
          </w:p>
        </w:tc>
      </w:tr>
      <w:tr w14:paraId="291C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6B3A9C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D2600F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5CC192E">
            <w:pPr>
              <w:jc w:val="left"/>
            </w:pPr>
            <w:r>
              <w:rPr>
                <w:rStyle w:val="16"/>
                <w:rFonts w:hint="eastAsia" w:ascii="楷体_GB2312" w:eastAsia="楷体_GB2312" w:cs="楷体_GB2312"/>
                <w:sz w:val="28"/>
                <w:szCs w:val="28"/>
                <w:bdr w:val="none" w:color="auto" w:sz="0" w:space="0"/>
                <w:lang w:val="en-US"/>
              </w:rPr>
              <w:t>蔡曙春</w:t>
            </w:r>
          </w:p>
        </w:tc>
      </w:tr>
      <w:tr w14:paraId="66DD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2FCEF9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8BCDFF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46CBBED">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1</w:t>
            </w:r>
            <w:r>
              <w:rPr>
                <w:rStyle w:val="16"/>
                <w:rFonts w:hint="eastAsia" w:ascii="楷体_GB2312" w:eastAsia="楷体_GB2312" w:cs="楷体_GB2312"/>
                <w:sz w:val="28"/>
                <w:szCs w:val="28"/>
                <w:bdr w:val="none" w:color="auto" w:sz="0" w:space="0"/>
              </w:rPr>
              <w:t>（万元）</w:t>
            </w:r>
          </w:p>
        </w:tc>
      </w:tr>
      <w:tr w14:paraId="5EC5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BE3EC8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CC4DFF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8A63A26">
            <w:pPr>
              <w:jc w:val="left"/>
              <w:rPr>
                <w:sz w:val="32"/>
                <w:szCs w:val="32"/>
                <w:bdr w:val="none" w:color="auto" w:sz="0" w:space="0"/>
                <w:lang w:val="en-US"/>
              </w:rPr>
            </w:pPr>
            <w:r>
              <w:rPr>
                <w:rStyle w:val="16"/>
                <w:rFonts w:hint="eastAsia" w:ascii="楷体_GB2312" w:eastAsia="楷体_GB2312" w:cs="楷体_GB2312"/>
                <w:sz w:val="28"/>
                <w:szCs w:val="28"/>
                <w:bdr w:val="none" w:color="auto" w:sz="0" w:space="0"/>
                <w:lang w:val="en-US"/>
              </w:rPr>
              <w:t>财政补助</w:t>
            </w:r>
          </w:p>
        </w:tc>
      </w:tr>
      <w:tr w14:paraId="307C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014E5D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A40302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6460B6F">
            <w:pPr>
              <w:jc w:val="left"/>
            </w:pPr>
            <w:r>
              <w:rPr>
                <w:rStyle w:val="16"/>
                <w:rFonts w:hint="eastAsia" w:ascii="楷体_GB2312" w:eastAsia="楷体_GB2312" w:cs="楷体_GB2312"/>
                <w:sz w:val="28"/>
                <w:szCs w:val="28"/>
                <w:bdr w:val="none" w:color="auto" w:sz="0" w:space="0"/>
                <w:lang w:val="en-US"/>
              </w:rPr>
              <w:t>桃江县灰山港镇人民政府</w:t>
            </w:r>
          </w:p>
        </w:tc>
      </w:tr>
      <w:tr w14:paraId="07FA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5DB64105">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30774D7F">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78E59917">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4126E133">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14:paraId="5531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AA403EC">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5752C80">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47358581">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14:paraId="36BD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1A5E370">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F1E03A9">
            <w:pPr>
              <w:jc w:val="center"/>
              <w:rPr>
                <w:sz w:val="32"/>
                <w:szCs w:val="24"/>
                <w:bdr w:val="none" w:color="auto" w:sz="0" w:space="0"/>
                <w:lang w:val="en-US"/>
              </w:rPr>
            </w:pPr>
            <w:r>
              <w:rPr>
                <w:rStyle w:val="20"/>
                <w:sz w:val="32"/>
                <w:szCs w:val="24"/>
                <w:bdr w:val="none" w:color="auto" w:sz="0" w:space="0"/>
                <w:lang w:val="en-US"/>
              </w:rPr>
              <w:t>0</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118E879A">
            <w:pPr>
              <w:jc w:val="center"/>
            </w:pPr>
            <w:r>
              <w:rPr>
                <w:rStyle w:val="16"/>
                <w:sz w:val="32"/>
                <w:szCs w:val="32"/>
                <w:bdr w:val="none" w:color="auto" w:sz="0" w:space="0"/>
                <w:lang w:val="en-US"/>
              </w:rPr>
              <w:t>0</w:t>
            </w:r>
          </w:p>
        </w:tc>
      </w:tr>
      <w:tr w14:paraId="1009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3C6C688">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11C3711">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桃江县灰山港镇社会事务综合服务中心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71EC17F7">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71C0AEF8">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33</w:t>
            </w:r>
          </w:p>
        </w:tc>
      </w:tr>
      <w:tr w14:paraId="3B52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946C16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2B720BD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7DAD663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5F0EEB2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069C833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43E172B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2AB5890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798914C9">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E2145C0">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严格执行相关规定情况</w:t>
            </w:r>
          </w:p>
        </w:tc>
      </w:tr>
      <w:tr w14:paraId="591F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C83938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5C00271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7010B1D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2DFE9E1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1DA9521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54699D4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3B2C80E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1367628F">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43EB6F0">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6"/>
                <w:rFonts w:hint="eastAsia" w:ascii="楷体_GB2312" w:eastAsia="楷体_GB2312" w:cs="楷体_GB2312"/>
                <w:sz w:val="28"/>
                <w:szCs w:val="24"/>
                <w:bdr w:val="none" w:color="auto" w:sz="0" w:space="0"/>
                <w:lang w:val="en-US"/>
              </w:rPr>
              <w:t xml:space="preserve">1.2023年度无偿献血工作顺利完成任务280例。 2.社会养老保险扩面工作.农乡居民医保筹资工作已全部启动。 3.两癌筛查工作任务3200例，已完成3200人。 4.校车安全工作方面包括校车司机安全培训已完成，校车已年检，已定期开展校车安全整治专项行动。 5.食品安全工作顺利开展。 6.杨家湾村首届桃花节.美食节成功举办。 7.奖励扶助年审工作按要求完成2737人（特扶131人），另手术并发症137人一并年审完成。 8.计划生育系列保险工作12月份全面完成130万任务。 9.镇小学教室楼改造顺利开工，年底可完工。 10.新冠感染防控工作顺利向“乙类乙管”常态化防控平稳过渡。 11.创业贷款工作启动，已发放贷款1000万元。 12.社会事务中中联系的二个村驻村工作稳步推进。由其是村居民代表联系服务群众工作有声有色. 13.国家公共卫生服务检查顺利通过，公卫事业稳步推进。 14.防溺水工作扎实推进,镇成立了公安,应急,社会事务多部门联合防溺水巡逻队,全方面筑牢安全网,末发生未成年人溺亡事故. 15,多部门联合调度.三考工作顺利完成. 16己完成谢石线五个村的被征地农民资质确认上报和遗留人员补报30人. 17.2023年文化文艺工作主要着力于群众文化活动开展及文艺作品创作，以多点、多面，多类型、低支出的文化活动组织形式大力推动我镇文化活动和文艺创作井喷式发展。其中灰山港镇群众文化活动的工作模式受到中央电视台的关注，进行了专门采访，在朝闻天下栏目报道播出，并作为典型在全国推介。由我镇自主创作的反映移风易俗、倡导港城新风的花鼓戏（港城新俗） 已报送市宣传部并获好评。另一方面，持续加强文化加旅游，助力乡村振兴，2023年我镇杨家湾村获评湖南省五星级旅游区。镇文化综合站已获得申报2023年湖南省服务农民服务基层文化建设示范单位资格，正积极申报。文化艺术培训本年度累计已达9000余人。 2024年社会事务综合服务中心将重点服务民生.将文化教育卫生各项工作抓紧抓实不断提高人民群众辛福指数.对于文化市场管理，我们在2024年的工作中需要加强市场管理和巡查，加大管理力度。并在工作中注重文化融入乡村振兴，注重文化结合旅游资源，加强我镇特色旅游资源开发，重点发倔红色旅游景点和线路，加紧对符合条件的特色文化传统和文化遗产进行非遗申报。 </w:t>
            </w:r>
          </w:p>
          <w:p w14:paraId="1B9EE099">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20CF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D7092B2">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76E0D994">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4"/>
                <w:bdr w:val="none" w:color="auto" w:sz="0" w:space="0"/>
                <w:lang w:val="en-US"/>
              </w:rPr>
              <w:t>无</w:t>
            </w:r>
          </w:p>
        </w:tc>
      </w:tr>
      <w:tr w14:paraId="15E0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ADA76F0">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55214C9A">
            <w:pPr>
              <w:jc w:val="left"/>
            </w:pPr>
            <w:r>
              <w:rPr>
                <w:rStyle w:val="16"/>
                <w:rFonts w:hint="eastAsia" w:ascii="楷体_GB2312" w:eastAsia="楷体_GB2312" w:cs="楷体_GB2312"/>
                <w:sz w:val="28"/>
                <w:szCs w:val="28"/>
                <w:bdr w:val="none" w:color="auto" w:sz="0" w:space="0"/>
                <w:lang w:val="en-US"/>
              </w:rPr>
              <w:t>无</w:t>
            </w:r>
          </w:p>
        </w:tc>
      </w:tr>
      <w:tr w14:paraId="2408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EC44341">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0AD6C942">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A189485">
            <w:pPr>
              <w:jc w:val="left"/>
            </w:pPr>
            <w:r>
              <w:rPr>
                <w:rStyle w:val="16"/>
                <w:rFonts w:hint="eastAsia" w:ascii="楷体_GB2312" w:eastAsia="楷体_GB2312" w:cs="楷体_GB2312"/>
                <w:sz w:val="28"/>
                <w:szCs w:val="28"/>
                <w:bdr w:val="none" w:color="auto" w:sz="0" w:space="0"/>
                <w:lang w:val="en-US"/>
              </w:rPr>
              <w:t>无</w:t>
            </w:r>
          </w:p>
        </w:tc>
      </w:tr>
    </w:tbl>
    <w:p w14:paraId="14F4FF31">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6BB81A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font51"/>
    <w:basedOn w:val="13"/>
    <w:uiPriority w:val="0"/>
    <w:rPr>
      <w:rFonts w:hint="eastAsia" w:ascii="黑体" w:hAnsi="宋体" w:eastAsia="黑体" w:cs="黑体"/>
      <w:sz w:val="36"/>
      <w:szCs w:val="24"/>
    </w:rPr>
  </w:style>
  <w:style w:type="character" w:customStyle="1" w:styleId="16">
    <w:name w:val="font71"/>
    <w:basedOn w:val="13"/>
    <w:uiPriority w:val="0"/>
    <w:rPr>
      <w:rFonts w:hint="default" w:ascii="Times New Roman" w:hAnsi="Times New Roman" w:eastAsia="楷体_GB2312" w:cs="Times New Roman"/>
      <w:sz w:val="28"/>
      <w:szCs w:val="24"/>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21"/>
    <w:basedOn w:val="13"/>
    <w:uiPriority w:val="0"/>
    <w:rPr>
      <w:rFonts w:hint="default" w:ascii="Times New Roman" w:hAnsi="Times New Roman" w:eastAsia="楷体_GB2312" w:cs="Times New Roman"/>
      <w:sz w:val="30"/>
      <w:szCs w:val="24"/>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1328</Words>
  <Characters>1433</Characters>
  <Lines>4</Lines>
  <Paragraphs>1</Paragraphs>
  <TotalTime>45456.3750000016</TotalTime>
  <ScaleCrop>false</ScaleCrop>
  <LinksUpToDate>false</LinksUpToDate>
  <CharactersWithSpaces>1487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2024-06-13T01:17:14Z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C993733B976344309A656066642561C7_13</vt:lpwstr>
  </property>
</Properties>
</file>