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120C39">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F92DB93">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12430922MB1D12953Y</w:t>
      </w:r>
      <w:r>
        <w:rPr>
          <w:rFonts w:eastAsia="楷体_GB2312"/>
          <w:b/>
          <w:bCs/>
          <w:sz w:val="30"/>
          <w:szCs w:val="24"/>
          <w:lang w:val="en-US"/>
        </w:rPr>
        <w:t xml:space="preserve">   </w:t>
      </w:r>
    </w:p>
    <w:p w14:paraId="2418533B">
      <w:pPr>
        <w:jc w:val="right"/>
        <w:rPr>
          <w:lang w:val="en-US"/>
        </w:rPr>
      </w:pPr>
    </w:p>
    <w:p w14:paraId="1FC515FF">
      <w:pPr>
        <w:jc w:val="right"/>
        <w:rPr>
          <w:lang w:val="en-US"/>
        </w:rPr>
      </w:pPr>
    </w:p>
    <w:p w14:paraId="26B43495">
      <w:pPr>
        <w:jc w:val="right"/>
        <w:rPr>
          <w:lang w:val="en-US"/>
        </w:rPr>
      </w:pPr>
    </w:p>
    <w:p w14:paraId="3AF20196">
      <w:pPr>
        <w:jc w:val="right"/>
        <w:rPr>
          <w:lang w:val="en-US"/>
        </w:rPr>
      </w:pPr>
    </w:p>
    <w:p w14:paraId="0F9E8450">
      <w:pPr>
        <w:jc w:val="right"/>
        <w:rPr>
          <w:lang w:val="en-US"/>
        </w:rPr>
      </w:pPr>
    </w:p>
    <w:p w14:paraId="0DF9A7B0">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E10B8FD">
      <w:pPr>
        <w:jc w:val="center"/>
        <w:rPr>
          <w:rFonts w:eastAsia="黑体"/>
          <w:b/>
          <w:bCs/>
          <w:spacing w:val="30"/>
          <w:lang w:val="en-US"/>
        </w:rPr>
      </w:pPr>
    </w:p>
    <w:p w14:paraId="648A66B6">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BFB9C45">
      <w:pPr>
        <w:jc w:val="center"/>
        <w:rPr>
          <w:sz w:val="36"/>
          <w:szCs w:val="24"/>
          <w:lang w:val="en-US"/>
        </w:rPr>
      </w:pPr>
    </w:p>
    <w:p w14:paraId="07AD4BA2">
      <w:pPr>
        <w:jc w:val="center"/>
        <w:rPr>
          <w:sz w:val="36"/>
          <w:szCs w:val="24"/>
          <w:lang w:val="en-US"/>
        </w:rPr>
      </w:pPr>
    </w:p>
    <w:p w14:paraId="7A799849">
      <w:pPr>
        <w:jc w:val="center"/>
        <w:rPr>
          <w:sz w:val="36"/>
          <w:szCs w:val="24"/>
          <w:lang w:val="en-US"/>
        </w:rPr>
      </w:pPr>
    </w:p>
    <w:p w14:paraId="32F533D6">
      <w:pPr>
        <w:jc w:val="center"/>
        <w:rPr>
          <w:sz w:val="36"/>
          <w:szCs w:val="24"/>
          <w:lang w:val="en-US"/>
        </w:rPr>
      </w:pPr>
    </w:p>
    <w:p w14:paraId="321DDABE">
      <w:pPr>
        <w:jc w:val="center"/>
        <w:rPr>
          <w:sz w:val="36"/>
          <w:szCs w:val="24"/>
          <w:lang w:val="en-US"/>
        </w:rPr>
      </w:pPr>
    </w:p>
    <w:p w14:paraId="53F09869">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310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9793F94">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66F9D6E">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桃江县灰山港镇退役军人服务站</w:t>
            </w:r>
          </w:p>
        </w:tc>
      </w:tr>
    </w:tbl>
    <w:p w14:paraId="74B5F553">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BE9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9E0DD05">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2CB71893">
            <w:pPr>
              <w:keepNext w:val="0"/>
              <w:keepLines w:val="0"/>
              <w:widowControl/>
              <w:suppressLineNumbers w:val="0"/>
              <w:jc w:val="left"/>
              <w:rPr>
                <w:kern w:val="0"/>
                <w:sz w:val="20"/>
                <w:szCs w:val="20"/>
                <w:bdr w:val="none" w:color="auto" w:sz="0" w:space="0"/>
                <w:lang w:val="en-US"/>
              </w:rPr>
            </w:pPr>
          </w:p>
        </w:tc>
      </w:tr>
    </w:tbl>
    <w:p w14:paraId="0E2E8ECD">
      <w:pPr>
        <w:ind w:left="0" w:firstLine="723" w:firstLineChars="300"/>
        <w:rPr>
          <w:rFonts w:hint="eastAsia" w:ascii="黑体" w:hAnsi="宋体" w:eastAsia="黑体" w:cs="黑体"/>
          <w:b/>
          <w:bCs/>
          <w:sz w:val="24"/>
          <w:szCs w:val="24"/>
          <w:u w:val="single"/>
          <w:lang w:val="en-US"/>
        </w:rPr>
      </w:pPr>
    </w:p>
    <w:p w14:paraId="3E463F17">
      <w:pPr>
        <w:jc w:val="center"/>
        <w:rPr>
          <w:rFonts w:hint="eastAsia" w:ascii="黑体" w:hAnsi="宋体" w:eastAsia="黑体" w:cs="黑体"/>
          <w:b/>
          <w:bCs/>
          <w:sz w:val="30"/>
          <w:szCs w:val="24"/>
          <w:u w:val="single"/>
          <w:lang w:val="en-US"/>
        </w:rPr>
      </w:pPr>
    </w:p>
    <w:p w14:paraId="08890D24">
      <w:pPr>
        <w:jc w:val="center"/>
        <w:rPr>
          <w:rFonts w:hint="eastAsia" w:ascii="黑体" w:hAnsi="宋体" w:eastAsia="黑体" w:cs="黑体"/>
          <w:b/>
          <w:bCs/>
          <w:sz w:val="30"/>
          <w:szCs w:val="24"/>
          <w:u w:val="single"/>
          <w:lang w:val="en-US"/>
        </w:rPr>
      </w:pPr>
    </w:p>
    <w:p w14:paraId="5E3DD111">
      <w:pPr>
        <w:jc w:val="center"/>
        <w:rPr>
          <w:u w:val="single"/>
          <w:lang w:val="en-US"/>
        </w:rPr>
      </w:pPr>
    </w:p>
    <w:p w14:paraId="2B4F0C5F">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3A79F4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427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D677A0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4D6BD8B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64170A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6936ED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D58DC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6548CB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F9BB8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76F7267">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桃江县灰山港镇退役军人服务站</w:t>
            </w:r>
          </w:p>
        </w:tc>
      </w:tr>
      <w:tr w14:paraId="4666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31584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757FE9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03F96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4F58223">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负责退役军人就业创业、优抚帮扶、权益保障、数据信息采集、走访慰问等事务性工作。承办镇党委、政府和上级业务部门交办的其他事项。</w:t>
            </w:r>
          </w:p>
        </w:tc>
      </w:tr>
      <w:tr w14:paraId="45BE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D0B3CB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B5564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B13880E">
            <w:pPr>
              <w:jc w:val="left"/>
            </w:pPr>
            <w:r>
              <w:rPr>
                <w:rStyle w:val="20"/>
                <w:rFonts w:hint="eastAsia" w:ascii="楷体_GB2312" w:eastAsia="楷体_GB2312" w:cs="楷体_GB2312"/>
                <w:sz w:val="28"/>
                <w:szCs w:val="28"/>
                <w:bdr w:val="none" w:color="auto" w:sz="0" w:space="0"/>
                <w:lang w:val="en-US"/>
              </w:rPr>
              <w:t>湖南省桃江县灰山港镇紫荆东路8号</w:t>
            </w:r>
          </w:p>
        </w:tc>
      </w:tr>
      <w:tr w14:paraId="5D080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071E25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30A8D3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41A30CE">
            <w:pPr>
              <w:jc w:val="left"/>
            </w:pPr>
            <w:r>
              <w:rPr>
                <w:rStyle w:val="20"/>
                <w:rFonts w:hint="eastAsia" w:ascii="楷体_GB2312" w:eastAsia="楷体_GB2312" w:cs="楷体_GB2312"/>
                <w:sz w:val="28"/>
                <w:szCs w:val="28"/>
                <w:bdr w:val="none" w:color="auto" w:sz="0" w:space="0"/>
                <w:lang w:val="en-US"/>
              </w:rPr>
              <w:t>马建宇</w:t>
            </w:r>
          </w:p>
        </w:tc>
      </w:tr>
      <w:tr w14:paraId="4E6A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1830DB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AEEC2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1590C0C">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w:t>
            </w:r>
            <w:r>
              <w:rPr>
                <w:rStyle w:val="20"/>
                <w:rFonts w:hint="eastAsia" w:ascii="楷体_GB2312" w:eastAsia="楷体_GB2312" w:cs="楷体_GB2312"/>
                <w:sz w:val="28"/>
                <w:szCs w:val="28"/>
                <w:bdr w:val="none" w:color="auto" w:sz="0" w:space="0"/>
              </w:rPr>
              <w:t>（万元）</w:t>
            </w:r>
          </w:p>
        </w:tc>
      </w:tr>
      <w:tr w14:paraId="7391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489F4C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315C5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52E7DEE">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5888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8B68E7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59DEA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0B3D537">
            <w:pPr>
              <w:jc w:val="left"/>
            </w:pPr>
            <w:r>
              <w:rPr>
                <w:rStyle w:val="20"/>
                <w:rFonts w:hint="eastAsia" w:ascii="楷体_GB2312" w:eastAsia="楷体_GB2312" w:cs="楷体_GB2312"/>
                <w:sz w:val="28"/>
                <w:szCs w:val="28"/>
                <w:bdr w:val="none" w:color="auto" w:sz="0" w:space="0"/>
                <w:lang w:val="en-US"/>
              </w:rPr>
              <w:t>桃江县灰山港镇人民政府</w:t>
            </w:r>
          </w:p>
        </w:tc>
      </w:tr>
      <w:tr w14:paraId="6806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9C0B27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527AED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D3E700E">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40C456F">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67F5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516ACE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6944567">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D1D2B24">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5CAA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9B41AD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753F7F9">
            <w:pPr>
              <w:jc w:val="center"/>
              <w:rPr>
                <w:sz w:val="32"/>
                <w:szCs w:val="24"/>
                <w:bdr w:val="none" w:color="auto" w:sz="0" w:space="0"/>
                <w:lang w:val="en-US"/>
              </w:rPr>
            </w:pPr>
            <w:r>
              <w:rPr>
                <w:rStyle w:val="15"/>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D7A5FE8">
            <w:pPr>
              <w:jc w:val="center"/>
            </w:pPr>
            <w:r>
              <w:rPr>
                <w:rStyle w:val="20"/>
                <w:sz w:val="32"/>
                <w:szCs w:val="32"/>
                <w:bdr w:val="none" w:color="auto" w:sz="0" w:space="0"/>
                <w:lang w:val="en-US"/>
              </w:rPr>
              <w:t>1</w:t>
            </w:r>
          </w:p>
        </w:tc>
      </w:tr>
      <w:tr w14:paraId="7804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F1FCA51">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11EAE03">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6F7042F">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E1268E3">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6</w:t>
            </w:r>
          </w:p>
        </w:tc>
      </w:tr>
      <w:tr w14:paraId="0C8A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6F010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D1620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0FC0B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77A92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C174BE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97656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F542F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17CDC04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B3A7764">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法定代表人变更：由万为民变更为马建宇，事业单位法人证书（副本）有效期：自2020年01月03日至2025年01月03日。</w:t>
            </w:r>
          </w:p>
        </w:tc>
      </w:tr>
      <w:tr w14:paraId="3CC2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7B586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39637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A6A6B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BAE30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2550BE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2476C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C8672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5C8335D2">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E3671AB">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退役军人服务站开展业务活动情况如下： 一、中心工作稳步推进。 （一）按文件落实全镇退役军人办理军人优待证工作。 我镇退役军人按照文件全部落实优待证审请和办理。截止12月我站已对33个村进行了全面审核办理，应办证人员2613人，已录入系统总人数为2608人，完成率99.8%。（县军人事务局核报实际人数：3276人，系统人数3170人。与我镇实报人口总数误差，各乡镇正在逐步排查减员中），针对退伍证遗失人员，我站已明确分工，由副站长丁乐群、办事员杨吉明同志负责外围工作，对退伍证遗失人员，专程前往县军人事务局调阅档案并复印当事人退伍信息表为审核依据。全镇退伍证遗失总人数超过900人次，到县局调阅退伍档案，按全县姓氏对比排查，工作量和信息量较为庞大，各乡镇轮流调档案且需与县局预约，我站正与县局审请协调出力援助，进行有序开展审核排查。为确保稳步无误推快办证发证进度，我镇目前整体进度、质量、组织、协调、部署正开始进入退役军人优待证发放工作，现已正常程序审核通过2608张，发放2500余人。按县市省办证、制证、发证进度计划，全县年底结束全面性首次优待证办理工作。（往后将办证纳入常态化工作） （二）军人信访维稳工作。 根据台帐资料和上级文件信息反馈，我镇有一股涉核退役军人，一直在活动上访。主体诉求是解决涉核退役军人待遇，要求参照参战军人待遇发放，涉及涉核人员约40人。针对这一群体诉求，我站与派出所、信访办、及涉核军人代表，已多次协调：应依照相关文件政策，在没有政策支持的前提下，应该支持、认同、配合军人服务站及政府工作，杜绝越级上访、上访出镇等偏激行为。经几次努力协调解释，我站对涉核军人群体代表，已初步稳控了局面。 为进一步做好信访维稳，收集情报信息，提前做好研判和上报，我站制定按月对重点涉稳对象，以电话闲聊问候方式，进行行综和动态摸底，及时捕捉情报信息，做到防患未于未然。 （三）业务工作。 全年业务性工作，我站按要求落实立功受奖送喜报，二等功臣1人次，三等功臣6人次。接待处理协调困难诉求22人次。按要求组织退役军人适应性技能培训招聘会20人／次，组织投稿宣传2次。年终将严格按照政策文件要求，落实农村退役军人重大疾病救助及带病回乡退役军人审核申报工作。目前重大疾病救助受理 9人，带病回乡退役军人审核受理6人。 （四）加强办站工作人员管理工作，自戒自勉。 在年轻干部队伍中，以自身表率带动影响同事，促进相互理解、相互包容、共同奋进。齐心协力，团结一心做好困队工作的疑聚力，争取出色完成年度工作任务和计划。 二、存在的问题 1、工作学习与政策了解，宣传、报道、工作经验总结与归纳，需要不断加强，缩小对比差距。 2、各村社区的走访互动性没有结合协同开展到点到位。 3、力量薄弱、人手紧张、战斗力不强，新老搭配不均匀。 三、2024年工作计划 1、进一步密切部署调度，关注跟进县局进度要求，确保中心工作优质优量完成，提前做好迎接县市省的工作督查，争取创造优秀佳绩。 2、加强自身学习，多向领导及班子成员联系研判、讨论、学习工作经验与处事方式，虚心接受听取同事、领导的批评意见，优化服务，细化工作内容，强化村社区专干业务服务水平。 3、继续强化我镇典型材料报道的短报不足和特种信访对象的管控沟通。 4、2024计划将所有优抚对象中的困难人员实行酌情慰问或停止慰问，将特困农村老兵，病残弱势群体纳入重点关抚关注范围。 </w:t>
            </w:r>
          </w:p>
          <w:p w14:paraId="67AE4A6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4CA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6B24669">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7522668">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5FFC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A62C79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723E052">
            <w:pPr>
              <w:jc w:val="left"/>
            </w:pPr>
            <w:r>
              <w:rPr>
                <w:rStyle w:val="20"/>
                <w:rFonts w:hint="eastAsia" w:ascii="楷体_GB2312" w:eastAsia="楷体_GB2312" w:cs="楷体_GB2312"/>
                <w:sz w:val="28"/>
                <w:szCs w:val="28"/>
                <w:bdr w:val="none" w:color="auto" w:sz="0" w:space="0"/>
                <w:lang w:val="en-US"/>
              </w:rPr>
              <w:t>绩效：无 奖惩：无 诉讼投诉：无</w:t>
            </w:r>
          </w:p>
        </w:tc>
      </w:tr>
      <w:tr w14:paraId="0459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5E859E7">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4EA1939">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4268573">
            <w:pPr>
              <w:jc w:val="left"/>
            </w:pPr>
            <w:r>
              <w:rPr>
                <w:rStyle w:val="20"/>
                <w:rFonts w:hint="eastAsia" w:ascii="楷体_GB2312" w:eastAsia="楷体_GB2312" w:cs="楷体_GB2312"/>
                <w:sz w:val="28"/>
                <w:szCs w:val="28"/>
                <w:bdr w:val="none" w:color="auto" w:sz="0" w:space="0"/>
                <w:lang w:val="en-US"/>
              </w:rPr>
              <w:t>无</w:t>
            </w:r>
          </w:p>
        </w:tc>
      </w:tr>
    </w:tbl>
    <w:p w14:paraId="3B7C394C">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ACF7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1783</Words>
  <Characters>1863</Characters>
  <Lines>4</Lines>
  <Paragraphs>1</Paragraphs>
  <TotalTime>45456.3750000016</TotalTime>
  <ScaleCrop>false</ScaleCrop>
  <LinksUpToDate>false</LinksUpToDate>
  <CharactersWithSpaces>1921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2024-06-13T01:18:01Z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44977CF6B147422C807003B95C4AE281_13</vt:lpwstr>
  </property>
</Properties>
</file>