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36F3113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78C8B8EE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9"/>
          <w:b/>
          <w:bCs/>
          <w:sz w:val="30"/>
          <w:szCs w:val="30"/>
          <w:lang w:val="en-US"/>
        </w:rPr>
        <w:t>12430922MB0N41268Q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31F1F5F2">
      <w:pPr>
        <w:jc w:val="right"/>
        <w:rPr>
          <w:lang w:val="en-US"/>
        </w:rPr>
      </w:pPr>
    </w:p>
    <w:p w14:paraId="235C6D18">
      <w:pPr>
        <w:jc w:val="right"/>
        <w:rPr>
          <w:lang w:val="en-US"/>
        </w:rPr>
      </w:pPr>
    </w:p>
    <w:p w14:paraId="2E176FC7">
      <w:pPr>
        <w:jc w:val="right"/>
        <w:rPr>
          <w:lang w:val="en-US"/>
        </w:rPr>
      </w:pPr>
    </w:p>
    <w:p w14:paraId="4C3F295C">
      <w:pPr>
        <w:jc w:val="right"/>
        <w:rPr>
          <w:lang w:val="en-US"/>
        </w:rPr>
      </w:pPr>
    </w:p>
    <w:p w14:paraId="5120C993">
      <w:pPr>
        <w:jc w:val="right"/>
        <w:rPr>
          <w:lang w:val="en-US"/>
        </w:rPr>
      </w:pPr>
    </w:p>
    <w:p w14:paraId="719412BE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7D0F588F">
      <w:pPr>
        <w:jc w:val="center"/>
        <w:rPr>
          <w:rFonts w:eastAsia="黑体"/>
          <w:b/>
          <w:bCs/>
          <w:spacing w:val="30"/>
          <w:lang w:val="en-US"/>
        </w:rPr>
      </w:pPr>
    </w:p>
    <w:p w14:paraId="455C60FC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9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3512B7EE">
      <w:pPr>
        <w:jc w:val="center"/>
        <w:rPr>
          <w:sz w:val="36"/>
          <w:szCs w:val="24"/>
          <w:lang w:val="en-US"/>
        </w:rPr>
      </w:pPr>
    </w:p>
    <w:p w14:paraId="7B4CD67D">
      <w:pPr>
        <w:jc w:val="center"/>
        <w:rPr>
          <w:sz w:val="36"/>
          <w:szCs w:val="24"/>
          <w:lang w:val="en-US"/>
        </w:rPr>
      </w:pPr>
    </w:p>
    <w:p w14:paraId="781EB27D">
      <w:pPr>
        <w:jc w:val="center"/>
        <w:rPr>
          <w:sz w:val="36"/>
          <w:szCs w:val="24"/>
          <w:lang w:val="en-US"/>
        </w:rPr>
      </w:pPr>
    </w:p>
    <w:p w14:paraId="5412DB43">
      <w:pPr>
        <w:jc w:val="center"/>
        <w:rPr>
          <w:sz w:val="36"/>
          <w:szCs w:val="24"/>
          <w:lang w:val="en-US"/>
        </w:rPr>
      </w:pPr>
    </w:p>
    <w:p w14:paraId="14DB1F7E">
      <w:pPr>
        <w:jc w:val="center"/>
        <w:rPr>
          <w:sz w:val="36"/>
          <w:szCs w:val="24"/>
          <w:lang w:val="en-US"/>
        </w:rPr>
      </w:pPr>
    </w:p>
    <w:p w14:paraId="51454706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26EA0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702D5924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4525202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桃江县灰山港镇澄泉湾小学</w:t>
            </w:r>
          </w:p>
        </w:tc>
      </w:tr>
    </w:tbl>
    <w:p w14:paraId="27AF210F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59276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4F8DE946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20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D2C9E82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0ABD4FDD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61C7EBB6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2D4548EF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FCB131A">
      <w:pPr>
        <w:jc w:val="center"/>
        <w:rPr>
          <w:u w:val="single"/>
          <w:lang w:val="en-US"/>
        </w:rPr>
      </w:pPr>
    </w:p>
    <w:p w14:paraId="57548618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1A7A0D0A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1B404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34D7D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32A9B0B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722B96E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3408973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279E645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19C851B3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CE228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D0232B9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桃江县灰山港镇澄泉湾小学</w:t>
            </w:r>
          </w:p>
        </w:tc>
      </w:tr>
      <w:tr w14:paraId="23CF6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E9638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6610A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64F4F61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FC145D4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实施小学义务教育，促进基础教育发展。小学学历教育及相关社会服务</w:t>
            </w:r>
          </w:p>
        </w:tc>
      </w:tr>
      <w:tr w14:paraId="48356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9C079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DAD89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31A5F66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桃江县灰山港镇澄泉湾村</w:t>
            </w:r>
          </w:p>
        </w:tc>
      </w:tr>
      <w:tr w14:paraId="48765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01E21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01576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653C51B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陈素君</w:t>
            </w:r>
          </w:p>
        </w:tc>
      </w:tr>
      <w:tr w14:paraId="58BD4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92531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D051A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2475017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446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0D349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985B9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9DD22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4977FC8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财政补助（财政补助(全额)）</w:t>
            </w:r>
          </w:p>
        </w:tc>
      </w:tr>
      <w:tr w14:paraId="39A7D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7E23B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C37BB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5451757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桃江县灰山港镇中心学校</w:t>
            </w:r>
          </w:p>
        </w:tc>
      </w:tr>
      <w:tr w14:paraId="2E187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2AE35D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2360F554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4E32ADE4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E531018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47DD5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98D46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2E3574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F8E925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0E0A8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EA353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D3AA9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sz w:val="32"/>
                <w:szCs w:val="24"/>
                <w:bdr w:val="none" w:color="auto" w:sz="0" w:space="0"/>
                <w:lang w:val="en-US"/>
              </w:rPr>
              <w:t>321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734FC07"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284</w:t>
            </w:r>
          </w:p>
        </w:tc>
      </w:tr>
      <w:tr w14:paraId="5809F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B18FC3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AFFCAD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桃江县灰山港镇澄泉湾小学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675760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F79DAEC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sz w:val="32"/>
                <w:szCs w:val="24"/>
                <w:bdr w:val="none" w:color="auto" w:sz="0" w:space="0"/>
                <w:lang w:val="en-US"/>
              </w:rPr>
              <w:t>18</w:t>
            </w:r>
          </w:p>
        </w:tc>
      </w:tr>
      <w:tr w14:paraId="32C72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70E20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036B0BB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60BD931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53DE8DC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06EBC57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201FBCC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70FB83B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2985BC8E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37CF916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严格按照《条例》和实施细则有关规定执行。</w:t>
            </w:r>
          </w:p>
        </w:tc>
      </w:tr>
      <w:tr w14:paraId="0FD79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E7866C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0BDC21E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5F5F7BA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0B39730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1595045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7FC3B1A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3A9BBED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102358F2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4EEA3D0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一、德育工作 （一）健全和强化德育领导机构。 成立德育领导机构并夯实各负责人的职责要求，加强考核，促进德育工作的安排与落实，使工作扎实有效开展。 （二）充分发挥班主任在德育工作中的主力军作用。 一年来召开班主任培训会四次，经验交流会五次，班主任例会18次，班主任业务得到进一步提高，管理班级的方式和教育学生的方法明显转变，学生受到了教育，学习得到了提高。 （三）扎实开展德育常规工作。 1、开学初制定德育工作计划、主题活动安排和少队工作计划，学校按计划有条不紊地开展德育工作。2、坚持日检查周评比工作。3、每周开展各项班级活动。 （四）强化落实德育考评工作。 1、以卫生先进、文明班集体的评比为抓手，认真检查，严格考核，从而强化了班级管理，促进了班级进步，为学生的发展创造良好的氛围。 2、加强教师师德的考评。 （五）加强校园文化建设 充分利用红领巾广播站对学生进行教育，学生踊跃投稿；利用每周一的国旗下讲话等活动，教育陶冶师生的品德修养；同时充分发挥公示专栏的作用，及时公示学校事务。 （六）组织学生活动，丰富校园生活 1、文体活动：先后举办“我爱中国字”写字比赛、“学雷锋”手抄报比赛、“红旗飘飘 引我成长”主题演讲朗诵征文比赛、庆祝六一“清风拂校园 廉礼庆六一”活动、“传诵经典 筑梦校园”朗诵比赛等大型活动。创建清廉学校、书香校园等。 2、感恩教育活动：每周布置学生素质作业，帮助父母做家务活动，让学生知生活之不易，培养学生感恩父母之情；十月“感恩教师”活动月等。（七）阳光体育方面 依照上级部门精神，坚持每天学生教师体育锻炼一小时制度。 二、教学工作 （一）教研教改持续开展，促进了教学水平的提升。 1、提升教研教改理论修养，开展了“新教师汇报课”、“六年级教师高效课”、“老年教师的观摩课”三个层次的“人人上好课”的活动。 三、安全工作 （一）建立健全安全工作机制。 成立了安全工作领导小组。健全安全各种制度及防范应急预案，居安思危，开展防范措施的演练。建立安全监控台帐，对校园内外安全状况做到心中有数，对隐患的排查与整改及时到位。 （二）明确分工，夯实责任。 明确安全分工，各负其责，做到管理到位。设定岗位专人负责，表册记录翔实，检查到位。签定安全责任书，发放告家长书，以此夯实了安全管理的责任。 （三）抓好安全常规工作。 1、计划、安排、制度的落实。 2、安全课及活动宣传的开展 每学期召开安全例会，进行安全培训。要求各班上安全课，安全专项安排总动员活动10次，安全主题队会班均20次，主题板报班均办10期，教育健康课班均5节，少队利用红领巾广播站做宣传20次。 3、抓好安全检查工作 本学年各班安全排查40次，校委会检查排查20余次，值周教师检查百余次。 4、有效开展传染病的预防 开学初我校就根据季节变化制定了传染病预防计划。做好学校的预防工作。 （四）落实节假日安全值班制度。 经校委会研究决定，由所有男教师，每周2人一组轮流值班，值班间做到了24小时通信畅通和检查记录清楚详实。每学期放假前，学校都要进行安全大排查，并对学校假期值班进行详细安排。 （五）后勤安全工作 1、强化管理，夯实责任。向学生发放了告家长书，签订了安全目标责任书，组织学生学习了《食品卫生法》、《传染病的防治》。每周星期一召开后勤工作例会。 2、抓好常规，加强食堂的管理，确保师生饮食安全和身体健康。 </w:t>
            </w:r>
          </w:p>
          <w:p w14:paraId="12F92B6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341B2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8EE5DD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D8D2B60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54760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FC8E28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C69EC76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6751E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796BBC9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14A51873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57103054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223177DE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073E3C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hps"/>
    <w:basedOn w:val="13"/>
    <w:uiPriority w:val="0"/>
  </w:style>
  <w:style w:type="character" w:customStyle="1" w:styleId="16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20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6</Pages>
  <Words>1717</Words>
  <Characters>1767</Characters>
  <Lines>4</Lines>
  <Paragraphs>1</Paragraphs>
  <TotalTime>45455.6875000016</TotalTime>
  <ScaleCrop>false</ScaleCrop>
  <LinksUpToDate>false</LinksUpToDate>
  <CharactersWithSpaces>1842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2024-06-12T09:06:49Z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9A2EC471D914446192DC046F9C78F3C0_13</vt:lpwstr>
  </property>
</Properties>
</file>