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BD443E1">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0616485F">
      <w:pPr>
        <w:wordWrap w:val="0"/>
        <w:jc w:val="right"/>
        <w:rPr>
          <w:rFonts w:eastAsia="楷体_GB2312"/>
          <w:b/>
          <w:bCs/>
          <w:sz w:val="30"/>
          <w:szCs w:val="24"/>
          <w:lang w:val="en-US"/>
        </w:rPr>
      </w:pPr>
      <w:r>
        <w:rPr>
          <w:rFonts w:eastAsia="楷体_GB2312"/>
          <w:b/>
          <w:bCs/>
          <w:sz w:val="30"/>
          <w:szCs w:val="24"/>
          <w:lang w:val="en-US"/>
        </w:rPr>
        <w:t xml:space="preserve">   </w:t>
      </w:r>
      <w:r>
        <w:rPr>
          <w:rStyle w:val="18"/>
          <w:b/>
          <w:bCs/>
          <w:sz w:val="30"/>
          <w:szCs w:val="30"/>
          <w:lang w:val="en-US"/>
        </w:rPr>
        <w:t>12430922447018952B</w:t>
      </w:r>
      <w:r>
        <w:rPr>
          <w:rFonts w:eastAsia="楷体_GB2312"/>
          <w:b/>
          <w:bCs/>
          <w:sz w:val="30"/>
          <w:szCs w:val="24"/>
          <w:lang w:val="en-US"/>
        </w:rPr>
        <w:t xml:space="preserve">   </w:t>
      </w:r>
    </w:p>
    <w:p w14:paraId="2BF23F81">
      <w:pPr>
        <w:jc w:val="right"/>
        <w:rPr>
          <w:lang w:val="en-US"/>
        </w:rPr>
      </w:pPr>
    </w:p>
    <w:p w14:paraId="44D459F8">
      <w:pPr>
        <w:jc w:val="right"/>
        <w:rPr>
          <w:lang w:val="en-US"/>
        </w:rPr>
      </w:pPr>
    </w:p>
    <w:p w14:paraId="40817E55">
      <w:pPr>
        <w:jc w:val="right"/>
        <w:rPr>
          <w:lang w:val="en-US"/>
        </w:rPr>
      </w:pPr>
    </w:p>
    <w:p w14:paraId="5BAD25A9">
      <w:pPr>
        <w:jc w:val="right"/>
        <w:rPr>
          <w:lang w:val="en-US"/>
        </w:rPr>
      </w:pPr>
    </w:p>
    <w:p w14:paraId="623425DB">
      <w:pPr>
        <w:jc w:val="right"/>
        <w:rPr>
          <w:lang w:val="en-US"/>
        </w:rPr>
      </w:pPr>
    </w:p>
    <w:p w14:paraId="7AE19252">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700FD6BF">
      <w:pPr>
        <w:jc w:val="center"/>
        <w:rPr>
          <w:rFonts w:eastAsia="黑体"/>
          <w:b/>
          <w:bCs/>
          <w:spacing w:val="30"/>
          <w:lang w:val="en-US"/>
        </w:rPr>
      </w:pPr>
    </w:p>
    <w:p w14:paraId="676CCB08">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8"/>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768D98E8">
      <w:pPr>
        <w:jc w:val="center"/>
        <w:rPr>
          <w:sz w:val="36"/>
          <w:szCs w:val="24"/>
          <w:lang w:val="en-US"/>
        </w:rPr>
      </w:pPr>
    </w:p>
    <w:p w14:paraId="4EB2156D">
      <w:pPr>
        <w:jc w:val="center"/>
        <w:rPr>
          <w:sz w:val="36"/>
          <w:szCs w:val="24"/>
          <w:lang w:val="en-US"/>
        </w:rPr>
      </w:pPr>
    </w:p>
    <w:p w14:paraId="042C4645">
      <w:pPr>
        <w:jc w:val="center"/>
        <w:rPr>
          <w:sz w:val="36"/>
          <w:szCs w:val="24"/>
          <w:lang w:val="en-US"/>
        </w:rPr>
      </w:pPr>
    </w:p>
    <w:p w14:paraId="7F488088">
      <w:pPr>
        <w:jc w:val="center"/>
        <w:rPr>
          <w:sz w:val="36"/>
          <w:szCs w:val="24"/>
          <w:lang w:val="en-US"/>
        </w:rPr>
      </w:pPr>
    </w:p>
    <w:p w14:paraId="7E5E05CD">
      <w:pPr>
        <w:jc w:val="center"/>
        <w:rPr>
          <w:sz w:val="36"/>
          <w:szCs w:val="24"/>
          <w:lang w:val="en-US"/>
        </w:rPr>
      </w:pPr>
    </w:p>
    <w:p w14:paraId="564F9EA4">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2D317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4676E57A">
            <w:pPr>
              <w:jc w:val="distribute"/>
            </w:pPr>
            <w:r>
              <w:rPr>
                <w:rStyle w:val="19"/>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2EA015A7">
            <w:pPr>
              <w:jc w:val="center"/>
              <w:rPr>
                <w:rFonts w:hint="eastAsia" w:ascii="楷体_GB2312" w:eastAsia="楷体_GB2312" w:cs="楷体_GB2312"/>
                <w:sz w:val="32"/>
                <w:szCs w:val="24"/>
                <w:bdr w:val="none" w:color="auto" w:sz="0" w:space="0"/>
                <w:lang w:val="en-US"/>
              </w:rPr>
            </w:pPr>
            <w:r>
              <w:rPr>
                <w:rStyle w:val="14"/>
                <w:rFonts w:hint="eastAsia" w:ascii="楷体_GB2312" w:eastAsia="楷体_GB2312" w:cs="楷体_GB2312"/>
                <w:sz w:val="32"/>
                <w:szCs w:val="24"/>
                <w:bdr w:val="none" w:color="auto" w:sz="0" w:space="0"/>
                <w:lang w:val="en-US"/>
              </w:rPr>
              <w:t>桃江县灰山港镇中心卫生院</w:t>
            </w:r>
          </w:p>
        </w:tc>
      </w:tr>
    </w:tbl>
    <w:p w14:paraId="3556710A">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08AB4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1820410B">
            <w:pPr>
              <w:jc w:val="distribute"/>
            </w:pPr>
            <w:r>
              <w:rPr>
                <w:rStyle w:val="19"/>
                <w:b/>
                <w:bCs/>
                <w:sz w:val="36"/>
                <w:szCs w:val="24"/>
                <w:bdr w:val="none" w:color="auto" w:sz="0" w:space="0"/>
              </w:rPr>
              <w:t>法</w:t>
            </w:r>
            <w:r>
              <w:rPr>
                <w:rStyle w:val="19"/>
                <w:b/>
                <w:bCs/>
                <w:spacing w:val="30"/>
                <w:sz w:val="36"/>
                <w:szCs w:val="24"/>
                <w:bdr w:val="none" w:color="auto" w:sz="0" w:space="0"/>
              </w:rPr>
              <w:t>定代表</w:t>
            </w:r>
            <w:r>
              <w:rPr>
                <w:rStyle w:val="19"/>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5374FF6D">
            <w:pPr>
              <w:keepNext w:val="0"/>
              <w:keepLines w:val="0"/>
              <w:widowControl/>
              <w:suppressLineNumbers w:val="0"/>
              <w:jc w:val="left"/>
              <w:rPr>
                <w:kern w:val="0"/>
                <w:sz w:val="20"/>
                <w:szCs w:val="20"/>
                <w:bdr w:val="none" w:color="auto" w:sz="0" w:space="0"/>
                <w:lang w:val="en-US"/>
              </w:rPr>
            </w:pPr>
          </w:p>
        </w:tc>
      </w:tr>
    </w:tbl>
    <w:p w14:paraId="1B067747">
      <w:pPr>
        <w:ind w:left="0" w:firstLine="723" w:firstLineChars="300"/>
        <w:rPr>
          <w:rFonts w:hint="eastAsia" w:ascii="黑体" w:hAnsi="宋体" w:eastAsia="黑体" w:cs="黑体"/>
          <w:b/>
          <w:bCs/>
          <w:sz w:val="24"/>
          <w:szCs w:val="24"/>
          <w:u w:val="single"/>
          <w:lang w:val="en-US"/>
        </w:rPr>
      </w:pPr>
    </w:p>
    <w:p w14:paraId="478C8724">
      <w:pPr>
        <w:jc w:val="center"/>
        <w:rPr>
          <w:rFonts w:hint="eastAsia" w:ascii="黑体" w:hAnsi="宋体" w:eastAsia="黑体" w:cs="黑体"/>
          <w:b/>
          <w:bCs/>
          <w:sz w:val="30"/>
          <w:szCs w:val="24"/>
          <w:u w:val="single"/>
          <w:lang w:val="en-US"/>
        </w:rPr>
      </w:pPr>
    </w:p>
    <w:p w14:paraId="7B58714D">
      <w:pPr>
        <w:jc w:val="center"/>
        <w:rPr>
          <w:rFonts w:hint="eastAsia" w:ascii="黑体" w:hAnsi="宋体" w:eastAsia="黑体" w:cs="黑体"/>
          <w:b/>
          <w:bCs/>
          <w:sz w:val="30"/>
          <w:szCs w:val="24"/>
          <w:u w:val="single"/>
          <w:lang w:val="en-US"/>
        </w:rPr>
      </w:pPr>
    </w:p>
    <w:p w14:paraId="6C721EE9">
      <w:pPr>
        <w:jc w:val="center"/>
        <w:rPr>
          <w:u w:val="single"/>
          <w:lang w:val="en-US"/>
        </w:rPr>
      </w:pPr>
    </w:p>
    <w:p w14:paraId="0354CEA6">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6DED5CB7">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05620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776D2B5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16FF52F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6FEE756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3CF34DE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6673CF8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60ADC1BD">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3A53C86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6A12785D">
            <w:pPr>
              <w:spacing w:line="320" w:lineRule="exact"/>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桃江县灰山港镇中心卫生院（桃江县第二人民医院）</w:t>
            </w:r>
          </w:p>
        </w:tc>
      </w:tr>
      <w:tr w14:paraId="5237C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22A5AD3">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ECBE79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3D94BC4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0BDBE2EE">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为人民身体健康提供医疗与护理保健服务。医疗与护理 医学研究 卫生医疗人员培训与再教育 保健与健康教育</w:t>
            </w:r>
          </w:p>
        </w:tc>
      </w:tr>
      <w:tr w14:paraId="2F1C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597B287">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90A46E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1B9FF2A9">
            <w:pPr>
              <w:jc w:val="left"/>
            </w:pPr>
            <w:r>
              <w:rPr>
                <w:rStyle w:val="20"/>
                <w:rFonts w:hint="eastAsia" w:ascii="楷体_GB2312" w:eastAsia="楷体_GB2312" w:cs="楷体_GB2312"/>
                <w:sz w:val="28"/>
                <w:szCs w:val="28"/>
                <w:bdr w:val="none" w:color="auto" w:sz="0" w:space="0"/>
                <w:lang w:val="en-US"/>
              </w:rPr>
              <w:t>桃江县灰山港镇金沙路42号</w:t>
            </w:r>
          </w:p>
        </w:tc>
      </w:tr>
      <w:tr w14:paraId="6138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99E7350">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89840F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0C35D6AA">
            <w:pPr>
              <w:jc w:val="left"/>
            </w:pPr>
            <w:r>
              <w:rPr>
                <w:rStyle w:val="20"/>
                <w:rFonts w:hint="eastAsia" w:ascii="楷体_GB2312" w:eastAsia="楷体_GB2312" w:cs="楷体_GB2312"/>
                <w:sz w:val="28"/>
                <w:szCs w:val="28"/>
                <w:bdr w:val="none" w:color="auto" w:sz="0" w:space="0"/>
                <w:lang w:val="en-US"/>
              </w:rPr>
              <w:t>傅又文</w:t>
            </w:r>
          </w:p>
        </w:tc>
      </w:tr>
      <w:tr w14:paraId="65498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0C370AE">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80E916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69C5684">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3304</w:t>
            </w:r>
            <w:r>
              <w:rPr>
                <w:rStyle w:val="20"/>
                <w:rFonts w:hint="eastAsia" w:ascii="楷体_GB2312" w:eastAsia="楷体_GB2312" w:cs="楷体_GB2312"/>
                <w:sz w:val="28"/>
                <w:szCs w:val="28"/>
                <w:bdr w:val="none" w:color="auto" w:sz="0" w:space="0"/>
              </w:rPr>
              <w:t>（万元）</w:t>
            </w:r>
          </w:p>
        </w:tc>
      </w:tr>
      <w:tr w14:paraId="5C009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0FCB728">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A94049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42B451A0">
            <w:pPr>
              <w:jc w:val="left"/>
              <w:rPr>
                <w:sz w:val="32"/>
                <w:szCs w:val="32"/>
                <w:bdr w:val="none" w:color="auto" w:sz="0" w:space="0"/>
                <w:lang w:val="en-US"/>
              </w:rPr>
            </w:pPr>
            <w:r>
              <w:rPr>
                <w:rStyle w:val="20"/>
                <w:rFonts w:hint="eastAsia" w:ascii="楷体_GB2312" w:eastAsia="楷体_GB2312" w:cs="楷体_GB2312"/>
                <w:sz w:val="28"/>
                <w:szCs w:val="28"/>
                <w:bdr w:val="none" w:color="auto" w:sz="0" w:space="0"/>
                <w:lang w:val="en-US"/>
              </w:rPr>
              <w:t>财政补助</w:t>
            </w:r>
          </w:p>
        </w:tc>
      </w:tr>
      <w:tr w14:paraId="2E51F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7C930B1">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B3247C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4B603BA2">
            <w:pPr>
              <w:jc w:val="left"/>
            </w:pPr>
            <w:r>
              <w:rPr>
                <w:rStyle w:val="20"/>
                <w:rFonts w:hint="eastAsia" w:ascii="楷体_GB2312" w:eastAsia="楷体_GB2312" w:cs="楷体_GB2312"/>
                <w:sz w:val="28"/>
                <w:szCs w:val="28"/>
                <w:bdr w:val="none" w:color="auto" w:sz="0" w:space="0"/>
                <w:lang w:val="en-US"/>
              </w:rPr>
              <w:t>桃江县卫生健康局</w:t>
            </w:r>
          </w:p>
        </w:tc>
      </w:tr>
      <w:tr w14:paraId="0974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311FA305">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7EEBF3BD">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44DC4D16">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46E50188">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净资产合计（所有者权益合计）</w:t>
            </w:r>
          </w:p>
        </w:tc>
      </w:tr>
      <w:tr w14:paraId="5E66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685328EB">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6D35CA2D">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1E0AF5C6">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年末数（万元）</w:t>
            </w:r>
          </w:p>
        </w:tc>
      </w:tr>
      <w:tr w14:paraId="1551C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3560DD67">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653B3C7B">
            <w:pPr>
              <w:jc w:val="center"/>
              <w:rPr>
                <w:sz w:val="32"/>
                <w:szCs w:val="24"/>
                <w:bdr w:val="none" w:color="auto" w:sz="0" w:space="0"/>
                <w:lang w:val="en-US"/>
              </w:rPr>
            </w:pPr>
            <w:r>
              <w:rPr>
                <w:rStyle w:val="14"/>
                <w:sz w:val="32"/>
                <w:szCs w:val="24"/>
                <w:bdr w:val="none" w:color="auto" w:sz="0" w:space="0"/>
                <w:lang w:val="en-US"/>
              </w:rPr>
              <w:t>2668</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54DEFA31">
            <w:pPr>
              <w:jc w:val="center"/>
            </w:pPr>
            <w:r>
              <w:rPr>
                <w:rStyle w:val="20"/>
                <w:sz w:val="32"/>
                <w:szCs w:val="32"/>
                <w:bdr w:val="none" w:color="auto" w:sz="0" w:space="0"/>
                <w:lang w:val="en-US"/>
              </w:rPr>
              <w:t>3034</w:t>
            </w:r>
          </w:p>
        </w:tc>
      </w:tr>
      <w:tr w14:paraId="02DF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77028CD2">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47F90C21">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桃江县灰山港镇中心卫生院（桃江县第二人民医院）</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267C945F">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7793F2D3">
            <w:pPr>
              <w:spacing w:line="0" w:lineRule="atLeast"/>
              <w:jc w:val="left"/>
              <w:rPr>
                <w:rFonts w:hint="eastAsia" w:ascii="楷体_GB2312" w:eastAsia="楷体_GB2312" w:cs="楷体_GB2312"/>
                <w:sz w:val="32"/>
                <w:szCs w:val="24"/>
                <w:bdr w:val="none" w:color="auto" w:sz="0" w:space="0"/>
                <w:lang w:val="en-US"/>
              </w:rPr>
            </w:pPr>
            <w:r>
              <w:rPr>
                <w:rStyle w:val="14"/>
                <w:sz w:val="32"/>
                <w:szCs w:val="24"/>
                <w:bdr w:val="none" w:color="auto" w:sz="0" w:space="0"/>
                <w:lang w:val="en-US"/>
              </w:rPr>
              <w:t>262</w:t>
            </w:r>
          </w:p>
        </w:tc>
      </w:tr>
      <w:tr w14:paraId="669EB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77E522C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1109717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7B57142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6984F61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2A70400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26C699A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7287E27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41ED5E03">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23BDBEC3">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我院自查自纠情况： 1、我单位法人条件继续具备，使用名称与核准登记的名称一致，无擅自增加名称的行为；实际住所与核准登记的住所一致，坚持按照核准登记的宗旨和业务范围开展业务活动，无超范围开展业务活动的行为； 2、现有执业许可证有效，无抽逃、转移开办资金的行为，具备承担与宗旨和业务范围相适应的民事责任能力； 3、无捐赠、资助情况； 4、无核准登记后超过一年未开展业务活动或自行停止业务活动一年以上的情况； 5、无涂改、出租、出借《事业单位法人证书》或者出租、出借印章的行为； 6、依法纳税； 7、无违约和社会投诉情况以及涉及诉讼情况； 8、无公务员兼职。</w:t>
            </w:r>
          </w:p>
        </w:tc>
      </w:tr>
      <w:tr w14:paraId="6A4A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099ACEA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142BF45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11C817C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47E424C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0C75EC6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7F9DD43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346EE28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68BE8DE5">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028DD93C">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20"/>
                <w:rFonts w:hint="eastAsia" w:ascii="楷体_GB2312" w:eastAsia="楷体_GB2312" w:cs="楷体_GB2312"/>
                <w:sz w:val="28"/>
                <w:szCs w:val="24"/>
                <w:bdr w:val="none" w:color="auto" w:sz="0" w:space="0"/>
                <w:lang w:val="en-US"/>
              </w:rPr>
              <w:t xml:space="preserve">2023年，医院坚持以习近平新时代中国特色社会主义思想为指导，全面贯彻落实党的二十大精神，以人民健康为中心，围绕年初工作重点，紧扣中央、省、市、县决策部署，以“经济管理年”、“能力提升年”、“作风建设年”为抓手，持续提升医疗服务质量，做实公共卫生服务，促进中医药发展，加强重点学科建设，奋力推动医院高质量发展。 一、坚持党建引领。一是加强了班子建设。年初重新调整了班子分工。每月组织了政治理论学习，提高班子成员政治素质，不断增强凝聚力。二是落实了党风廉政建设责任追究制。落实了支部书记“第一责任人”主体责任和支部成员“一岗双责”职责。利用多种形式开展了廉政教育。坚持了“一月一课一片一实践”。设立了10个党员示范岗和党员责任区。三级廉政谈话25人次。在医德医风问题与医药领域腐败问题集中整治中，对自查自纠的10个问题限期进行了整改。三是认真抓好意识形态工作。切实捍卫“两个确立”、做到“两个维护”。全年组织主题党课7次，微党课12次；运用“第一种形态”谈话49人次。宣传先进党员典型2个，在县级及以上新闻媒体上稿23条，医院微信公众号宣传19篇。 二、强化医疗质量管理。一是完善质控体系。医务科、护理部、院感科配备专人负责，切实抓好环节质控管理，健全三级质控体系；二是加强人才培训。全年院内共组织业务培训20次、考试、考核8次。心肺复苏等急救操作技能强化培训率100%。院外参加短期培训17人次，在县局组织的“三基”理论竞赛中，护理组钟习云获一等奖，医师组袁方、杨靓获三等奖；全年选送了4名骨干外出进修，招聘专技人员7名；三是加强督查监管。医疗护理交叉检查、医疗护理质量分析点评常态化开展，召开质控会议10次、点评处方4次，对指出的问题责任到人，追踪整改到位；结合DIP付费管理，对合理用药、合理检查重点进行督查，与绩效挂勾，以罚促改；及时发放了质控通讯与处方点评通报，对问题举一反三，促进医疗护理质量持续提升。四是加强学科建设。3月份组建了肛肠科。加强了内科、骨科、皮肤科、中医科等专科建设。邀请县级以上医院专家来院义诊、教学、查房指导6次，胸痛救治单元于7月份通过验收，中医药示范县创建工作顺利开展。 三、提升了公卫服务能力。有序开展了十四项国家基本公共卫生服务项目，调整了签约医师团队，家庭医师签约服务五类人群签约率100% ，其他人群应签尽签，全镇居民已签约71270人，总签约率73%；完善了公卫绩效分配方案，提高公卫专干与乡村医师参与公卫的积极性；定期更新、维护并有效利用了居民电子健康档案系统，对高血压、糖尿病、老年人、儿童，孕妇等特殊群体做到有专案可查，有日常数据维护，促进特殊人群及慢病的系统化管理。全镇共建档100700人，健康档案认领67748人，认领率已达67%。 四、扎实开展了卓越服务。下半年启动了卓越服务示范医院创建。做到创建行动有领导小组、有工作标准、有努力方向、有考评细则。开展了10S精益管理，制定了《员工手册》，落实了回访制度、加强了医院人文管理，健全了投诉机制，切实提高了患者满意度。 五、党态化抓好安全生产。一是强化了全院工作人员安全意识。安全无小事，涉及工作各个方面，逢会必讲安全工作，警钟长鸣。二是签定并落实了《医疗安全责任状》、《廉洁行医承诺书》，学习了《廉洁从医九不准》；三是加强了网络安全、消防安全管理，启动了消防安全设施整改；四是加强了安全生产巡视，及时排查水、电、医疗设备、仪器、危化品、医疗废水、废物处置的安全隐患，确保平安发展。 六、做好财务全面预算。一是加强了财务的预决算，统筹安排资金，强化节约意识，合理支出；二是不断完善绩效方案，提高员工积极性；合理增长医疗业务。2023年确保了收支平衡，达到预算目标。 2023年共完成门急诊109646人次，同比2022年上升10.8%；住院9668人次，同比增加126人次；医疗业务收入4520.44万元，同比增加8%。 </w:t>
            </w:r>
          </w:p>
          <w:p w14:paraId="153CC426">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02ED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19790296">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799E4C2E">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4"/>
                <w:bdr w:val="none" w:color="auto" w:sz="0" w:space="0"/>
                <w:lang w:val="en-US"/>
              </w:rPr>
              <w:t>医疗机构执业许可证有效期自2022年6月1日至2025年5月31日。 登记号：44701895243092211C2101</w:t>
            </w:r>
          </w:p>
        </w:tc>
      </w:tr>
      <w:tr w14:paraId="65ED7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5B7B522F">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19F0BFFD">
            <w:pPr>
              <w:jc w:val="left"/>
            </w:pPr>
            <w:r>
              <w:rPr>
                <w:rStyle w:val="20"/>
                <w:rFonts w:hint="eastAsia" w:ascii="楷体_GB2312" w:eastAsia="楷体_GB2312" w:cs="楷体_GB2312"/>
                <w:sz w:val="28"/>
                <w:szCs w:val="28"/>
                <w:bdr w:val="none" w:color="auto" w:sz="0" w:space="0"/>
                <w:lang w:val="en-US"/>
              </w:rPr>
              <w:t>无</w:t>
            </w:r>
          </w:p>
        </w:tc>
      </w:tr>
      <w:tr w14:paraId="44F61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265DAA1C">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23413B11">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5CAA5C00">
            <w:pPr>
              <w:jc w:val="left"/>
            </w:pPr>
            <w:r>
              <w:rPr>
                <w:rStyle w:val="20"/>
                <w:rFonts w:hint="eastAsia" w:ascii="楷体_GB2312" w:eastAsia="楷体_GB2312" w:cs="楷体_GB2312"/>
                <w:sz w:val="28"/>
                <w:szCs w:val="28"/>
                <w:bdr w:val="none" w:color="auto" w:sz="0" w:space="0"/>
                <w:lang w:val="en-US"/>
              </w:rPr>
              <w:t>无</w:t>
            </w:r>
          </w:p>
        </w:tc>
      </w:tr>
    </w:tbl>
    <w:p w14:paraId="12A23BBB">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22E24E38"/>
    <w:rsid w:val="45924E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7"/>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6"/>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61"/>
    <w:basedOn w:val="13"/>
    <w:uiPriority w:val="0"/>
    <w:rPr>
      <w:rFonts w:hint="default" w:ascii="Times New Roman" w:hAnsi="Times New Roman" w:eastAsia="楷体_GB2312" w:cs="Times New Roman"/>
      <w:sz w:val="32"/>
      <w:szCs w:val="24"/>
    </w:rPr>
  </w:style>
  <w:style w:type="character" w:customStyle="1" w:styleId="15">
    <w:name w:val="hps"/>
    <w:basedOn w:val="13"/>
    <w:uiPriority w:val="0"/>
  </w:style>
  <w:style w:type="character" w:customStyle="1" w:styleId="16">
    <w:name w:val="页眉 Char"/>
    <w:basedOn w:val="13"/>
    <w:link w:val="9"/>
    <w:locked/>
    <w:uiPriority w:val="0"/>
    <w:rPr>
      <w:rFonts w:hint="default" w:ascii="Times New Roman" w:hAnsi="Times New Roman" w:eastAsia="宋体" w:cs="Times New Roman"/>
      <w:sz w:val="18"/>
      <w:szCs w:val="18"/>
    </w:rPr>
  </w:style>
  <w:style w:type="character" w:customStyle="1" w:styleId="17">
    <w:name w:val="页脚 Char"/>
    <w:basedOn w:val="13"/>
    <w:link w:val="8"/>
    <w:locked/>
    <w:uiPriority w:val="0"/>
    <w:rPr>
      <w:rFonts w:hint="default" w:ascii="Times New Roman" w:hAnsi="Times New Roman" w:eastAsia="宋体" w:cs="Times New Roman"/>
      <w:sz w:val="18"/>
      <w:szCs w:val="18"/>
    </w:rPr>
  </w:style>
  <w:style w:type="character" w:customStyle="1" w:styleId="18">
    <w:name w:val="font21"/>
    <w:basedOn w:val="13"/>
    <w:uiPriority w:val="0"/>
    <w:rPr>
      <w:rFonts w:hint="default" w:ascii="Times New Roman" w:hAnsi="Times New Roman" w:eastAsia="楷体_GB2312" w:cs="Times New Roman"/>
      <w:sz w:val="30"/>
      <w:szCs w:val="24"/>
    </w:rPr>
  </w:style>
  <w:style w:type="character" w:customStyle="1" w:styleId="19">
    <w:name w:val="font51"/>
    <w:basedOn w:val="13"/>
    <w:uiPriority w:val="0"/>
    <w:rPr>
      <w:rFonts w:hint="eastAsia" w:ascii="黑体" w:hAnsi="宋体" w:eastAsia="黑体" w:cs="黑体"/>
      <w:sz w:val="36"/>
      <w:szCs w:val="24"/>
    </w:rPr>
  </w:style>
  <w:style w:type="character" w:customStyle="1" w:styleId="20">
    <w:name w:val="font71"/>
    <w:basedOn w:val="1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6</Pages>
  <Words>2207</Words>
  <Characters>2352</Characters>
  <Lines>4</Lines>
  <Paragraphs>1</Paragraphs>
  <TotalTime>45456.4375000016</TotalTime>
  <ScaleCrop>false</ScaleCrop>
  <LinksUpToDate>false</LinksUpToDate>
  <CharactersWithSpaces>2408</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2024-06-13T03:04:06Z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AADB8355E7354D419E9F28D63AE939F6_13</vt:lpwstr>
  </property>
</Properties>
</file>