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D525EB">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7D52C1C0">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12430922675596826U</w:t>
      </w:r>
      <w:r>
        <w:rPr>
          <w:rFonts w:eastAsia="楷体_GB2312"/>
          <w:b/>
          <w:bCs/>
          <w:sz w:val="30"/>
          <w:szCs w:val="24"/>
          <w:lang w:val="en-US"/>
        </w:rPr>
        <w:t xml:space="preserve">   </w:t>
      </w:r>
    </w:p>
    <w:p w14:paraId="15BE983D">
      <w:pPr>
        <w:jc w:val="right"/>
        <w:rPr>
          <w:lang w:val="en-US"/>
        </w:rPr>
      </w:pPr>
    </w:p>
    <w:p w14:paraId="76D02050">
      <w:pPr>
        <w:jc w:val="right"/>
        <w:rPr>
          <w:lang w:val="en-US"/>
        </w:rPr>
      </w:pPr>
    </w:p>
    <w:p w14:paraId="329FA80D">
      <w:pPr>
        <w:jc w:val="right"/>
        <w:rPr>
          <w:lang w:val="en-US"/>
        </w:rPr>
      </w:pPr>
    </w:p>
    <w:p w14:paraId="1AD532E0">
      <w:pPr>
        <w:jc w:val="right"/>
        <w:rPr>
          <w:lang w:val="en-US"/>
        </w:rPr>
      </w:pPr>
    </w:p>
    <w:p w14:paraId="4C71006F">
      <w:pPr>
        <w:jc w:val="right"/>
        <w:rPr>
          <w:lang w:val="en-US"/>
        </w:rPr>
      </w:pPr>
    </w:p>
    <w:p w14:paraId="706CBF33">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5E655AC0">
      <w:pPr>
        <w:jc w:val="center"/>
        <w:rPr>
          <w:rFonts w:eastAsia="黑体"/>
          <w:b/>
          <w:bCs/>
          <w:spacing w:val="30"/>
          <w:lang w:val="en-US"/>
        </w:rPr>
      </w:pPr>
    </w:p>
    <w:p w14:paraId="2A027237">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6FE9A8AA">
      <w:pPr>
        <w:jc w:val="center"/>
        <w:rPr>
          <w:sz w:val="36"/>
          <w:szCs w:val="24"/>
          <w:lang w:val="en-US"/>
        </w:rPr>
      </w:pPr>
    </w:p>
    <w:p w14:paraId="72CF1555">
      <w:pPr>
        <w:jc w:val="center"/>
        <w:rPr>
          <w:sz w:val="36"/>
          <w:szCs w:val="24"/>
          <w:lang w:val="en-US"/>
        </w:rPr>
      </w:pPr>
    </w:p>
    <w:p w14:paraId="12EEBBE0">
      <w:pPr>
        <w:jc w:val="center"/>
        <w:rPr>
          <w:sz w:val="36"/>
          <w:szCs w:val="24"/>
          <w:lang w:val="en-US"/>
        </w:rPr>
      </w:pPr>
    </w:p>
    <w:p w14:paraId="70FEEFD8">
      <w:pPr>
        <w:jc w:val="center"/>
        <w:rPr>
          <w:sz w:val="36"/>
          <w:szCs w:val="24"/>
          <w:lang w:val="en-US"/>
        </w:rPr>
      </w:pPr>
    </w:p>
    <w:p w14:paraId="4A8A5B4E">
      <w:pPr>
        <w:jc w:val="center"/>
        <w:rPr>
          <w:sz w:val="36"/>
          <w:szCs w:val="24"/>
          <w:lang w:val="en-US"/>
        </w:rPr>
      </w:pPr>
    </w:p>
    <w:p w14:paraId="1B9825B5">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2894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64D72652">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F7BA68E">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桃江县建筑施工企业管理站</w:t>
            </w:r>
          </w:p>
        </w:tc>
      </w:tr>
    </w:tbl>
    <w:p w14:paraId="073EB133">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FA9E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565221A6">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5766BCC5">
            <w:pPr>
              <w:keepNext w:val="0"/>
              <w:keepLines w:val="0"/>
              <w:widowControl/>
              <w:suppressLineNumbers w:val="0"/>
              <w:jc w:val="left"/>
              <w:rPr>
                <w:kern w:val="0"/>
                <w:sz w:val="20"/>
                <w:szCs w:val="20"/>
                <w:bdr w:val="none" w:color="auto" w:sz="0" w:space="0"/>
                <w:lang w:val="en-US"/>
              </w:rPr>
            </w:pPr>
          </w:p>
        </w:tc>
      </w:tr>
    </w:tbl>
    <w:p w14:paraId="1F9269C1">
      <w:pPr>
        <w:ind w:left="0" w:firstLine="723" w:firstLineChars="300"/>
        <w:rPr>
          <w:rFonts w:hint="eastAsia" w:ascii="黑体" w:hAnsi="宋体" w:eastAsia="黑体" w:cs="黑体"/>
          <w:b/>
          <w:bCs/>
          <w:sz w:val="24"/>
          <w:szCs w:val="24"/>
          <w:u w:val="single"/>
          <w:lang w:val="en-US"/>
        </w:rPr>
      </w:pPr>
    </w:p>
    <w:p w14:paraId="0A4337D5">
      <w:pPr>
        <w:jc w:val="center"/>
        <w:rPr>
          <w:rFonts w:hint="eastAsia" w:ascii="黑体" w:hAnsi="宋体" w:eastAsia="黑体" w:cs="黑体"/>
          <w:b/>
          <w:bCs/>
          <w:sz w:val="30"/>
          <w:szCs w:val="24"/>
          <w:u w:val="single"/>
          <w:lang w:val="en-US"/>
        </w:rPr>
      </w:pPr>
    </w:p>
    <w:p w14:paraId="043A1321">
      <w:pPr>
        <w:jc w:val="center"/>
        <w:rPr>
          <w:rFonts w:hint="eastAsia" w:ascii="黑体" w:hAnsi="宋体" w:eastAsia="黑体" w:cs="黑体"/>
          <w:b/>
          <w:bCs/>
          <w:sz w:val="30"/>
          <w:szCs w:val="24"/>
          <w:u w:val="single"/>
          <w:lang w:val="en-US"/>
        </w:rPr>
      </w:pPr>
    </w:p>
    <w:p w14:paraId="25431D11">
      <w:pPr>
        <w:jc w:val="center"/>
        <w:rPr>
          <w:u w:val="single"/>
          <w:lang w:val="en-US"/>
        </w:rPr>
      </w:pPr>
    </w:p>
    <w:p w14:paraId="0A4D925D">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0314F612">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5023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2E3E88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74753B7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7A9A212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D40B95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1F6EBE3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628E5A0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D11998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45462E5D">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桃江县建筑施工企业管理站</w:t>
            </w:r>
          </w:p>
        </w:tc>
      </w:tr>
      <w:tr w14:paraId="1314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E0FD02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B83A8A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276AEA7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843DD70">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组织建筑行业贯彻执行行业管理的方针、政策、法规；指导企业提高生产经营业管理水平；负责对全县建筑企业及其注册人员的日常管理工作；指导建筑业行业协会工作。</w:t>
            </w:r>
          </w:p>
        </w:tc>
      </w:tr>
      <w:tr w14:paraId="12C2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EAE388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E3DF5E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0DD42A6">
            <w:pPr>
              <w:jc w:val="left"/>
            </w:pPr>
            <w:r>
              <w:rPr>
                <w:rStyle w:val="20"/>
                <w:rFonts w:hint="eastAsia" w:ascii="楷体_GB2312" w:eastAsia="楷体_GB2312" w:cs="楷体_GB2312"/>
                <w:sz w:val="28"/>
                <w:szCs w:val="28"/>
                <w:bdr w:val="none" w:color="auto" w:sz="0" w:space="0"/>
                <w:lang w:val="en-US"/>
              </w:rPr>
              <w:t>桃江县桃花江镇芙蓉路与天子山路交汇处</w:t>
            </w:r>
          </w:p>
        </w:tc>
      </w:tr>
      <w:tr w14:paraId="6043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0FA9CC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3D60A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28A81FE">
            <w:pPr>
              <w:jc w:val="left"/>
            </w:pPr>
            <w:r>
              <w:rPr>
                <w:rStyle w:val="20"/>
                <w:rFonts w:hint="eastAsia" w:ascii="楷体_GB2312" w:eastAsia="楷体_GB2312" w:cs="楷体_GB2312"/>
                <w:sz w:val="28"/>
                <w:szCs w:val="28"/>
                <w:bdr w:val="none" w:color="auto" w:sz="0" w:space="0"/>
                <w:lang w:val="en-US"/>
              </w:rPr>
              <w:t>贾玲</w:t>
            </w:r>
          </w:p>
        </w:tc>
      </w:tr>
      <w:tr w14:paraId="5BB4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67AD8E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1FCBF7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5436374">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1</w:t>
            </w:r>
            <w:r>
              <w:rPr>
                <w:rStyle w:val="20"/>
                <w:rFonts w:hint="eastAsia" w:ascii="楷体_GB2312" w:eastAsia="楷体_GB2312" w:cs="楷体_GB2312"/>
                <w:sz w:val="28"/>
                <w:szCs w:val="28"/>
                <w:bdr w:val="none" w:color="auto" w:sz="0" w:space="0"/>
              </w:rPr>
              <w:t>（万元）</w:t>
            </w:r>
          </w:p>
        </w:tc>
      </w:tr>
      <w:tr w14:paraId="7CA1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39EB4C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FCD060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0A8071F">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财政补助（差额拨款）</w:t>
            </w:r>
          </w:p>
        </w:tc>
      </w:tr>
      <w:tr w14:paraId="0ED5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DC876A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3000B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DDBF8BB">
            <w:pPr>
              <w:jc w:val="left"/>
            </w:pPr>
            <w:r>
              <w:rPr>
                <w:rStyle w:val="20"/>
                <w:rFonts w:hint="eastAsia" w:ascii="楷体_GB2312" w:eastAsia="楷体_GB2312" w:cs="楷体_GB2312"/>
                <w:sz w:val="28"/>
                <w:szCs w:val="28"/>
                <w:bdr w:val="none" w:color="auto" w:sz="0" w:space="0"/>
                <w:lang w:val="en-US"/>
              </w:rPr>
              <w:t>桃江县住房和城乡建设局</w:t>
            </w:r>
          </w:p>
        </w:tc>
      </w:tr>
      <w:tr w14:paraId="39E0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4B45F803">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73DCA9F2">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3BB9E040">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76F75F78">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0475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F38F653">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86746A1">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0E4EE7A5">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16F7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E13C655">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E978AA3">
            <w:pPr>
              <w:jc w:val="center"/>
              <w:rPr>
                <w:sz w:val="32"/>
                <w:szCs w:val="24"/>
                <w:bdr w:val="none" w:color="auto" w:sz="0" w:space="0"/>
                <w:lang w:val="en-US"/>
              </w:rPr>
            </w:pPr>
            <w:r>
              <w:rPr>
                <w:rStyle w:val="14"/>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79310AE1">
            <w:pPr>
              <w:jc w:val="center"/>
            </w:pPr>
            <w:r>
              <w:rPr>
                <w:rStyle w:val="20"/>
                <w:sz w:val="32"/>
                <w:szCs w:val="32"/>
                <w:bdr w:val="none" w:color="auto" w:sz="0" w:space="0"/>
                <w:lang w:val="en-US"/>
              </w:rPr>
              <w:t>1</w:t>
            </w:r>
          </w:p>
        </w:tc>
      </w:tr>
      <w:tr w14:paraId="13E9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2D3FA33">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B265BC2">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桃江县建筑施工企业管理站</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1645376B">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0CDCF3E2">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10</w:t>
            </w:r>
          </w:p>
        </w:tc>
      </w:tr>
      <w:tr w14:paraId="2BBB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B6358A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81E8FF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23B60FC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5F90BF5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114F4C4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656A576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05FC33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35408951">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EE2754A">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严格执行《条例》和实施细则</w:t>
            </w:r>
          </w:p>
        </w:tc>
      </w:tr>
      <w:tr w14:paraId="7280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71D4C9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0B2A1F4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541E70D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4AF7F3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7DAACFA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638E966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5E7C5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7F6EF12A">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A903CB8">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一是认真贯彻执行行业管理的方针、政策、法规，会同局建筑业管理股一起做好了县域内建筑施工企业的管理和服务工作，及时把省、市、县建设行政主管部门的相关文件精神传达至企业，为企业提供政策咨询和优质服务。二是按县国动办要求，完成了我县资质以上建筑业企业国防动力潜力调查数据采集工作。三是面对新形势新要求，对有数据治理和资质升级问题的5 家建筑企业对接上级建设行政主管部门好提供政策咨询和指导。四是配合市住建局完成了我县4家劳务企业资质备案申报资料的真实性查验工作以及“双随机一公开”抽中的5 家建筑企业资质动态核查工作。五是开展第五次全国经济普查的宣传动员，按要求完成了我县有资质的建筑施工总承包、专业承包以及劳务企业共72家建筑业企业基本单位清查这项基础工作。六是做好了我县建筑业企业的建筑业产值统计工作，26家规模以上建筑业企业全年完成建筑业总产值72.34亿元。七是应对当前建筑市场发展面临着较大的下行压力，为了扶持建筑企业发展，收集整理汇编了省、市出台的 6 个与建筑业紧密相关的惠企政策文件，下发给建筑企业查阅参考学习，更好帮助企业快速一站式了解政策、熟悉政策、享受政策。八是是配合完成了局办公室的信访投诉回复、质安股的安全生产活动月活动、房地产管理股的财源建设工作等等。 </w:t>
            </w:r>
          </w:p>
          <w:p w14:paraId="56623E1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2B0C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3BEC781">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12513DC">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14:paraId="3A4F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72AAB1D">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0325DD1A">
            <w:pPr>
              <w:jc w:val="left"/>
            </w:pPr>
            <w:r>
              <w:rPr>
                <w:rStyle w:val="20"/>
                <w:rFonts w:hint="eastAsia" w:ascii="楷体_GB2312" w:eastAsia="楷体_GB2312" w:cs="楷体_GB2312"/>
                <w:sz w:val="28"/>
                <w:szCs w:val="28"/>
                <w:bdr w:val="none" w:color="auto" w:sz="0" w:space="0"/>
                <w:lang w:val="en-US"/>
              </w:rPr>
              <w:t>无</w:t>
            </w:r>
          </w:p>
        </w:tc>
      </w:tr>
      <w:tr w14:paraId="0124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CACB1C3">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490A9F56">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569C150">
            <w:pPr>
              <w:jc w:val="left"/>
            </w:pPr>
            <w:r>
              <w:rPr>
                <w:rStyle w:val="20"/>
                <w:rFonts w:hint="eastAsia" w:ascii="楷体_GB2312" w:eastAsia="楷体_GB2312" w:cs="楷体_GB2312"/>
                <w:sz w:val="28"/>
                <w:szCs w:val="28"/>
                <w:bdr w:val="none" w:color="auto" w:sz="0" w:space="0"/>
                <w:lang w:val="en-US"/>
              </w:rPr>
              <w:t>无</w:t>
            </w:r>
          </w:p>
        </w:tc>
      </w:tr>
    </w:tbl>
    <w:p w14:paraId="56699B04">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409616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hps"/>
    <w:basedOn w:val="13"/>
    <w:uiPriority w:val="0"/>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933</Words>
  <Characters>975</Characters>
  <Lines>4</Lines>
  <Paragraphs>1</Paragraphs>
  <TotalTime>45456.6250000016</TotalTime>
  <ScaleCrop>false</ScaleCrop>
  <LinksUpToDate>false</LinksUpToDate>
  <CharactersWithSpaces>1015</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2024-06-13T07:42:21Z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54B04B6B1A41424CAE9F88F1FD9460E6_13</vt:lpwstr>
  </property>
</Properties>
</file>