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88F57C">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0DE20AD">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12430922574324530X</w:t>
      </w:r>
      <w:r>
        <w:rPr>
          <w:rFonts w:eastAsia="楷体_GB2312"/>
          <w:b/>
          <w:bCs/>
          <w:sz w:val="30"/>
          <w:szCs w:val="24"/>
          <w:lang w:val="en-US"/>
        </w:rPr>
        <w:t xml:space="preserve">   </w:t>
      </w:r>
    </w:p>
    <w:p w14:paraId="7760C27B">
      <w:pPr>
        <w:jc w:val="right"/>
        <w:rPr>
          <w:lang w:val="en-US"/>
        </w:rPr>
      </w:pPr>
    </w:p>
    <w:p w14:paraId="6939BE8B">
      <w:pPr>
        <w:jc w:val="right"/>
        <w:rPr>
          <w:lang w:val="en-US"/>
        </w:rPr>
      </w:pPr>
    </w:p>
    <w:p w14:paraId="23319772">
      <w:pPr>
        <w:jc w:val="right"/>
        <w:rPr>
          <w:lang w:val="en-US"/>
        </w:rPr>
      </w:pPr>
    </w:p>
    <w:p w14:paraId="0AFF3451">
      <w:pPr>
        <w:jc w:val="right"/>
        <w:rPr>
          <w:lang w:val="en-US"/>
        </w:rPr>
      </w:pPr>
    </w:p>
    <w:p w14:paraId="3FA2C0DC">
      <w:pPr>
        <w:jc w:val="right"/>
        <w:rPr>
          <w:lang w:val="en-US"/>
        </w:rPr>
      </w:pPr>
    </w:p>
    <w:p w14:paraId="0D8B706F">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3466820">
      <w:pPr>
        <w:jc w:val="center"/>
        <w:rPr>
          <w:rFonts w:eastAsia="黑体"/>
          <w:b/>
          <w:bCs/>
          <w:spacing w:val="30"/>
          <w:lang w:val="en-US"/>
        </w:rPr>
      </w:pPr>
    </w:p>
    <w:p w14:paraId="41BA4E5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F3953C6">
      <w:pPr>
        <w:jc w:val="center"/>
        <w:rPr>
          <w:sz w:val="36"/>
          <w:szCs w:val="24"/>
          <w:lang w:val="en-US"/>
        </w:rPr>
      </w:pPr>
    </w:p>
    <w:p w14:paraId="53494D22">
      <w:pPr>
        <w:jc w:val="center"/>
        <w:rPr>
          <w:sz w:val="36"/>
          <w:szCs w:val="24"/>
          <w:lang w:val="en-US"/>
        </w:rPr>
      </w:pPr>
    </w:p>
    <w:p w14:paraId="43142521">
      <w:pPr>
        <w:jc w:val="center"/>
        <w:rPr>
          <w:sz w:val="36"/>
          <w:szCs w:val="24"/>
          <w:lang w:val="en-US"/>
        </w:rPr>
      </w:pPr>
    </w:p>
    <w:p w14:paraId="16E9AAD5">
      <w:pPr>
        <w:jc w:val="center"/>
        <w:rPr>
          <w:sz w:val="36"/>
          <w:szCs w:val="24"/>
          <w:lang w:val="en-US"/>
        </w:rPr>
      </w:pPr>
    </w:p>
    <w:p w14:paraId="6D2EDF4A">
      <w:pPr>
        <w:jc w:val="center"/>
        <w:rPr>
          <w:sz w:val="36"/>
          <w:szCs w:val="24"/>
          <w:lang w:val="en-US"/>
        </w:rPr>
      </w:pPr>
    </w:p>
    <w:p w14:paraId="530E58F1">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A4C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3453D1F">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2783956">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桃江县建设投资审计中心</w:t>
            </w:r>
          </w:p>
        </w:tc>
      </w:tr>
    </w:tbl>
    <w:p w14:paraId="76926AF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A95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3D7AEEE">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6A2E6EF">
            <w:pPr>
              <w:keepNext w:val="0"/>
              <w:keepLines w:val="0"/>
              <w:widowControl/>
              <w:suppressLineNumbers w:val="0"/>
              <w:jc w:val="left"/>
              <w:rPr>
                <w:kern w:val="0"/>
                <w:sz w:val="20"/>
                <w:szCs w:val="20"/>
                <w:bdr w:val="none" w:color="auto" w:sz="0" w:space="0"/>
                <w:lang w:val="en-US"/>
              </w:rPr>
            </w:pPr>
          </w:p>
        </w:tc>
      </w:tr>
    </w:tbl>
    <w:p w14:paraId="7523C485">
      <w:pPr>
        <w:ind w:left="0" w:firstLine="723" w:firstLineChars="300"/>
        <w:rPr>
          <w:rFonts w:hint="eastAsia" w:ascii="黑体" w:hAnsi="宋体" w:eastAsia="黑体" w:cs="黑体"/>
          <w:b/>
          <w:bCs/>
          <w:sz w:val="24"/>
          <w:szCs w:val="24"/>
          <w:u w:val="single"/>
          <w:lang w:val="en-US"/>
        </w:rPr>
      </w:pPr>
    </w:p>
    <w:p w14:paraId="168FB872">
      <w:pPr>
        <w:jc w:val="center"/>
        <w:rPr>
          <w:rFonts w:hint="eastAsia" w:ascii="黑体" w:hAnsi="宋体" w:eastAsia="黑体" w:cs="黑体"/>
          <w:b/>
          <w:bCs/>
          <w:sz w:val="30"/>
          <w:szCs w:val="24"/>
          <w:u w:val="single"/>
          <w:lang w:val="en-US"/>
        </w:rPr>
      </w:pPr>
    </w:p>
    <w:p w14:paraId="4D1EB24C">
      <w:pPr>
        <w:jc w:val="center"/>
        <w:rPr>
          <w:rFonts w:hint="eastAsia" w:ascii="黑体" w:hAnsi="宋体" w:eastAsia="黑体" w:cs="黑体"/>
          <w:b/>
          <w:bCs/>
          <w:sz w:val="30"/>
          <w:szCs w:val="24"/>
          <w:u w:val="single"/>
          <w:lang w:val="en-US"/>
        </w:rPr>
      </w:pPr>
    </w:p>
    <w:p w14:paraId="452EC8A6">
      <w:pPr>
        <w:jc w:val="center"/>
        <w:rPr>
          <w:u w:val="single"/>
          <w:lang w:val="en-US"/>
        </w:rPr>
      </w:pPr>
    </w:p>
    <w:p w14:paraId="7CB1B587">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9D32F83">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1BC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3187D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E6AD9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DCDA1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309A9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4FA43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20A5F7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60007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3A04881">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桃江县建设投资审计中心</w:t>
            </w:r>
          </w:p>
        </w:tc>
      </w:tr>
      <w:tr w14:paraId="761A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B45C8A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D7BC2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11F3A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156A785">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为县审计局提供会计与审计服务 对全县政府投融资重点建设项目跟踪审计 政府投融资（或为主）竣工建设项目审计 县属建设项目预决算及资金来源和使用情况审计监督 政府投资项目相关建设、勘察、设计、施工、监理、供货等单位取得政府投资真实性、合法性审计 专项审计或审计调查 审计项目结论性法律文书草拟、送达及审计决定执行 被审计单位所查出问题整改检查督促落实</w:t>
            </w:r>
          </w:p>
        </w:tc>
      </w:tr>
      <w:tr w14:paraId="172F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AD3F28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0862A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8F14AC0">
            <w:pPr>
              <w:jc w:val="left"/>
            </w:pPr>
            <w:r>
              <w:rPr>
                <w:rStyle w:val="15"/>
                <w:rFonts w:hint="eastAsia" w:ascii="楷体_GB2312" w:eastAsia="楷体_GB2312" w:cs="楷体_GB2312"/>
                <w:sz w:val="28"/>
                <w:szCs w:val="28"/>
                <w:bdr w:val="none" w:color="auto" w:sz="0" w:space="0"/>
                <w:lang w:val="en-US"/>
              </w:rPr>
              <w:t>桃江县桃花江镇资江路26号</w:t>
            </w:r>
          </w:p>
        </w:tc>
      </w:tr>
      <w:tr w14:paraId="4C64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15434B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859B3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93BED45">
            <w:pPr>
              <w:jc w:val="left"/>
            </w:pPr>
            <w:r>
              <w:rPr>
                <w:rStyle w:val="15"/>
                <w:rFonts w:hint="eastAsia" w:ascii="楷体_GB2312" w:eastAsia="楷体_GB2312" w:cs="楷体_GB2312"/>
                <w:sz w:val="28"/>
                <w:szCs w:val="28"/>
                <w:bdr w:val="none" w:color="auto" w:sz="0" w:space="0"/>
                <w:lang w:val="en-US"/>
              </w:rPr>
              <w:t>罗阳</w:t>
            </w:r>
          </w:p>
        </w:tc>
      </w:tr>
      <w:tr w14:paraId="3F29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302C3F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7D3D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1C0B8DD">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2</w:t>
            </w:r>
            <w:r>
              <w:rPr>
                <w:rStyle w:val="15"/>
                <w:rFonts w:hint="eastAsia" w:ascii="楷体_GB2312" w:eastAsia="楷体_GB2312" w:cs="楷体_GB2312"/>
                <w:sz w:val="28"/>
                <w:szCs w:val="28"/>
                <w:bdr w:val="none" w:color="auto" w:sz="0" w:space="0"/>
              </w:rPr>
              <w:t>（万元）</w:t>
            </w:r>
          </w:p>
        </w:tc>
      </w:tr>
      <w:tr w14:paraId="5B54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28BEB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C6F6A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929AEB4">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w:t>
            </w:r>
          </w:p>
        </w:tc>
      </w:tr>
      <w:tr w14:paraId="6D60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C706A7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5CA41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2ADBB3A">
            <w:pPr>
              <w:jc w:val="left"/>
            </w:pPr>
            <w:r>
              <w:rPr>
                <w:rStyle w:val="15"/>
                <w:rFonts w:hint="eastAsia" w:ascii="楷体_GB2312" w:eastAsia="楷体_GB2312" w:cs="楷体_GB2312"/>
                <w:sz w:val="28"/>
                <w:szCs w:val="28"/>
                <w:bdr w:val="none" w:color="auto" w:sz="0" w:space="0"/>
                <w:lang w:val="en-US"/>
              </w:rPr>
              <w:t>桃江县审计局</w:t>
            </w:r>
          </w:p>
        </w:tc>
      </w:tr>
      <w:tr w14:paraId="1B48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6528DB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3F9EC9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3B7A75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E807ECC">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6251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9EB18A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CBBCBCA">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9A75092">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A8F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EAC688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116B0F7">
            <w:pPr>
              <w:jc w:val="center"/>
              <w:rPr>
                <w:sz w:val="32"/>
                <w:szCs w:val="24"/>
                <w:bdr w:val="none" w:color="auto" w:sz="0" w:space="0"/>
                <w:lang w:val="en-US"/>
              </w:rPr>
            </w:pPr>
            <w:r>
              <w:rPr>
                <w:rStyle w:val="14"/>
                <w:sz w:val="32"/>
                <w:szCs w:val="24"/>
                <w:bdr w:val="none" w:color="auto" w:sz="0" w:space="0"/>
                <w:lang w:val="en-US"/>
              </w:rPr>
              <w:t>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088E405">
            <w:pPr>
              <w:jc w:val="center"/>
            </w:pPr>
            <w:r>
              <w:rPr>
                <w:rStyle w:val="15"/>
                <w:sz w:val="32"/>
                <w:szCs w:val="32"/>
                <w:bdr w:val="none" w:color="auto" w:sz="0" w:space="0"/>
                <w:lang w:val="en-US"/>
              </w:rPr>
              <w:t>2</w:t>
            </w:r>
          </w:p>
        </w:tc>
      </w:tr>
      <w:tr w14:paraId="46FC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A60830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41766BD">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66005A0">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BD56897">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18</w:t>
            </w:r>
          </w:p>
        </w:tc>
      </w:tr>
      <w:tr w14:paraId="1E17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E79E5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05088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62687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E0C11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10A5E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A58B2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D52C0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FD4BE2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161A096">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无</w:t>
            </w:r>
          </w:p>
        </w:tc>
      </w:tr>
      <w:tr w14:paraId="4470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27897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DECE4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7C030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B1E877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6746D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092CF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3D4A5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15E9952">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AE11B8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2023年，我中心以服务大局突出重点为目的主要开展了桃江县人民医院南院院区建设项目—门诊医技楼土建及外装饰工程竣工决算审计、桃江灰山港工业集中区污水处理厂EPC+O（设计、采购、施工+运营）总承包项目竣工决算审计、桃花江镇政府公租房建设设计、采购、施工总承包（EPC）项目竣工决算审计、桃花江镇等10个乡镇高标准农田建设项目（二〇二一年）竣工决算审计、乡镇污水处理及配套管网建设PPP项目竣工决算审计；桃江县鲇鱼港电排泵站提质改造工程设计、采购、施工总承包（EPC）项目概算调整审计；桃江县人民医院南院院区建设PPP项目跟踪审计、桃江县城市防洪PPP项目跟踪审计、桃江县教师发展中心及附属九年一贯制学校PPP项目跟踪审计、智慧桃江PPP建设项目跟踪审计。 </w:t>
            </w:r>
          </w:p>
          <w:p w14:paraId="300E2EC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5C2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B44FC42">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B57792A">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无</w:t>
            </w:r>
          </w:p>
        </w:tc>
      </w:tr>
      <w:tr w14:paraId="0023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D2E6988">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635FC46">
            <w:pPr>
              <w:jc w:val="left"/>
            </w:pPr>
            <w:r>
              <w:rPr>
                <w:rStyle w:val="15"/>
                <w:rFonts w:hint="eastAsia" w:ascii="楷体_GB2312" w:eastAsia="楷体_GB2312" w:cs="楷体_GB2312"/>
                <w:sz w:val="28"/>
                <w:szCs w:val="28"/>
                <w:bdr w:val="none" w:color="auto" w:sz="0" w:space="0"/>
                <w:lang w:val="en-US"/>
              </w:rPr>
              <w:t>无</w:t>
            </w:r>
          </w:p>
        </w:tc>
      </w:tr>
      <w:tr w14:paraId="1F1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85BC78A">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FBC4C3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D7DF11C">
            <w:pPr>
              <w:jc w:val="left"/>
            </w:pPr>
            <w:r>
              <w:rPr>
                <w:rStyle w:val="15"/>
                <w:rFonts w:hint="eastAsia" w:ascii="楷体_GB2312" w:eastAsia="楷体_GB2312" w:cs="楷体_GB2312"/>
                <w:sz w:val="28"/>
                <w:szCs w:val="28"/>
                <w:bdr w:val="none" w:color="auto" w:sz="0" w:space="0"/>
                <w:lang w:val="en-US"/>
              </w:rPr>
              <w:t>无</w:t>
            </w:r>
          </w:p>
        </w:tc>
      </w:tr>
    </w:tbl>
    <w:p w14:paraId="252FD7FE">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1E4C70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759</Words>
  <Characters>818</Characters>
  <Lines>4</Lines>
  <Paragraphs>1</Paragraphs>
  <TotalTime>45456.4375000016</TotalTime>
  <ScaleCrop>false</ScaleCrop>
  <LinksUpToDate>false</LinksUpToDate>
  <CharactersWithSpaces>861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2024-06-13T02:49:13Z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EEBD0F1FA662489CB13C2A75EFAE32FF_13</vt:lpwstr>
  </property>
</Properties>
</file>