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67653C7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532FEDAB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4"/>
          <w:b/>
          <w:bCs/>
          <w:sz w:val="30"/>
          <w:szCs w:val="30"/>
          <w:lang w:val="en-US"/>
        </w:rPr>
        <w:t>12430922567674989L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3AC65F85">
      <w:pPr>
        <w:jc w:val="right"/>
        <w:rPr>
          <w:lang w:val="en-US"/>
        </w:rPr>
      </w:pPr>
    </w:p>
    <w:p w14:paraId="5F846658">
      <w:pPr>
        <w:jc w:val="right"/>
        <w:rPr>
          <w:lang w:val="en-US"/>
        </w:rPr>
      </w:pPr>
    </w:p>
    <w:p w14:paraId="182B78D0">
      <w:pPr>
        <w:jc w:val="right"/>
        <w:rPr>
          <w:lang w:val="en-US"/>
        </w:rPr>
      </w:pPr>
    </w:p>
    <w:p w14:paraId="5A4C07AD">
      <w:pPr>
        <w:jc w:val="right"/>
        <w:rPr>
          <w:lang w:val="en-US"/>
        </w:rPr>
      </w:pPr>
    </w:p>
    <w:p w14:paraId="0DCEAABD">
      <w:pPr>
        <w:jc w:val="right"/>
        <w:rPr>
          <w:lang w:val="en-US"/>
        </w:rPr>
      </w:pPr>
    </w:p>
    <w:p w14:paraId="03522776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5B4F9C6A">
      <w:pPr>
        <w:jc w:val="center"/>
        <w:rPr>
          <w:rFonts w:eastAsia="黑体"/>
          <w:b/>
          <w:bCs/>
          <w:spacing w:val="30"/>
          <w:lang w:val="en-US"/>
        </w:rPr>
      </w:pPr>
    </w:p>
    <w:p w14:paraId="17628930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4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514E57FB">
      <w:pPr>
        <w:jc w:val="center"/>
        <w:rPr>
          <w:sz w:val="36"/>
          <w:szCs w:val="24"/>
          <w:lang w:val="en-US"/>
        </w:rPr>
      </w:pPr>
    </w:p>
    <w:p w14:paraId="4CA5873B">
      <w:pPr>
        <w:jc w:val="center"/>
        <w:rPr>
          <w:sz w:val="36"/>
          <w:szCs w:val="24"/>
          <w:lang w:val="en-US"/>
        </w:rPr>
      </w:pPr>
    </w:p>
    <w:p w14:paraId="115D62B7">
      <w:pPr>
        <w:jc w:val="center"/>
        <w:rPr>
          <w:sz w:val="36"/>
          <w:szCs w:val="24"/>
          <w:lang w:val="en-US"/>
        </w:rPr>
      </w:pPr>
    </w:p>
    <w:p w14:paraId="60272D0A">
      <w:pPr>
        <w:jc w:val="center"/>
        <w:rPr>
          <w:sz w:val="36"/>
          <w:szCs w:val="24"/>
          <w:lang w:val="en-US"/>
        </w:rPr>
      </w:pPr>
    </w:p>
    <w:p w14:paraId="56413E45">
      <w:pPr>
        <w:jc w:val="center"/>
        <w:rPr>
          <w:sz w:val="36"/>
          <w:szCs w:val="24"/>
          <w:lang w:val="en-US"/>
        </w:rPr>
      </w:pPr>
    </w:p>
    <w:p w14:paraId="1C1C2BDC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27CB7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3E11E4EE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399CAC7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桃江县救助站</w:t>
            </w:r>
          </w:p>
        </w:tc>
      </w:tr>
    </w:tbl>
    <w:p w14:paraId="324E6697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239BF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49A8F74A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17BC446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4650F9AD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47AB0B9E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203AA6E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0A2395B">
      <w:pPr>
        <w:jc w:val="center"/>
        <w:rPr>
          <w:u w:val="single"/>
          <w:lang w:val="en-US"/>
        </w:rPr>
      </w:pPr>
    </w:p>
    <w:p w14:paraId="65776A37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0B5FB28A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20BD4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11C2A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727BA01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21147B8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60DE2E1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49234BF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52FF52C5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4245C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18FEA7A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桃江县救助站</w:t>
            </w:r>
          </w:p>
        </w:tc>
      </w:tr>
      <w:tr w14:paraId="3CE60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15E78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26F9C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2CD5B1F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26652A5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 xml:space="preserve">提供收容遣送服务，弘扬救助精神。 孤儿与弃婴收养 家庭无力照管残疾儿童收养 </w:t>
            </w:r>
          </w:p>
        </w:tc>
      </w:tr>
      <w:tr w14:paraId="227E9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87BF2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5B672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8797EAF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桃江县桃花江镇七星北路114-3号</w:t>
            </w:r>
          </w:p>
        </w:tc>
      </w:tr>
      <w:tr w14:paraId="691E2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55837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51C80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C5913EE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江浪秋</w:t>
            </w:r>
          </w:p>
        </w:tc>
      </w:tr>
      <w:tr w14:paraId="3976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A760E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69676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A3BC474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69.61</w:t>
            </w: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08E2F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75281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6841B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8EED610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财政补助（全额拨款）</w:t>
            </w:r>
          </w:p>
        </w:tc>
      </w:tr>
      <w:tr w14:paraId="0E4B5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3F92F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E514E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E021AFD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桃江县民政局</w:t>
            </w:r>
          </w:p>
        </w:tc>
      </w:tr>
      <w:tr w14:paraId="0953F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879D3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1D36601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209A779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F1D859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5F5FF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92737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ACF77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7B9FE2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10874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289E3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8DFE9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69.6153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54F2463">
            <w:pPr>
              <w:jc w:val="center"/>
            </w:pPr>
            <w:r>
              <w:rPr>
                <w:rStyle w:val="16"/>
                <w:sz w:val="32"/>
                <w:szCs w:val="32"/>
                <w:bdr w:val="none" w:color="auto" w:sz="0" w:space="0"/>
                <w:lang w:val="en-US"/>
              </w:rPr>
              <w:t>103.9734</w:t>
            </w:r>
          </w:p>
        </w:tc>
      </w:tr>
      <w:tr w14:paraId="4C379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445279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8CF9A3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桃江县救助站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A0F59E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90ADB85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6</w:t>
            </w:r>
          </w:p>
        </w:tc>
      </w:tr>
      <w:tr w14:paraId="5305D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116B8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7008610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42D7597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7D0B957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0ACD99E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47A39E2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3B4E79F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3EACDF17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3A0AD8D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45D1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D87738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1E4F3C5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50A6380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613D67E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3990216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609AF1B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1307072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49154010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E45935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开展“夏季送清凉”“寒冬送温暖”专项行动，严格实行“先救治、再甄别、后救助”的原则，全年救助流浪乞讨人员258人。开展“科技赋能筑大爱，温情救助守初心”为主题的救助管理机构“开放日”活动，广泛听取民意，增进沟通了解，进一步把救助惠民政策落到实处，从而进一步提高救助管理工作水平。 </w:t>
            </w:r>
          </w:p>
          <w:p w14:paraId="685AB60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26BDA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404700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669A961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72F29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54A197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86EC9AD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34F26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52654AD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7C50A22D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E711211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639ED2DC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47A76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463</Words>
  <Characters>521</Characters>
  <Lines>4</Lines>
  <Paragraphs>1</Paragraphs>
  <TotalTime>45456.6562500016</TotalTime>
  <ScaleCrop>false</ScaleCrop>
  <LinksUpToDate>false</LinksUpToDate>
  <CharactersWithSpaces>560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2024-06-13T08:13:27Z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2CF121B4BB8242888889613E1D4A9F6C_13</vt:lpwstr>
  </property>
</Properties>
</file>