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E01A02">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065C9A6">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12430922587007200W</w:t>
      </w:r>
      <w:r>
        <w:rPr>
          <w:rFonts w:eastAsia="楷体_GB2312"/>
          <w:b/>
          <w:bCs/>
          <w:sz w:val="30"/>
          <w:szCs w:val="24"/>
          <w:lang w:val="en-US"/>
        </w:rPr>
        <w:t xml:space="preserve">   </w:t>
      </w:r>
    </w:p>
    <w:p w14:paraId="1F0C2BEC">
      <w:pPr>
        <w:jc w:val="right"/>
        <w:rPr>
          <w:lang w:val="en-US"/>
        </w:rPr>
      </w:pPr>
    </w:p>
    <w:p w14:paraId="3405CC29">
      <w:pPr>
        <w:jc w:val="right"/>
        <w:rPr>
          <w:lang w:val="en-US"/>
        </w:rPr>
      </w:pPr>
    </w:p>
    <w:p w14:paraId="1D44F456">
      <w:pPr>
        <w:jc w:val="right"/>
        <w:rPr>
          <w:lang w:val="en-US"/>
        </w:rPr>
      </w:pPr>
    </w:p>
    <w:p w14:paraId="7DC1D2D9">
      <w:pPr>
        <w:jc w:val="right"/>
        <w:rPr>
          <w:lang w:val="en-US"/>
        </w:rPr>
      </w:pPr>
    </w:p>
    <w:p w14:paraId="3D6A8307">
      <w:pPr>
        <w:jc w:val="right"/>
        <w:rPr>
          <w:lang w:val="en-US"/>
        </w:rPr>
      </w:pPr>
    </w:p>
    <w:p w14:paraId="0EC253A5">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B02878D">
      <w:pPr>
        <w:jc w:val="center"/>
        <w:rPr>
          <w:rFonts w:eastAsia="黑体"/>
          <w:b/>
          <w:bCs/>
          <w:spacing w:val="30"/>
          <w:lang w:val="en-US"/>
        </w:rPr>
      </w:pPr>
    </w:p>
    <w:p w14:paraId="5B3CA248">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3C8EA200">
      <w:pPr>
        <w:jc w:val="center"/>
        <w:rPr>
          <w:sz w:val="36"/>
          <w:szCs w:val="24"/>
          <w:lang w:val="en-US"/>
        </w:rPr>
      </w:pPr>
    </w:p>
    <w:p w14:paraId="7E0FB92C">
      <w:pPr>
        <w:jc w:val="center"/>
        <w:rPr>
          <w:sz w:val="36"/>
          <w:szCs w:val="24"/>
          <w:lang w:val="en-US"/>
        </w:rPr>
      </w:pPr>
    </w:p>
    <w:p w14:paraId="70D715BB">
      <w:pPr>
        <w:jc w:val="center"/>
        <w:rPr>
          <w:sz w:val="36"/>
          <w:szCs w:val="24"/>
          <w:lang w:val="en-US"/>
        </w:rPr>
      </w:pPr>
    </w:p>
    <w:p w14:paraId="6C9E8F32">
      <w:pPr>
        <w:jc w:val="center"/>
        <w:rPr>
          <w:sz w:val="36"/>
          <w:szCs w:val="24"/>
          <w:lang w:val="en-US"/>
        </w:rPr>
      </w:pPr>
    </w:p>
    <w:p w14:paraId="3CF94008">
      <w:pPr>
        <w:jc w:val="center"/>
        <w:rPr>
          <w:sz w:val="36"/>
          <w:szCs w:val="24"/>
          <w:lang w:val="en-US"/>
        </w:rPr>
      </w:pPr>
    </w:p>
    <w:p w14:paraId="675B23F9">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78B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2197576">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9D4DFB5">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桃江县教育招生考试中心</w:t>
            </w:r>
          </w:p>
        </w:tc>
      </w:tr>
    </w:tbl>
    <w:p w14:paraId="20B144C2">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815C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3495C59A">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6C9E11C">
            <w:pPr>
              <w:keepNext w:val="0"/>
              <w:keepLines w:val="0"/>
              <w:widowControl/>
              <w:suppressLineNumbers w:val="0"/>
              <w:jc w:val="left"/>
              <w:rPr>
                <w:kern w:val="0"/>
                <w:sz w:val="20"/>
                <w:szCs w:val="20"/>
                <w:bdr w:val="none" w:color="auto" w:sz="0" w:space="0"/>
                <w:lang w:val="en-US"/>
              </w:rPr>
            </w:pPr>
          </w:p>
        </w:tc>
      </w:tr>
    </w:tbl>
    <w:p w14:paraId="525C853C">
      <w:pPr>
        <w:ind w:left="0" w:firstLine="723" w:firstLineChars="300"/>
        <w:rPr>
          <w:rFonts w:hint="eastAsia" w:ascii="黑体" w:hAnsi="宋体" w:eastAsia="黑体" w:cs="黑体"/>
          <w:b/>
          <w:bCs/>
          <w:sz w:val="24"/>
          <w:szCs w:val="24"/>
          <w:u w:val="single"/>
          <w:lang w:val="en-US"/>
        </w:rPr>
      </w:pPr>
    </w:p>
    <w:p w14:paraId="5F7CB558">
      <w:pPr>
        <w:jc w:val="center"/>
        <w:rPr>
          <w:rFonts w:hint="eastAsia" w:ascii="黑体" w:hAnsi="宋体" w:eastAsia="黑体" w:cs="黑体"/>
          <w:b/>
          <w:bCs/>
          <w:sz w:val="30"/>
          <w:szCs w:val="24"/>
          <w:u w:val="single"/>
          <w:lang w:val="en-US"/>
        </w:rPr>
      </w:pPr>
    </w:p>
    <w:p w14:paraId="2D3413C8">
      <w:pPr>
        <w:jc w:val="center"/>
        <w:rPr>
          <w:rFonts w:hint="eastAsia" w:ascii="黑体" w:hAnsi="宋体" w:eastAsia="黑体" w:cs="黑体"/>
          <w:b/>
          <w:bCs/>
          <w:sz w:val="30"/>
          <w:szCs w:val="24"/>
          <w:u w:val="single"/>
          <w:lang w:val="en-US"/>
        </w:rPr>
      </w:pPr>
    </w:p>
    <w:p w14:paraId="5DCBD602">
      <w:pPr>
        <w:jc w:val="center"/>
        <w:rPr>
          <w:u w:val="single"/>
          <w:lang w:val="en-US"/>
        </w:rPr>
      </w:pPr>
    </w:p>
    <w:p w14:paraId="2683C76C">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76285152">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3FA8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50F528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327FF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D0D99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14BA6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73E72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6D0FF86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1392CCB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03E5157">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桃江县教育招生考试中心</w:t>
            </w:r>
          </w:p>
        </w:tc>
      </w:tr>
      <w:tr w14:paraId="2BD9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6E254A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32E72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4AE8F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1BDE93B">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组织实施全县普通高考、成人高考、自学考试、英语等级考试、普通高中学业水平考试、普通初中毕业学业考试的报名、图像采集、资料征订、体检、组考、组档、录取等工作，其他相关社会服务</w:t>
            </w:r>
          </w:p>
        </w:tc>
      </w:tr>
      <w:tr w14:paraId="6458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78FE40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AC887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8B1730E">
            <w:pPr>
              <w:jc w:val="left"/>
            </w:pPr>
            <w:r>
              <w:rPr>
                <w:rStyle w:val="20"/>
                <w:rFonts w:hint="eastAsia" w:ascii="楷体_GB2312" w:eastAsia="楷体_GB2312" w:cs="楷体_GB2312"/>
                <w:sz w:val="28"/>
                <w:szCs w:val="28"/>
                <w:bdr w:val="none" w:color="auto" w:sz="0" w:space="0"/>
                <w:lang w:val="en-US"/>
              </w:rPr>
              <w:t>桃江县桃花江镇金凤路西侧，光明路与胜利路交汇处。</w:t>
            </w:r>
          </w:p>
        </w:tc>
      </w:tr>
      <w:tr w14:paraId="1C9B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3BBA6C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24B79A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940226C">
            <w:pPr>
              <w:jc w:val="left"/>
            </w:pPr>
            <w:r>
              <w:rPr>
                <w:rStyle w:val="20"/>
                <w:rFonts w:hint="eastAsia" w:ascii="楷体_GB2312" w:eastAsia="楷体_GB2312" w:cs="楷体_GB2312"/>
                <w:sz w:val="28"/>
                <w:szCs w:val="28"/>
                <w:bdr w:val="none" w:color="auto" w:sz="0" w:space="0"/>
                <w:lang w:val="en-US"/>
              </w:rPr>
              <w:t>周卫东</w:t>
            </w:r>
          </w:p>
        </w:tc>
      </w:tr>
      <w:tr w14:paraId="412C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258835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28E65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7BA99B7">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94.63</w:t>
            </w:r>
            <w:r>
              <w:rPr>
                <w:rStyle w:val="20"/>
                <w:rFonts w:hint="eastAsia" w:ascii="楷体_GB2312" w:eastAsia="楷体_GB2312" w:cs="楷体_GB2312"/>
                <w:sz w:val="28"/>
                <w:szCs w:val="28"/>
                <w:bdr w:val="none" w:color="auto" w:sz="0" w:space="0"/>
              </w:rPr>
              <w:t>（万元）</w:t>
            </w:r>
          </w:p>
        </w:tc>
      </w:tr>
      <w:tr w14:paraId="236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871744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67E4A4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2DE33DE">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财政补助（全额拨款）</w:t>
            </w:r>
          </w:p>
        </w:tc>
      </w:tr>
      <w:tr w14:paraId="5094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AA1254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32C95F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0963343">
            <w:pPr>
              <w:jc w:val="left"/>
            </w:pPr>
            <w:r>
              <w:rPr>
                <w:rStyle w:val="20"/>
                <w:rFonts w:hint="eastAsia" w:ascii="楷体_GB2312" w:eastAsia="楷体_GB2312" w:cs="楷体_GB2312"/>
                <w:sz w:val="28"/>
                <w:szCs w:val="28"/>
                <w:bdr w:val="none" w:color="auto" w:sz="0" w:space="0"/>
                <w:lang w:val="en-US"/>
              </w:rPr>
              <w:t>桃江县教育局</w:t>
            </w:r>
          </w:p>
        </w:tc>
      </w:tr>
      <w:tr w14:paraId="465C0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3B0C4C5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25AC1E3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0DEB91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119A11E">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077C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F05982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6E79A96">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1277C86">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50DC1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608D28F">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ED26D63">
            <w:pPr>
              <w:jc w:val="center"/>
              <w:rPr>
                <w:sz w:val="32"/>
                <w:szCs w:val="24"/>
                <w:bdr w:val="none" w:color="auto" w:sz="0" w:space="0"/>
                <w:lang w:val="en-US"/>
              </w:rPr>
            </w:pPr>
            <w:r>
              <w:rPr>
                <w:rStyle w:val="19"/>
                <w:sz w:val="32"/>
                <w:szCs w:val="24"/>
                <w:bdr w:val="none" w:color="auto" w:sz="0" w:space="0"/>
                <w:lang w:val="en-US"/>
              </w:rPr>
              <w:t>109</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6ED29250">
            <w:pPr>
              <w:jc w:val="center"/>
            </w:pPr>
            <w:r>
              <w:rPr>
                <w:rStyle w:val="20"/>
                <w:sz w:val="32"/>
                <w:szCs w:val="32"/>
                <w:bdr w:val="none" w:color="auto" w:sz="0" w:space="0"/>
                <w:lang w:val="en-US"/>
              </w:rPr>
              <w:t>127.6</w:t>
            </w:r>
          </w:p>
        </w:tc>
      </w:tr>
      <w:tr w14:paraId="2356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0529F5B">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1DD6FDA">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411E9A91">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01A619E3">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9</w:t>
            </w:r>
          </w:p>
        </w:tc>
      </w:tr>
      <w:tr w14:paraId="2A74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119D9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05ECF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404F4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6B5518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69D53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A28B60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3089F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37BC63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176D16F">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严格按照《条例》和实施细则的相关规定执行。</w:t>
            </w:r>
          </w:p>
        </w:tc>
      </w:tr>
      <w:tr w14:paraId="0294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E8895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1A09A0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7630F4C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3C41E8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28F216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6F7B98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FB6DFE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02B4C20">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34B931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一、普通高校招生统考工作。1、组织进行了高考报名体检工作。2、组织考生到长沙参加了音体美等专业统考高水平运动员及省内体育特长生（集体项目）专项测试体育竞赛优胜者统一测试、徒手画加试。 3、汇总并上报了各项优惠加分材料。4、组织进行了文化统考工作。5.公布了考生的高考成绩及录取最低控制分数线，组织考生进行了查分。 6、组织考生填报了本科提前批、本科批、高职专科批志愿及各批次的征集志愿。7、组织军校考生到长沙参加了面试和复检。8、组织整理、发放了考生的纸介质档案。9、协助了招生录取工作。二、二、普通高中学业水平考试工作。1、上半年，组织进行了普通高中学业水平考试的报名、组考、成绩发布工作 2、下半年，组织进行了普通高中学业水平考试市级统考工作。三、普通初中毕业学业水平考试工作。1、组织进行了八年级考生、九年级考生的组考工作。2、协助了中招录取工作。3、组织进行了语文、数学、历史、地理四科中考评卷工作。 四、高教自学考试及英语等级考试工作。1.组织进行了两次自考的报考和送考工作。2、组织进行了两次自考毕业证的办理工作。3、组织进行了一次英语等级考试的报考和组考工作。五、成人高校招生统考工作。、组织进行了成招报名工作。2、组织进行了成招组考工作。 3、协助进行了成招录取工作。六、飞行学员招生工作。 1、组织学生到益阳参加了空军和南航的初检。2、组织初检合格学生到长沙参加了空军和南航的全面检测。3、协助进行了空军和南航的政审工作。4、组织全面检测合格学生到长沙参加了空军和南航的复查。5、协助空军飞行学员、南航飞行学员的录取工作。七、考试资料供应工作。 组织征订和发放了高考考试工具以及考试大纲，并坚持从正规渠道采购和及时付款结账。八、日常管理工作。 1、坚持了各类学习。2、健全了各种制度。3、完成了日常工作。 </w:t>
            </w:r>
          </w:p>
          <w:p w14:paraId="509CB2B3">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4A4C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D25B3E5">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289E4CB">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无</w:t>
            </w:r>
          </w:p>
        </w:tc>
      </w:tr>
      <w:tr w14:paraId="4313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5C3E5FF">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B94A2B1">
            <w:pPr>
              <w:jc w:val="left"/>
            </w:pPr>
            <w:r>
              <w:rPr>
                <w:rStyle w:val="20"/>
                <w:rFonts w:hint="eastAsia" w:ascii="楷体_GB2312" w:eastAsia="楷体_GB2312" w:cs="楷体_GB2312"/>
                <w:sz w:val="28"/>
                <w:szCs w:val="28"/>
                <w:bdr w:val="none" w:color="auto" w:sz="0" w:space="0"/>
                <w:lang w:val="en-US"/>
              </w:rPr>
              <w:t>1.绩效情况: 接受桃江县教育局绩效考评,被评为“一类单位”2.投诉情况:无。</w:t>
            </w:r>
          </w:p>
        </w:tc>
      </w:tr>
      <w:tr w14:paraId="2695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34D5EC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31F05DD">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E15C760">
            <w:pPr>
              <w:jc w:val="left"/>
            </w:pPr>
            <w:r>
              <w:rPr>
                <w:rStyle w:val="20"/>
                <w:rFonts w:hint="eastAsia" w:ascii="楷体_GB2312" w:eastAsia="楷体_GB2312" w:cs="楷体_GB2312"/>
                <w:sz w:val="28"/>
                <w:szCs w:val="28"/>
                <w:bdr w:val="none" w:color="auto" w:sz="0" w:space="0"/>
                <w:lang w:val="en-US"/>
              </w:rPr>
              <w:t>无</w:t>
            </w:r>
          </w:p>
        </w:tc>
      </w:tr>
    </w:tbl>
    <w:p w14:paraId="68F499A2">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C8B55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hps"/>
    <w:basedOn w:val="13"/>
    <w:uiPriority w:val="0"/>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1199</Words>
  <Characters>1248</Characters>
  <Lines>4</Lines>
  <Paragraphs>1</Paragraphs>
  <TotalTime>45456.6562500016</TotalTime>
  <ScaleCrop>false</ScaleCrop>
  <LinksUpToDate>false</LinksUpToDate>
  <CharactersWithSpaces>1293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2024-06-13T07:45:08Z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F672BA97E73A4F3D917B663ECB014150_13</vt:lpwstr>
  </property>
</Properties>
</file>