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61A0EC8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3639EF61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6"/>
          <w:b/>
          <w:bCs/>
          <w:sz w:val="30"/>
          <w:szCs w:val="30"/>
          <w:lang w:val="en-US"/>
        </w:rPr>
        <w:t>12430922447034485X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19C9239C">
      <w:pPr>
        <w:jc w:val="right"/>
        <w:rPr>
          <w:lang w:val="en-US"/>
        </w:rPr>
      </w:pPr>
    </w:p>
    <w:p w14:paraId="1DB26B75">
      <w:pPr>
        <w:jc w:val="right"/>
        <w:rPr>
          <w:lang w:val="en-US"/>
        </w:rPr>
      </w:pPr>
    </w:p>
    <w:p w14:paraId="4C754922">
      <w:pPr>
        <w:jc w:val="right"/>
        <w:rPr>
          <w:lang w:val="en-US"/>
        </w:rPr>
      </w:pPr>
    </w:p>
    <w:p w14:paraId="44C411FE">
      <w:pPr>
        <w:jc w:val="right"/>
        <w:rPr>
          <w:lang w:val="en-US"/>
        </w:rPr>
      </w:pPr>
    </w:p>
    <w:p w14:paraId="5AF69B38">
      <w:pPr>
        <w:jc w:val="right"/>
        <w:rPr>
          <w:lang w:val="en-US"/>
        </w:rPr>
      </w:pPr>
    </w:p>
    <w:p w14:paraId="18F00083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27D1D190">
      <w:pPr>
        <w:jc w:val="center"/>
        <w:rPr>
          <w:rFonts w:eastAsia="黑体"/>
          <w:b/>
          <w:bCs/>
          <w:spacing w:val="30"/>
          <w:lang w:val="en-US"/>
        </w:rPr>
      </w:pPr>
    </w:p>
    <w:p w14:paraId="4BE4F2C4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6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44D214BF">
      <w:pPr>
        <w:jc w:val="center"/>
        <w:rPr>
          <w:sz w:val="36"/>
          <w:szCs w:val="24"/>
          <w:lang w:val="en-US"/>
        </w:rPr>
      </w:pPr>
    </w:p>
    <w:p w14:paraId="5BF82BAB">
      <w:pPr>
        <w:jc w:val="center"/>
        <w:rPr>
          <w:sz w:val="36"/>
          <w:szCs w:val="24"/>
          <w:lang w:val="en-US"/>
        </w:rPr>
      </w:pPr>
    </w:p>
    <w:p w14:paraId="52F87E55">
      <w:pPr>
        <w:jc w:val="center"/>
        <w:rPr>
          <w:sz w:val="36"/>
          <w:szCs w:val="24"/>
          <w:lang w:val="en-US"/>
        </w:rPr>
      </w:pPr>
    </w:p>
    <w:p w14:paraId="0CF55FAE">
      <w:pPr>
        <w:jc w:val="center"/>
        <w:rPr>
          <w:sz w:val="36"/>
          <w:szCs w:val="24"/>
          <w:lang w:val="en-US"/>
        </w:rPr>
      </w:pPr>
    </w:p>
    <w:p w14:paraId="41B724E3">
      <w:pPr>
        <w:jc w:val="center"/>
        <w:rPr>
          <w:sz w:val="36"/>
          <w:szCs w:val="24"/>
          <w:lang w:val="en-US"/>
        </w:rPr>
      </w:pPr>
    </w:p>
    <w:p w14:paraId="5E658864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48755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5EF7BB32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535058B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桃江县库区移民事务中心</w:t>
            </w:r>
          </w:p>
        </w:tc>
      </w:tr>
    </w:tbl>
    <w:p w14:paraId="65883DD3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2FD75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1F8A659C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638E0DB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71BB8DD0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1CAD1E15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0AD3F1A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C54B9AC">
      <w:pPr>
        <w:jc w:val="center"/>
        <w:rPr>
          <w:u w:val="single"/>
          <w:lang w:val="en-US"/>
        </w:rPr>
      </w:pPr>
    </w:p>
    <w:p w14:paraId="39808232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08560B9D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0E0E0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BF15D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2676BA0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1B102E5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1F5EE8C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1250C30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7CD99F1F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C04DD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D6AD7C1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桃江县库区移民事务中心</w:t>
            </w:r>
          </w:p>
        </w:tc>
      </w:tr>
      <w:tr w14:paraId="7C7A3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687EA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B61C2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1ED2437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2E0F562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指导全县大中型水电工程移民开发工作 指导库区.三峡移民安置区的基础设施建设 库区河岸治理 移民生产开发 三峡移民安置及后期扶持</w:t>
            </w:r>
          </w:p>
        </w:tc>
      </w:tr>
      <w:tr w14:paraId="40292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A87FE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46376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B5371EA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桃江县桃花江镇芙蓉路</w:t>
            </w:r>
          </w:p>
        </w:tc>
      </w:tr>
      <w:tr w14:paraId="2B73A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61A85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B41CB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92C5725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薛大为</w:t>
            </w:r>
          </w:p>
        </w:tc>
      </w:tr>
      <w:tr w14:paraId="2C004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377E0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73BFA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BEA1F43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349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419FF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86454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97308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D85EAB9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321A0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F34E2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5D163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B12E3EA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桃江县水利局</w:t>
            </w:r>
          </w:p>
        </w:tc>
      </w:tr>
      <w:tr w14:paraId="45C25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675EB8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006B3050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09403BE8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A70E21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43D6E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1DB89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D1A29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7430CF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7A65D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00E67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1FDFD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sz w:val="32"/>
                <w:szCs w:val="24"/>
                <w:bdr w:val="none" w:color="auto" w:sz="0" w:space="0"/>
                <w:lang w:val="en-US"/>
              </w:rPr>
              <w:t>387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ED189E7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373</w:t>
            </w:r>
          </w:p>
        </w:tc>
      </w:tr>
      <w:tr w14:paraId="3DFB1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A7274E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C41953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无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E142DD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E174087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sz w:val="32"/>
                <w:szCs w:val="24"/>
                <w:bdr w:val="none" w:color="auto" w:sz="0" w:space="0"/>
                <w:lang w:val="en-US"/>
              </w:rPr>
              <w:t>11</w:t>
            </w:r>
          </w:p>
        </w:tc>
      </w:tr>
      <w:tr w14:paraId="0C34C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54C60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538913D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35567DE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134ADC6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4AD6397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2A7448A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57E1B36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1FE524A7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2CBDEC7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已严格按照《条例》和实施细则有关变更登记规定执行</w:t>
            </w:r>
          </w:p>
        </w:tc>
      </w:tr>
      <w:tr w14:paraId="23F0F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BAE078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70E36C9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04CB42B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0F52656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36DCE6E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65BC026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7C47825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7110157D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B241F3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完善基础设施建设。2023年计划完成基础设施建设项目 150个，投入资金1306万元。其中重点移民村建设投入资金204万元，三峡移民专项资金33万元基础设施建设项目6个。遗留问题处理资金65万元基础设施建设项目6个。二批到县资金1004万元，完成基础设施建设项目 129 个。 夯实移民致富基础。2023年共投放产业开发项目资金811万元，扶持产业项目54个，其中整村推进产业项目5个，投入资金196万，三峡移民产业项目1个，投入资金100万，产业示范项目一个投入资金170万。2023年共完成3期农业实用技术培训，共培训移民185人，发放中长期职业教育补助240人，预计发放资金98.6万元；推荐参加省、市中心移民就业技能培训5人。 全力维护和谐稳定。一是坚持下访化解矛盾纠纷。2023年共召开了党组研究信访工作会议5次，接待移民来访30批次105人次，化解移民矛盾诉求6个。二是按时办结网上信访件。全年度办理网上信访件4件。 确保后期扶持到位。一是按时发放移民后扶资金。通过“一卡通”系统发放个人口粮补助761247.76元；移民后扶直补资金，发放人数16465人，共计发放9876600元。二是清理核减移民人数。2022年核减移民128人。 保障移民资金安全。一是抓好党风廉政和作风建设。召开机关党风廉政建设工作大会，由党组书记给全体干职工上了一堂专题廉政党课。二是严格落实项目内审制度。5月份聘请第三方专业机构对2022年15个乡镇2022年实施的226个项目进行资金内审，资金总额为1908.98万元。 </w:t>
            </w:r>
          </w:p>
          <w:p w14:paraId="5EE56FF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39C2E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6DC391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177D2A6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1B607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BBEC71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D85AA50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0F1E0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7BE0326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2A91777D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D49E16E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6699A3FB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680331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hps"/>
    <w:basedOn w:val="13"/>
    <w:uiPriority w:val="0"/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7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936</Words>
  <Characters>1061</Characters>
  <Lines>4</Lines>
  <Paragraphs>1</Paragraphs>
  <TotalTime>45456.4687500016</TotalTime>
  <ScaleCrop>false</ScaleCrop>
  <LinksUpToDate>false</LinksUpToDate>
  <CharactersWithSpaces>1108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2024-06-13T03:39:15Z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D4D84377AD004FADB0A8737AC41B1709_13</vt:lpwstr>
  </property>
</Properties>
</file>