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A544BB4">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21EDDAC0">
      <w:pPr>
        <w:wordWrap w:val="0"/>
        <w:jc w:val="right"/>
        <w:rPr>
          <w:rFonts w:eastAsia="楷体_GB2312"/>
          <w:b/>
          <w:bCs/>
          <w:sz w:val="30"/>
          <w:szCs w:val="24"/>
          <w:lang w:val="en-US"/>
        </w:rPr>
      </w:pPr>
      <w:r>
        <w:rPr>
          <w:rFonts w:eastAsia="楷体_GB2312"/>
          <w:b/>
          <w:bCs/>
          <w:sz w:val="30"/>
          <w:szCs w:val="24"/>
          <w:lang w:val="en-US"/>
        </w:rPr>
        <w:t xml:space="preserve">   </w:t>
      </w:r>
      <w:r>
        <w:rPr>
          <w:rStyle w:val="15"/>
          <w:b/>
          <w:bCs/>
          <w:sz w:val="30"/>
          <w:szCs w:val="30"/>
          <w:lang w:val="en-US"/>
        </w:rPr>
        <w:t>12430922774490525Y</w:t>
      </w:r>
      <w:r>
        <w:rPr>
          <w:rFonts w:eastAsia="楷体_GB2312"/>
          <w:b/>
          <w:bCs/>
          <w:sz w:val="30"/>
          <w:szCs w:val="24"/>
          <w:lang w:val="en-US"/>
        </w:rPr>
        <w:t xml:space="preserve">   </w:t>
      </w:r>
    </w:p>
    <w:p w14:paraId="60B5341A">
      <w:pPr>
        <w:jc w:val="right"/>
        <w:rPr>
          <w:lang w:val="en-US"/>
        </w:rPr>
      </w:pPr>
    </w:p>
    <w:p w14:paraId="503FFDBB">
      <w:pPr>
        <w:jc w:val="right"/>
        <w:rPr>
          <w:lang w:val="en-US"/>
        </w:rPr>
      </w:pPr>
    </w:p>
    <w:p w14:paraId="09E1A53D">
      <w:pPr>
        <w:jc w:val="right"/>
        <w:rPr>
          <w:lang w:val="en-US"/>
        </w:rPr>
      </w:pPr>
    </w:p>
    <w:p w14:paraId="2B0CB4F3">
      <w:pPr>
        <w:jc w:val="right"/>
        <w:rPr>
          <w:lang w:val="en-US"/>
        </w:rPr>
      </w:pPr>
    </w:p>
    <w:p w14:paraId="0DA13C20">
      <w:pPr>
        <w:jc w:val="right"/>
        <w:rPr>
          <w:lang w:val="en-US"/>
        </w:rPr>
      </w:pPr>
    </w:p>
    <w:p w14:paraId="1E4C4F1A">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028D7684">
      <w:pPr>
        <w:jc w:val="center"/>
        <w:rPr>
          <w:rFonts w:eastAsia="黑体"/>
          <w:b/>
          <w:bCs/>
          <w:spacing w:val="30"/>
          <w:lang w:val="en-US"/>
        </w:rPr>
      </w:pPr>
    </w:p>
    <w:p w14:paraId="6A38F381">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5"/>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2EEC31F6">
      <w:pPr>
        <w:jc w:val="center"/>
        <w:rPr>
          <w:sz w:val="36"/>
          <w:szCs w:val="24"/>
          <w:lang w:val="en-US"/>
        </w:rPr>
      </w:pPr>
    </w:p>
    <w:p w14:paraId="67991F0B">
      <w:pPr>
        <w:jc w:val="center"/>
        <w:rPr>
          <w:sz w:val="36"/>
          <w:szCs w:val="24"/>
          <w:lang w:val="en-US"/>
        </w:rPr>
      </w:pPr>
    </w:p>
    <w:p w14:paraId="73450282">
      <w:pPr>
        <w:jc w:val="center"/>
        <w:rPr>
          <w:sz w:val="36"/>
          <w:szCs w:val="24"/>
          <w:lang w:val="en-US"/>
        </w:rPr>
      </w:pPr>
    </w:p>
    <w:p w14:paraId="47732FCF">
      <w:pPr>
        <w:jc w:val="center"/>
        <w:rPr>
          <w:sz w:val="36"/>
          <w:szCs w:val="24"/>
          <w:lang w:val="en-US"/>
        </w:rPr>
      </w:pPr>
    </w:p>
    <w:p w14:paraId="479D5E67">
      <w:pPr>
        <w:jc w:val="center"/>
        <w:rPr>
          <w:sz w:val="36"/>
          <w:szCs w:val="24"/>
          <w:lang w:val="en-US"/>
        </w:rPr>
      </w:pPr>
    </w:p>
    <w:p w14:paraId="19359516">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7438C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2F24091B">
            <w:pPr>
              <w:jc w:val="distribute"/>
            </w:pPr>
            <w:r>
              <w:rPr>
                <w:rStyle w:val="19"/>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7EE1FC51">
            <w:pPr>
              <w:jc w:val="center"/>
              <w:rPr>
                <w:rFonts w:hint="eastAsia" w:ascii="楷体_GB2312" w:eastAsia="楷体_GB2312" w:cs="楷体_GB2312"/>
                <w:sz w:val="32"/>
                <w:szCs w:val="24"/>
                <w:bdr w:val="none" w:color="auto" w:sz="0" w:space="0"/>
                <w:lang w:val="en-US"/>
              </w:rPr>
            </w:pPr>
            <w:r>
              <w:rPr>
                <w:rStyle w:val="16"/>
                <w:rFonts w:hint="eastAsia" w:ascii="楷体_GB2312" w:eastAsia="楷体_GB2312" w:cs="楷体_GB2312"/>
                <w:sz w:val="32"/>
                <w:szCs w:val="24"/>
                <w:bdr w:val="none" w:color="auto" w:sz="0" w:space="0"/>
                <w:lang w:val="en-US"/>
              </w:rPr>
              <w:t>桃江县精神病医院</w:t>
            </w:r>
          </w:p>
        </w:tc>
      </w:tr>
    </w:tbl>
    <w:p w14:paraId="2855081B">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0EA6C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04C65930">
            <w:pPr>
              <w:jc w:val="distribute"/>
            </w:pPr>
            <w:r>
              <w:rPr>
                <w:rStyle w:val="19"/>
                <w:b/>
                <w:bCs/>
                <w:sz w:val="36"/>
                <w:szCs w:val="24"/>
                <w:bdr w:val="none" w:color="auto" w:sz="0" w:space="0"/>
              </w:rPr>
              <w:t>法</w:t>
            </w:r>
            <w:r>
              <w:rPr>
                <w:rStyle w:val="19"/>
                <w:b/>
                <w:bCs/>
                <w:spacing w:val="30"/>
                <w:sz w:val="36"/>
                <w:szCs w:val="24"/>
                <w:bdr w:val="none" w:color="auto" w:sz="0" w:space="0"/>
              </w:rPr>
              <w:t>定代表</w:t>
            </w:r>
            <w:r>
              <w:rPr>
                <w:rStyle w:val="19"/>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61539880">
            <w:pPr>
              <w:keepNext w:val="0"/>
              <w:keepLines w:val="0"/>
              <w:widowControl/>
              <w:suppressLineNumbers w:val="0"/>
              <w:jc w:val="left"/>
              <w:rPr>
                <w:kern w:val="0"/>
                <w:sz w:val="20"/>
                <w:szCs w:val="20"/>
                <w:bdr w:val="none" w:color="auto" w:sz="0" w:space="0"/>
                <w:lang w:val="en-US"/>
              </w:rPr>
            </w:pPr>
          </w:p>
        </w:tc>
      </w:tr>
    </w:tbl>
    <w:p w14:paraId="6619F85C">
      <w:pPr>
        <w:ind w:left="0" w:firstLine="723" w:firstLineChars="300"/>
        <w:rPr>
          <w:rFonts w:hint="eastAsia" w:ascii="黑体" w:hAnsi="宋体" w:eastAsia="黑体" w:cs="黑体"/>
          <w:b/>
          <w:bCs/>
          <w:sz w:val="24"/>
          <w:szCs w:val="24"/>
          <w:u w:val="single"/>
          <w:lang w:val="en-US"/>
        </w:rPr>
      </w:pPr>
    </w:p>
    <w:p w14:paraId="0A3957D6">
      <w:pPr>
        <w:jc w:val="center"/>
        <w:rPr>
          <w:rFonts w:hint="eastAsia" w:ascii="黑体" w:hAnsi="宋体" w:eastAsia="黑体" w:cs="黑体"/>
          <w:b/>
          <w:bCs/>
          <w:sz w:val="30"/>
          <w:szCs w:val="24"/>
          <w:u w:val="single"/>
          <w:lang w:val="en-US"/>
        </w:rPr>
      </w:pPr>
    </w:p>
    <w:p w14:paraId="1F808066">
      <w:pPr>
        <w:jc w:val="center"/>
        <w:rPr>
          <w:rFonts w:hint="eastAsia" w:ascii="黑体" w:hAnsi="宋体" w:eastAsia="黑体" w:cs="黑体"/>
          <w:b/>
          <w:bCs/>
          <w:sz w:val="30"/>
          <w:szCs w:val="24"/>
          <w:u w:val="single"/>
          <w:lang w:val="en-US"/>
        </w:rPr>
      </w:pPr>
    </w:p>
    <w:p w14:paraId="6D150CD9">
      <w:pPr>
        <w:jc w:val="center"/>
        <w:rPr>
          <w:u w:val="single"/>
          <w:lang w:val="en-US"/>
        </w:rPr>
      </w:pPr>
    </w:p>
    <w:p w14:paraId="51AA105E">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31519FBC">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3E40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25CCC53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61B5FAC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07FC354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1D00548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553623A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2871C9F4">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74EE9DD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5A9821A6">
            <w:pPr>
              <w:spacing w:line="320" w:lineRule="exact"/>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桃江县精神病医院（桃江县脑科医院）</w:t>
            </w:r>
          </w:p>
        </w:tc>
      </w:tr>
      <w:tr w14:paraId="4628E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40F5B8F">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842CE4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57287A1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231A6EA">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贯彻执行党和国家有关卫生工作的方针、政策和法律法规；为精神障碍患者提供医疗和护理保健服务；负责重性精神疾病监测管理、效果评估、流行病学调查等工作；开展精神卫生健康教育；负责对县内乡镇医疗机构精神卫生的技术支持、业务指导工作；参与各类突发公共事件、自然灾害中受害人员的心理干预、疏导工作；承担精神疾病信息的收集、整理、报告及分析工作；完成上级和业务主管部门交办的其它工作。</w:t>
            </w:r>
          </w:p>
        </w:tc>
      </w:tr>
      <w:tr w14:paraId="25099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CF5FF13">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0B27DE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1173C594">
            <w:pPr>
              <w:jc w:val="left"/>
            </w:pPr>
            <w:r>
              <w:rPr>
                <w:rStyle w:val="20"/>
                <w:rFonts w:hint="eastAsia" w:ascii="楷体_GB2312" w:eastAsia="楷体_GB2312" w:cs="楷体_GB2312"/>
                <w:sz w:val="28"/>
                <w:szCs w:val="28"/>
                <w:bdr w:val="none" w:color="auto" w:sz="0" w:space="0"/>
                <w:lang w:val="en-US"/>
              </w:rPr>
              <w:t>桃江县桃花江镇金盆北路旁边</w:t>
            </w:r>
          </w:p>
        </w:tc>
      </w:tr>
      <w:tr w14:paraId="06343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72777C0">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3F77E0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C07DDB9">
            <w:pPr>
              <w:jc w:val="left"/>
            </w:pPr>
            <w:r>
              <w:rPr>
                <w:rStyle w:val="20"/>
                <w:rFonts w:hint="eastAsia" w:ascii="楷体_GB2312" w:eastAsia="楷体_GB2312" w:cs="楷体_GB2312"/>
                <w:sz w:val="28"/>
                <w:szCs w:val="28"/>
                <w:bdr w:val="none" w:color="auto" w:sz="0" w:space="0"/>
                <w:lang w:val="en-US"/>
              </w:rPr>
              <w:t>刘敏</w:t>
            </w:r>
          </w:p>
        </w:tc>
      </w:tr>
      <w:tr w14:paraId="34587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C35BFDF">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A724DF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6D9C482">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2490.49</w:t>
            </w:r>
            <w:r>
              <w:rPr>
                <w:rStyle w:val="20"/>
                <w:rFonts w:hint="eastAsia" w:ascii="楷体_GB2312" w:eastAsia="楷体_GB2312" w:cs="楷体_GB2312"/>
                <w:sz w:val="28"/>
                <w:szCs w:val="28"/>
                <w:bdr w:val="none" w:color="auto" w:sz="0" w:space="0"/>
              </w:rPr>
              <w:t>（万元）</w:t>
            </w:r>
          </w:p>
        </w:tc>
      </w:tr>
      <w:tr w14:paraId="0FC9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BC7B0ED">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DC0EC6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12C0CC04">
            <w:pPr>
              <w:jc w:val="left"/>
              <w:rPr>
                <w:sz w:val="32"/>
                <w:szCs w:val="32"/>
                <w:bdr w:val="none" w:color="auto" w:sz="0" w:space="0"/>
                <w:lang w:val="en-US"/>
              </w:rPr>
            </w:pPr>
            <w:r>
              <w:rPr>
                <w:rStyle w:val="20"/>
                <w:rFonts w:hint="eastAsia" w:ascii="楷体_GB2312" w:eastAsia="楷体_GB2312" w:cs="楷体_GB2312"/>
                <w:sz w:val="28"/>
                <w:szCs w:val="28"/>
                <w:bdr w:val="none" w:color="auto" w:sz="0" w:space="0"/>
                <w:lang w:val="en-US"/>
              </w:rPr>
              <w:t>财政补助（财政补助(差额)）</w:t>
            </w:r>
          </w:p>
        </w:tc>
      </w:tr>
      <w:tr w14:paraId="74F9D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190E747">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9CF57C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51579091">
            <w:pPr>
              <w:jc w:val="left"/>
            </w:pPr>
            <w:r>
              <w:rPr>
                <w:rStyle w:val="20"/>
                <w:rFonts w:hint="eastAsia" w:ascii="楷体_GB2312" w:eastAsia="楷体_GB2312" w:cs="楷体_GB2312"/>
                <w:sz w:val="28"/>
                <w:szCs w:val="28"/>
                <w:bdr w:val="none" w:color="auto" w:sz="0" w:space="0"/>
                <w:lang w:val="en-US"/>
              </w:rPr>
              <w:t>桃江县卫生健康局</w:t>
            </w:r>
          </w:p>
        </w:tc>
      </w:tr>
      <w:tr w14:paraId="67736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1A365C9E">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444BB6D2">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14D7EE6D">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4D0905A3">
            <w:pPr>
              <w:jc w:val="center"/>
              <w:rPr>
                <w:sz w:val="32"/>
                <w:szCs w:val="24"/>
                <w:bdr w:val="none" w:color="auto" w:sz="0" w:space="0"/>
                <w:lang w:val="en-US"/>
              </w:rPr>
            </w:pPr>
            <w:r>
              <w:rPr>
                <w:rStyle w:val="16"/>
                <w:rFonts w:hint="eastAsia" w:ascii="Times New Roman" w:eastAsia="楷体_GB2312" w:cs="楷体_GB2312"/>
                <w:sz w:val="32"/>
                <w:szCs w:val="24"/>
                <w:bdr w:val="none" w:color="auto" w:sz="0" w:space="0"/>
              </w:rPr>
              <w:t>净资产合计（所有者权益合计）</w:t>
            </w:r>
          </w:p>
        </w:tc>
      </w:tr>
      <w:tr w14:paraId="483D8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463AAD04">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097293AE">
            <w:pPr>
              <w:jc w:val="center"/>
              <w:rPr>
                <w:sz w:val="32"/>
                <w:szCs w:val="24"/>
                <w:bdr w:val="none" w:color="auto" w:sz="0" w:space="0"/>
                <w:lang w:val="en-US"/>
              </w:rPr>
            </w:pPr>
            <w:r>
              <w:rPr>
                <w:rStyle w:val="16"/>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39D914A6">
            <w:pPr>
              <w:jc w:val="center"/>
              <w:rPr>
                <w:sz w:val="32"/>
                <w:szCs w:val="24"/>
                <w:bdr w:val="none" w:color="auto" w:sz="0" w:space="0"/>
                <w:lang w:val="en-US"/>
              </w:rPr>
            </w:pPr>
            <w:r>
              <w:rPr>
                <w:rStyle w:val="16"/>
                <w:rFonts w:hint="eastAsia" w:ascii="Times New Roman" w:eastAsia="楷体_GB2312" w:cs="楷体_GB2312"/>
                <w:sz w:val="32"/>
                <w:szCs w:val="24"/>
                <w:bdr w:val="none" w:color="auto" w:sz="0" w:space="0"/>
              </w:rPr>
              <w:t>年末数（万元）</w:t>
            </w:r>
          </w:p>
        </w:tc>
      </w:tr>
      <w:tr w14:paraId="523C5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37F3D00C">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6D15F69C">
            <w:pPr>
              <w:jc w:val="center"/>
              <w:rPr>
                <w:sz w:val="32"/>
                <w:szCs w:val="24"/>
                <w:bdr w:val="none" w:color="auto" w:sz="0" w:space="0"/>
                <w:lang w:val="en-US"/>
              </w:rPr>
            </w:pPr>
            <w:r>
              <w:rPr>
                <w:rStyle w:val="16"/>
                <w:sz w:val="32"/>
                <w:szCs w:val="24"/>
                <w:bdr w:val="none" w:color="auto" w:sz="0" w:space="0"/>
                <w:lang w:val="en-US"/>
              </w:rPr>
              <w:t>2266.01</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691F31F1">
            <w:pPr>
              <w:jc w:val="center"/>
            </w:pPr>
            <w:r>
              <w:rPr>
                <w:rStyle w:val="20"/>
                <w:sz w:val="32"/>
                <w:szCs w:val="32"/>
                <w:bdr w:val="none" w:color="auto" w:sz="0" w:space="0"/>
                <w:lang w:val="en-US"/>
              </w:rPr>
              <w:t>1861.64</w:t>
            </w:r>
          </w:p>
        </w:tc>
      </w:tr>
      <w:tr w14:paraId="67AFB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2C5F9A2E">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2243BBAA">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桃江县精神病医院（桃江县脑科医院）</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2733CE0C">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1EE82706">
            <w:pPr>
              <w:spacing w:line="0" w:lineRule="atLeast"/>
              <w:jc w:val="left"/>
              <w:rPr>
                <w:rFonts w:hint="eastAsia" w:ascii="楷体_GB2312" w:eastAsia="楷体_GB2312" w:cs="楷体_GB2312"/>
                <w:sz w:val="32"/>
                <w:szCs w:val="24"/>
                <w:bdr w:val="none" w:color="auto" w:sz="0" w:space="0"/>
                <w:lang w:val="en-US"/>
              </w:rPr>
            </w:pPr>
            <w:r>
              <w:rPr>
                <w:rStyle w:val="16"/>
                <w:sz w:val="32"/>
                <w:szCs w:val="24"/>
                <w:bdr w:val="none" w:color="auto" w:sz="0" w:space="0"/>
                <w:lang w:val="en-US"/>
              </w:rPr>
              <w:t>82</w:t>
            </w:r>
          </w:p>
        </w:tc>
      </w:tr>
      <w:tr w14:paraId="767B4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0A3750E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55DF6CF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3F8EA72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19365F8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5B41782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1C1E9C9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213DBB3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1922473E">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1E75BE32">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无</w:t>
            </w:r>
          </w:p>
        </w:tc>
      </w:tr>
      <w:tr w14:paraId="6108A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468DCC6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2C7D0BA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37FA62C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5CAC998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6CFDCE3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65DE8DC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5183FA2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4307BB9C">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71B1486C">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20"/>
                <w:rFonts w:hint="eastAsia" w:ascii="楷体_GB2312" w:eastAsia="楷体_GB2312" w:cs="楷体_GB2312"/>
                <w:sz w:val="28"/>
                <w:szCs w:val="24"/>
                <w:bdr w:val="none" w:color="auto" w:sz="0" w:space="0"/>
                <w:lang w:val="en-US"/>
              </w:rPr>
              <w:t xml:space="preserve">一、严格执行《条例》，并于3月份前完成了法人年度报告。 二、业务工作完成情况：2023年，在县委卫健工委的坚强领导下，紧紧围绕“135”工作思路，坚持以党建为引领，坚持超常规举措不动摇，坚持公益性定向不变调，聚焦“经济管理年、能力提升年、作风建设年”三个年活动，以抓医疗质量促能力，以抓服务促品牌，以抓廉政促基础，以抓管理促效益作为医院高质量发展重要保障，扎实进取，攻坚克难，各项工作得以持续发展，精神卫生和社会心理健康服务能力有效提升。 （一）强党建、重经常，凝聚发展合力 1. 深化主题教育成效，着力加强意识形态工作和理想信念教育。一是通过开展集中学习、专题研讨、自学等形式，深入学习贯彻习近平新时代中国特色社会主义思想和党的二十大精神，坚持以党的创新理论指导医院发展，深入开展主题教育活动，牢牢把握“大调研、大走访、大化解、促发展”这一活动阵地，全面收集化解整改问题12个，二是狠抓意识形态工作，定期分析研判，专题研究，教育引导党员干部和职工言行一致，坚定“四个自信”，树牢“四个意识”，坚决做到“两个维护”，扛牢党支部的政治责任。三是强化理想信念教育。组织党员赴郴州汝城半条被子纪念馆、湘南起义纪念馆和张子清烈士纪念馆等红色教育基地参观学习，结合主题党日组织红色教育观影活动8次，有效增强党员干部的党性观念。 2. 围绕医院重点工作，着力加强新时代党的建设基础工作。一是围绕医院重点工作，把班子成员的岗位职责和“一岗双责”的横向协作和纵向压力传导结合起来，引导党员、骨干积极履职尽责，发挥“领头雁”作用，全年预备党员转正5人。二是加强新时代党的建设基础工作。坚持抓支部班子团结，严格落实班子成员的民主集中制、三重一大制度，坚持抓支部班子团结和医院管理团队建设。三是创建“党旗耀竹乡”党建品牌示范点。深化落实“三会一课”、“一月一课一片一实践”、主题党日活动、民主生活会等党内组织生活制度，全年开展集中学习、交流研讨、主题党日活动12次，支部书记讲党课3次，上级领导讲党课2次，微党课 12次。四是注重以党建带群建。积极开展环境卫生整治，加强文明医院创建，助力全县创文创卫工作，加强法治建设，细化平安医院创建措施，医院全年无被盗、火灾、交通、中毒等恶性事故、案件的发生，无精麻药品失管失控，无酒驾、涉黄涉毒等严重违纪违规违法问题发生。 （二）亮服务，提质量，医院服务能力全面提升 2023年，医院在抓好疫情防控工作的基础上，围绕等级医院复评、公立医院改革、卓越服务等中心工作，抢抓机遇，攻坚克难，不断开创医疗服务新局面。 3.高标准做好新冠“乙类乙管”后的工作。“新十条”出台后，医院快速反应，组建医疗救治、院感防控、重症救护、物资保障等工作专班，畅通转诊转院通道、发热通道，救治住院阳性病人397人次，转诊转院2人次，发放健康防疫包200余份、中医抗疫汤药近3000人份，最大程度的保障住院患者的生命安全，体现出精医人的使命担当。 4.以医院等级评审为契机，强化医疗安全，不断提升医疗服务质量。扎实推进等级医院评审工作，加强核心制度的落实，编辑下发《医疗质量管理手册》，重点强化首诊负责、三级查房、危重患者抢救等工作，狠抓医疗护理文书质量，常态化环节质控、终末质控和病历、处方点评，全年病历归档率100%，甲级率90%以上，加强医疗安全管理，规范临床用药管理，全年开展院感培训12次，住院患者抗菌药物使用率控制在1.6%。落实国家基本药物政策，开展精麻药品专项整治，加强院感“两废”管理，明确专人负责，实时监测余氯和PH值。规范执业行为，医院未出现无证行医、科室出租与承包现象。 5.以卓越服务为准绳，助推护理质量持续改进。深化卓越服务开展，精准对接患者护理需求，做实基础护理、做精专科护理、做优人文护理，编制下发卓越服务手册150份，全年开展三基知识、精神科专科护理知识相关培训14次，护理质量检查12次，理论考试4次，护理技能操作考核2次。护理核心制度、优质护理等重点质量监测指标均在95%以上，规范新入院病人的收治、探视、病房消毒管理，加强护理安全管理，患者满意率达95%，开展10S精益管理，维持常态化。 （三）促发展，抓落实，为民服务取得新的成效 6.救治救助力度显著提高。全年住院救治救助肇事肇祸重性精神病人1088人次，特困重性精神病人949人次，低保重性精神病人1114人次，流浪乞讨重性精神病人105人次，普通住院与单病种住院报销比例达81%。在2023年精神联席会上争取了重精患者住院生活费标准提标至17元/天，严格执行“先诊疗后付费”、“一站式结算”的住院模式，家庭医生签约服务3779人，签约服务率达到96.92%。同时，认定589名重精患者享受“以奖代补”看护补贴，并协调发放到位。 7.严重精神障碍患者管理规范。截止12月底，全县新增重精患者131人，累计建档4793份，全县在册登记严重精神障碍患者3887人，规范管理率94.98%，各项工作均达到省定指标。全年下乡开展技术指导、督查120余次。对辖区内13名预警人员在规定时间内进行了规范签收。结合6.28国际癫痫关爱日、10.10世界精神卫生日等活动，下乡送医送药，指导治疗和护理，提高了群众服药依从性。 8.农村癫痫防治项目稳妥推进。截至12月31日，全县共筛查癫痫病人1607人，入组管理864例，入组率1.25‰，无失访退组病例，治疗有效率达到70%以上，免费发放药品17011瓶。 9.心理健康服务有序开展。建立健全心理疏导和危机干预机制，全年接听服务热线248人次，接待门诊来访319人次。心理治疗78人次，物理治疗5.2万人次，完成心理疏导和危机干预300余人次，强力推动心理健康服务“五进活动”，开展心理辅导公开课16场次。4月启动心理健康服务进校园活动，完成45所学校24091名师生的心理测评工作。其申报的《全县初高中师生免费心理筛查及个案反馈》案例成功入围国家心理健康中心关于心理健康和精神卫生防治典型案例，是益阳唯一入围案例。 （四）抓管理、建内控，医院管理水平有效提高 10.精细化管理稳步提高。一是建立健全医院管理机制。修订了医院《章程》，制定《政府采购内部控制制度》等制度10余部，着重梳理和规范职工考勤、公务用车、三公经费使用、下乡与加班补助发放等，二是全面加强财务管理。2023年着力深化全面预算，规范财务工作流程，加强内部审计，调整往来账目，解决遗留问题。加强成本控制，提高经济运行效率，全年公务接待费较去年有所下降，三是提高后勤保障能力。优化物资采购流程，规范政采程序，建立内控制度，坚持阳光采购，四是加强安全生产。开展经常性安全检查、隐患排查和安全生产月专项行动，强化消防安全培训，开展疏散演练2次，五是信息管理得到加强。完成机房升级改造，通过了电子病历应用三级考核。 11.人才培养和人文关怀得到加强。一是加强人才培养。全年选派业务骨干外出学习近60余人次，选送到省脑科医院进行转岗培训4人次。截止12月底，4人通过湖南省卫生系列高级职称。二是深化卓越人文开展。每逢端午、中秋、国庆、春节等重大的节假日到病房开展慰问，送去食品、礼物，组织开展包粽子、饺子等活动，丰富其精神文化生活，使患者达到信心重建、功能重建，三是工会、共青团发挥作用明显。开展清廉科室、清廉家庭评选，挖掘身边典型，树培医德医风典型，开展春节、劳动节、医师节、护士节等庆祝表彰慰问活动，举办清廉医院创建知识抢答赛，丰富文化内涵，开展“送温暖&amp;#8226;办实事”“春节捐赠慰问困难职工”“助残一日捐”“99公益日”等公益捐赠和岗村共建等活动，累计捐款2.5万元。同时，组织干职工无偿献血13人次，献血5200毫升。 12.积极改善医疗救治条件。5月，贺武彬常务副县长等县领导实地调研考查整体搬迁和原址扩建项目，提出拟采取原址扩建方案，并向周登高县长作了专题汇报，在县人民政府第10次常务会议上，周登高县长明确由县卫健局实施桃江县精神卫生中心建设项目，开展立项争资，待资金到位后实施。目前已完成可研编制，已取得立项批复，同时完成了用地预审和选址、社会风险稳定评估等前期工作，目前，正着手办理征地公告，稳妥推进土地报批相关工作。 此外，按照上级要求，积极开展宣传工作，发表新闻稿件35篇次，制作党建等视频短片3期。发布电子宣传屏标语和横幅标语共200多条。统筹兼顾推进综合医改、药品带量采购、统战工作（民族宗教）、医保一站式结算、计划生育等其他工作。 （五）强作风，转行风，行业生态不断净化 13. 全面加强清廉医院建设。以被市卫健委确定为清廉医院建设树培点为契机，抓实抓细党风廉政工作，梳理廉政风险防控点21 个，签订创建责任书25份，医务人员廉洁行医承诺书99份。开展廉政提醒谈话58次，清廉家访40人次。创新建立“红黄绿”三色清廉预警机制，完善内控制度，开展询价竞标，降本增效，与供应厂商签订廉洁采购协议，有力打造院风清新的行业生态。 14. 深入开展医德医风和医药领域腐败问题集中整治。深入开展集中整治、“两带头五整治”纠风防腐等专项行动，坚持“五医联治”，全年开展集中整治学习教育3次，同级同类警示教育7次，及时通报违纪违法案例。认真对照八类四十三项突出问题，向社会公布举报电话、信箱等，对问题线索进行全面起底。列出问题范围，深入开展自查自纠，查摆问题4类4个，建立台账，分析问题症结，对症下药，逐一整改、逐条落实，促使医院形成风清气正的政治生态环境。 15. 加强监督执纪。大力宣贯《医疗机构工作人员廉洁从业九项准则》，开展深挖彻查持续打击欺诈骗保行为专项行动，开展医保自查自纠12次，上缴违规金额1.76万元。运用监督执纪“第一种形态”谈话提醒80人次，抓实抓细警示教育、廉政谈话，为医院各项事业发展提供有力的作风纪律保障。 </w:t>
            </w:r>
          </w:p>
          <w:p w14:paraId="7B28A7B4">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7597B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1CCA3F3C">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4C4BC121">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4"/>
                <w:bdr w:val="none" w:color="auto" w:sz="0" w:space="0"/>
                <w:lang w:val="en-US"/>
              </w:rPr>
              <w:t>益阳市卫健委核准发放的《医疗机构执业许可证》，有效期自2023年6月15日至2026年6月29日。</w:t>
            </w:r>
          </w:p>
        </w:tc>
      </w:tr>
      <w:tr w14:paraId="7F993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525AE9A3">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703BDE64">
            <w:pPr>
              <w:jc w:val="left"/>
            </w:pPr>
            <w:r>
              <w:rPr>
                <w:rStyle w:val="20"/>
                <w:rFonts w:hint="eastAsia" w:ascii="楷体_GB2312" w:eastAsia="楷体_GB2312" w:cs="楷体_GB2312"/>
                <w:sz w:val="28"/>
                <w:szCs w:val="28"/>
                <w:bdr w:val="none" w:color="auto" w:sz="0" w:space="0"/>
                <w:lang w:val="en-US"/>
              </w:rPr>
              <w:t>2023年全面工作经县卫健局绩效考核合格，奖励项目未确定，无惩罚及诉讼投诉情况。</w:t>
            </w:r>
          </w:p>
        </w:tc>
      </w:tr>
      <w:tr w14:paraId="49CAA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560B73D2">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69B2AE95">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3C0052FF">
            <w:pPr>
              <w:jc w:val="left"/>
            </w:pPr>
            <w:r>
              <w:rPr>
                <w:rStyle w:val="20"/>
                <w:rFonts w:hint="eastAsia" w:ascii="楷体_GB2312" w:eastAsia="楷体_GB2312" w:cs="楷体_GB2312"/>
                <w:sz w:val="28"/>
                <w:szCs w:val="28"/>
                <w:bdr w:val="none" w:color="auto" w:sz="0" w:space="0"/>
                <w:lang w:val="en-US"/>
              </w:rPr>
              <w:t>无</w:t>
            </w:r>
          </w:p>
        </w:tc>
      </w:tr>
    </w:tbl>
    <w:p w14:paraId="3F96A32A">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4B2345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4"/>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8"/>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页脚 Char"/>
    <w:basedOn w:val="13"/>
    <w:link w:val="8"/>
    <w:locked/>
    <w:uiPriority w:val="0"/>
    <w:rPr>
      <w:rFonts w:hint="default" w:ascii="Times New Roman" w:hAnsi="Times New Roman" w:eastAsia="宋体" w:cs="Times New Roman"/>
      <w:sz w:val="18"/>
      <w:szCs w:val="18"/>
    </w:rPr>
  </w:style>
  <w:style w:type="character" w:customStyle="1" w:styleId="15">
    <w:name w:val="font21"/>
    <w:basedOn w:val="13"/>
    <w:uiPriority w:val="0"/>
    <w:rPr>
      <w:rFonts w:hint="default" w:ascii="Times New Roman" w:hAnsi="Times New Roman" w:eastAsia="楷体_GB2312" w:cs="Times New Roman"/>
      <w:sz w:val="30"/>
      <w:szCs w:val="24"/>
    </w:rPr>
  </w:style>
  <w:style w:type="character" w:customStyle="1" w:styleId="16">
    <w:name w:val="font61"/>
    <w:basedOn w:val="13"/>
    <w:uiPriority w:val="0"/>
    <w:rPr>
      <w:rFonts w:hint="default" w:ascii="Times New Roman" w:hAnsi="Times New Roman" w:eastAsia="楷体_GB2312" w:cs="Times New Roman"/>
      <w:sz w:val="32"/>
      <w:szCs w:val="24"/>
    </w:rPr>
  </w:style>
  <w:style w:type="character" w:customStyle="1" w:styleId="17">
    <w:name w:val="hps"/>
    <w:basedOn w:val="13"/>
    <w:uiPriority w:val="0"/>
  </w:style>
  <w:style w:type="character" w:customStyle="1" w:styleId="18">
    <w:name w:val="页眉 Char"/>
    <w:basedOn w:val="13"/>
    <w:link w:val="9"/>
    <w:locked/>
    <w:uiPriority w:val="0"/>
    <w:rPr>
      <w:rFonts w:hint="default" w:ascii="Times New Roman" w:hAnsi="Times New Roman" w:eastAsia="宋体" w:cs="Times New Roman"/>
      <w:sz w:val="18"/>
      <w:szCs w:val="18"/>
    </w:rPr>
  </w:style>
  <w:style w:type="character" w:customStyle="1" w:styleId="19">
    <w:name w:val="font51"/>
    <w:basedOn w:val="13"/>
    <w:uiPriority w:val="0"/>
    <w:rPr>
      <w:rFonts w:hint="eastAsia" w:ascii="黑体" w:hAnsi="宋体" w:eastAsia="黑体" w:cs="黑体"/>
      <w:sz w:val="36"/>
      <w:szCs w:val="24"/>
    </w:rPr>
  </w:style>
  <w:style w:type="character" w:customStyle="1" w:styleId="20">
    <w:name w:val="font71"/>
    <w:basedOn w:val="1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10</Pages>
  <Words>4395</Words>
  <Characters>4633</Characters>
  <Lines>4</Lines>
  <Paragraphs>1</Paragraphs>
  <TotalTime>45456.4062500016</TotalTime>
  <ScaleCrop>false</ScaleCrop>
  <LinksUpToDate>false</LinksUpToDate>
  <CharactersWithSpaces>4699</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2024-06-13T02:09:27Z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8D087B60D52B49FF9443C11CA66F0519_13</vt:lpwstr>
  </property>
</Properties>
</file>