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E9CCF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3DBDC2B5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8"/>
          <w:b/>
          <w:bCs/>
          <w:sz w:val="30"/>
          <w:szCs w:val="30"/>
          <w:lang w:val="en-US"/>
        </w:rPr>
        <w:t>12430922MB1E246485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44F1DDAD">
      <w:pPr>
        <w:jc w:val="right"/>
        <w:rPr>
          <w:lang w:val="en-US"/>
        </w:rPr>
      </w:pPr>
    </w:p>
    <w:p w14:paraId="6038CBA4">
      <w:pPr>
        <w:jc w:val="right"/>
        <w:rPr>
          <w:lang w:val="en-US"/>
        </w:rPr>
      </w:pPr>
    </w:p>
    <w:p w14:paraId="791BDAD7">
      <w:pPr>
        <w:jc w:val="right"/>
        <w:rPr>
          <w:lang w:val="en-US"/>
        </w:rPr>
      </w:pPr>
    </w:p>
    <w:p w14:paraId="0C82CAB8">
      <w:pPr>
        <w:jc w:val="right"/>
        <w:rPr>
          <w:lang w:val="en-US"/>
        </w:rPr>
      </w:pPr>
    </w:p>
    <w:p w14:paraId="1AF97DEA">
      <w:pPr>
        <w:jc w:val="right"/>
        <w:rPr>
          <w:lang w:val="en-US"/>
        </w:rPr>
      </w:pPr>
    </w:p>
    <w:p w14:paraId="50C5C68F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5462FBC">
      <w:pPr>
        <w:jc w:val="center"/>
        <w:rPr>
          <w:rFonts w:eastAsia="黑体"/>
          <w:b/>
          <w:bCs/>
          <w:spacing w:val="30"/>
          <w:lang w:val="en-US"/>
        </w:rPr>
      </w:pPr>
    </w:p>
    <w:p w14:paraId="652EC1DB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8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6FA888C1">
      <w:pPr>
        <w:jc w:val="center"/>
        <w:rPr>
          <w:sz w:val="36"/>
          <w:szCs w:val="24"/>
          <w:lang w:val="en-US"/>
        </w:rPr>
      </w:pPr>
    </w:p>
    <w:p w14:paraId="100D7731">
      <w:pPr>
        <w:jc w:val="center"/>
        <w:rPr>
          <w:sz w:val="36"/>
          <w:szCs w:val="24"/>
          <w:lang w:val="en-US"/>
        </w:rPr>
      </w:pPr>
    </w:p>
    <w:p w14:paraId="0255C2BD">
      <w:pPr>
        <w:jc w:val="center"/>
        <w:rPr>
          <w:sz w:val="36"/>
          <w:szCs w:val="24"/>
          <w:lang w:val="en-US"/>
        </w:rPr>
      </w:pPr>
    </w:p>
    <w:p w14:paraId="0D4499B6">
      <w:pPr>
        <w:jc w:val="center"/>
        <w:rPr>
          <w:sz w:val="36"/>
          <w:szCs w:val="24"/>
          <w:lang w:val="en-US"/>
        </w:rPr>
      </w:pPr>
    </w:p>
    <w:p w14:paraId="4B95C4DF">
      <w:pPr>
        <w:jc w:val="center"/>
        <w:rPr>
          <w:sz w:val="36"/>
          <w:szCs w:val="24"/>
          <w:lang w:val="en-US"/>
        </w:rPr>
      </w:pPr>
    </w:p>
    <w:p w14:paraId="05A94F0D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26F6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143A9D31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EDF1E63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桃江县劳动人事争议调解仲裁院</w:t>
            </w:r>
          </w:p>
        </w:tc>
      </w:tr>
    </w:tbl>
    <w:p w14:paraId="4298C7A6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782A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4CB56A39">
            <w:pPr>
              <w:jc w:val="distribute"/>
            </w:pP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7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7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29FA6104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779DE757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01AD00C8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3EF74AD4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7F6B932">
      <w:pPr>
        <w:jc w:val="center"/>
        <w:rPr>
          <w:u w:val="single"/>
          <w:lang w:val="en-US"/>
        </w:rPr>
      </w:pPr>
    </w:p>
    <w:p w14:paraId="0E16CC2C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278DE4B8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29BAD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DC4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7069619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F45DAA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470211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2EE618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F3B2F48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36F0B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A091CAE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桃江县劳动人事争议调解仲裁院</w:t>
            </w:r>
          </w:p>
        </w:tc>
      </w:tr>
      <w:tr w14:paraId="374F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501F5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4223D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062347D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65679F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统筹拟订全县劳动人事争议调解和仲裁政策并组织实施；指导全县劳动人事争议调解工作；指导开展全县劳动人事争议预防工作；依法指导并组织处理全县重大劳动人事争议案件；承办县劳动人事争议仲裁委员会授权的具体工作。</w:t>
            </w:r>
          </w:p>
        </w:tc>
      </w:tr>
      <w:tr w14:paraId="5D41E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A6569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32905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20B3840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桃江县桃花江镇资江北路229号</w:t>
            </w:r>
          </w:p>
        </w:tc>
      </w:tr>
      <w:tr w14:paraId="2D6F9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736C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900F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DDCDDE7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文伟</w:t>
            </w:r>
          </w:p>
        </w:tc>
      </w:tr>
      <w:tr w14:paraId="544AF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FA40E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BD3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40D25C8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</w:t>
            </w: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2B7E8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24FBCC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9CC53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074C12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5F4C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09FE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84B16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DD92BD3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桃江县人力资源和社会保障局</w:t>
            </w:r>
          </w:p>
        </w:tc>
      </w:tr>
      <w:tr w14:paraId="67E8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23DA1E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6DE7D02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6A5EBAB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8DA88E9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45F81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84238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D4246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6B1680A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4AE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DE20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9446FC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20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F1EBC4">
            <w:pPr>
              <w:jc w:val="center"/>
            </w:pPr>
            <w:r>
              <w:rPr>
                <w:rStyle w:val="19"/>
                <w:sz w:val="32"/>
                <w:szCs w:val="32"/>
                <w:bdr w:val="none" w:color="auto" w:sz="0" w:space="0"/>
                <w:lang w:val="en-US"/>
              </w:rPr>
              <w:t>20</w:t>
            </w:r>
          </w:p>
        </w:tc>
      </w:tr>
      <w:tr w14:paraId="5246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C895D0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D995A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桃江县劳动人事争议调解仲裁院.公益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7B1A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CBB0005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sz w:val="32"/>
                <w:szCs w:val="24"/>
                <w:bdr w:val="none" w:color="auto" w:sz="0" w:space="0"/>
                <w:lang w:val="en-US"/>
              </w:rPr>
              <w:t>3</w:t>
            </w:r>
          </w:p>
        </w:tc>
      </w:tr>
      <w:tr w14:paraId="06251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B582D2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1FFA9D3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CA0C36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063A16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4FF77FC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233A6E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78F181C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4105298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E58CE7D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14A91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11D174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51D7C84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3A26B8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0635575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27FD28F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AB9C45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E7B210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3443CDC2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D3154E7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劳动争议仲裁工作，在上级业务主管部门的指导下，在局党委的正确领导与支持下，通过本院全体工作人员的共同努力，克服了案多人手少的困难，及时、有效、公平、公正、依法处理了多起劳动争议案件，有效维护了劳动者和用人单位的合法权益，有效地促进了本区域劳动关系的和谐稳定，使劳动和社会保障事业得到了健康稳定发展。现就上半年的主要工作情况作如下简要总结： 一、基本情况 今年以来，我们及时高效地办理了一批劳动争议案件，共处理案件208起，已结案208起，其中开庭审理裁决案件65起，调解103起，因各种原因不予受理的11起。案外调解处理案件29起。 去年以来，我院按照上级业务部门的要求，完善了调解仲裁制度等一批新制度，将之前建立的仲裁制度、仲裁员职责、案件合议审理制度、基层劳动人事争议调解制度等进一步修改完善，切实将劳动人事争议调解仲裁工作纳入规范化、程序化、法制化的轨道，使仲裁庭审更加规范高效，使各项仲裁程序更加完善严谨，使仲裁服务更全面周到。 二、存在的主要问题 虽然，当前我院劳动争议仲裁工作取得了一定的成绩，但工作中还存在着一些问题，主要有以下几个方面： 1、劳动争议仲裁工作还没有得到各级部门的大力重视。当前，各级部门、大多数领导的主要重点重视工作大多都不是劳动人事争议仲裁工作，然而，该项工作是一项常规、常用的维权工作，对维持社会稳定意义重大，希望得到领导对此项工作能更大的给与实际重视，给与劳动人事争议仲裁人力、物力各方面足够的支持，保证该项工作更好更快的发展完善。 2、劳动人事争议仲裁队伍建设不够完善，力量有待加强。目前各区县、地区，劳动人事争议仲裁队伍结构基本相同，都面临人员少、案件多，疲于应对的情况。仲裁员少是多年来困扰我们工作的一个瓶颈，这一情况已经与日益增加的案件数量不相适应。希望适当增加专职仲裁员，加大兼职仲裁员的培训，并加大对仲裁员的培训，全方面提升仲裁队伍力量建设。 三、今后的工作计划 为了更好的做好劳动人事争议仲裁工作，保护劳动者的用人单位的合法权益，维护社会的稳定发展，我们对该项工作提出如下几点建议： 1、提高重视，严谨高效地开展调解仲裁工作，改进方式，增强调解能力。在办案中要始终以调解为主，争取在调解方式上有所创新突破，争取将各种疑难案件也能通过调解处理，切实提高调解效率，维护当事人的合法权益，保障社会和谐稳定。同时，大力推进基层调解组织的建设，促进企业、街道、社区建立健全基层劳动人事争议调解组织，并积极进行指导，督促基层调解组织真正发挥应有的作用。 2、争取上级组织对仲裁调解工作的重视，加强机构和队伍建设。按照国家各项法律法规的规定，加大对劳动争议仲裁工作的思想重视，为了将文件精神真正落到实处，积极争取上级领导机构对仲裁调解工作的重视，增加仲裁员编制，加强仲裁员队伍建设和专业能力培训，保证仲裁队伍的数量和质量，加大劳动争议仲裁工作的基本设施和办案设备的建设，保证办案环境办案条件。 3、转变作风，提高调解工作积极性，确保各项日常工作的圆满完成。同时，做好信息宣传工作，在保证数量的同时，不断研究创新，使宣传工作有效的发挥积极作用。积极完成上级与人社局安排的其他各项工作，做好来访接待等日常工作。 </w:t>
            </w:r>
          </w:p>
          <w:p w14:paraId="35477438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9D8D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E9E57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3DC69518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0DDF2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A56C4A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CB94F38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  <w:tr w14:paraId="6BF93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54C6A36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294405F2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E84A21D">
            <w:pPr>
              <w:jc w:val="left"/>
            </w:pPr>
            <w:r>
              <w:rPr>
                <w:rStyle w:val="19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1C8892D2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59CD1A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5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5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8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19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20">
    <w:name w:val="hps"/>
    <w:basedOn w:val="1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6</Pages>
  <Words>1722</Words>
  <Characters>1774</Characters>
  <Lines>4</Lines>
  <Paragraphs>1</Paragraphs>
  <TotalTime>45456.4062500016</TotalTime>
  <ScaleCrop>false</ScaleCrop>
  <LinksUpToDate>false</LinksUpToDate>
  <CharactersWithSpaces>1822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2024-06-13T01:52:15Z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716DDBF852FD4F56BD58A3008F1FB114_13</vt:lpwstr>
  </property>
</Properties>
</file>